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cs="宋体" w:asciiTheme="minorEastAsia" w:hAnsiTheme="minorEastAsia"/>
          <w:color w:val="auto"/>
          <w:sz w:val="22"/>
          <w:szCs w:val="22"/>
        </w:rPr>
      </w:pPr>
      <w:r>
        <w:rPr>
          <w:rFonts w:hint="eastAsia" w:cs="宋体" w:asciiTheme="minorEastAsia" w:hAnsiTheme="minorEastAsia"/>
          <w:color w:val="auto"/>
          <w:sz w:val="22"/>
          <w:szCs w:val="22"/>
        </w:rPr>
        <w:t>附表1</w:t>
      </w:r>
    </w:p>
    <w:tbl>
      <w:tblPr>
        <w:tblStyle w:val="2"/>
        <w:tblW w:w="91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687"/>
        <w:gridCol w:w="4986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15" w:type="dxa"/>
            <w:vAlign w:val="center"/>
          </w:tcPr>
          <w:p>
            <w:pPr>
              <w:rPr>
                <w:rFonts w:asciiTheme="minorEastAsia" w:hAnsiTheme="minorEastAsia"/>
                <w:color w:val="auto"/>
                <w:sz w:val="22"/>
                <w:szCs w:val="22"/>
              </w:rPr>
            </w:pPr>
            <w:r>
              <w:rPr>
                <w:rStyle w:val="4"/>
                <w:rFonts w:hint="eastAsia" w:cs="宋体" w:asciiTheme="minorEastAsia" w:hAnsiTheme="minorEastAsia"/>
                <w:color w:val="auto"/>
                <w:sz w:val="22"/>
                <w:szCs w:val="22"/>
              </w:rPr>
              <w:t>序号</w:t>
            </w:r>
          </w:p>
        </w:tc>
        <w:tc>
          <w:tcPr>
            <w:tcW w:w="1687" w:type="dxa"/>
            <w:vAlign w:val="center"/>
          </w:tcPr>
          <w:p>
            <w:pPr>
              <w:rPr>
                <w:rFonts w:asciiTheme="minorEastAsia" w:hAnsiTheme="minorEastAsia"/>
                <w:color w:val="auto"/>
                <w:sz w:val="22"/>
                <w:szCs w:val="22"/>
              </w:rPr>
            </w:pPr>
            <w:r>
              <w:rPr>
                <w:rStyle w:val="4"/>
                <w:rFonts w:hint="eastAsia" w:cs="宋体" w:asciiTheme="minorEastAsia" w:hAnsiTheme="minorEastAsia"/>
                <w:color w:val="auto"/>
                <w:sz w:val="22"/>
                <w:szCs w:val="22"/>
              </w:rPr>
              <w:t>内容</w:t>
            </w:r>
          </w:p>
        </w:tc>
        <w:tc>
          <w:tcPr>
            <w:tcW w:w="4986" w:type="dxa"/>
            <w:vAlign w:val="center"/>
          </w:tcPr>
          <w:p>
            <w:pPr>
              <w:rPr>
                <w:rFonts w:asciiTheme="minorEastAsia" w:hAnsiTheme="minorEastAsia"/>
                <w:color w:val="auto"/>
                <w:sz w:val="22"/>
                <w:szCs w:val="22"/>
              </w:rPr>
            </w:pPr>
            <w:r>
              <w:rPr>
                <w:rStyle w:val="4"/>
                <w:rFonts w:hint="eastAsia" w:cs="宋体" w:asciiTheme="minorEastAsia" w:hAnsiTheme="minorEastAsia"/>
                <w:color w:val="auto"/>
                <w:sz w:val="22"/>
                <w:szCs w:val="22"/>
              </w:rPr>
              <w:t>招标要求</w:t>
            </w:r>
          </w:p>
        </w:tc>
        <w:tc>
          <w:tcPr>
            <w:tcW w:w="1702" w:type="dxa"/>
          </w:tcPr>
          <w:p>
            <w:pPr>
              <w:rPr>
                <w:rStyle w:val="4"/>
                <w:rFonts w:cs="宋体" w:asciiTheme="minorEastAsia" w:hAnsiTheme="minorEastAsia"/>
                <w:color w:val="auto"/>
                <w:sz w:val="22"/>
                <w:szCs w:val="22"/>
              </w:rPr>
            </w:pPr>
            <w:r>
              <w:rPr>
                <w:rStyle w:val="4"/>
                <w:rFonts w:hint="eastAsia" w:cs="宋体" w:asciiTheme="minorEastAsia" w:hAnsiTheme="minorEastAsia"/>
                <w:color w:val="auto"/>
                <w:sz w:val="22"/>
                <w:szCs w:val="22"/>
              </w:rPr>
              <w:t>条款分值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15" w:type="dxa"/>
            <w:vMerge w:val="restart"/>
            <w:vAlign w:val="center"/>
          </w:tcPr>
          <w:p>
            <w:pPr>
              <w:rPr>
                <w:rFonts w:asciiTheme="minorEastAsia" w:hAnsi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1687" w:type="dxa"/>
            <w:vMerge w:val="restart"/>
            <w:vAlign w:val="center"/>
          </w:tcPr>
          <w:p>
            <w:pPr>
              <w:rPr>
                <w:rStyle w:val="4"/>
                <w:rFonts w:cs="宋体" w:asciiTheme="minorEastAsia" w:hAnsiTheme="minorEastAsia"/>
                <w:color w:val="auto"/>
                <w:sz w:val="22"/>
                <w:szCs w:val="22"/>
              </w:rPr>
            </w:pPr>
            <w:r>
              <w:rPr>
                <w:rStyle w:val="4"/>
                <w:rFonts w:hint="eastAsia" w:cs="宋体" w:asciiTheme="minorEastAsia" w:hAnsiTheme="minorEastAsia"/>
                <w:color w:val="auto"/>
                <w:sz w:val="22"/>
                <w:szCs w:val="22"/>
              </w:rPr>
              <w:t>机架系统</w:t>
            </w:r>
          </w:p>
        </w:tc>
        <w:tc>
          <w:tcPr>
            <w:tcW w:w="4986" w:type="dxa"/>
            <w:vAlign w:val="center"/>
          </w:tcPr>
          <w:p>
            <w:pPr>
              <w:rPr>
                <w:rStyle w:val="4"/>
                <w:rFonts w:cs="宋体" w:asciiTheme="minorEastAsia" w:hAnsiTheme="minorEastAsia"/>
                <w:color w:val="auto"/>
                <w:sz w:val="22"/>
                <w:szCs w:val="22"/>
              </w:rPr>
            </w:pPr>
            <w:r>
              <w:rPr>
                <w:rStyle w:val="4"/>
                <w:rFonts w:hint="eastAsia" w:cs="宋体" w:asciiTheme="minorEastAsia" w:hAnsiTheme="minorEastAsia"/>
                <w:color w:val="auto"/>
                <w:sz w:val="22"/>
                <w:szCs w:val="22"/>
              </w:rPr>
              <w:t>1．机架孔径≥70cm；</w:t>
            </w:r>
          </w:p>
        </w:tc>
        <w:tc>
          <w:tcPr>
            <w:tcW w:w="1702" w:type="dxa"/>
            <w:vAlign w:val="top"/>
          </w:tcPr>
          <w:p>
            <w:pPr>
              <w:rPr>
                <w:rFonts w:hint="default" w:cs="宋体" w:asciiTheme="minorEastAsia" w:hAnsi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687" w:type="dxa"/>
            <w:vMerge w:val="continue"/>
            <w:vAlign w:val="center"/>
          </w:tcPr>
          <w:p>
            <w:pPr>
              <w:rPr>
                <w:rStyle w:val="4"/>
                <w:rFonts w:cs="宋体" w:ascii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4986" w:type="dxa"/>
            <w:vAlign w:val="center"/>
          </w:tcPr>
          <w:p>
            <w:pPr>
              <w:rPr>
                <w:rStyle w:val="4"/>
                <w:rFonts w:cs="宋体" w:asciiTheme="minorEastAsia" w:hAnsiTheme="minorEastAsia"/>
                <w:color w:val="auto"/>
                <w:sz w:val="22"/>
                <w:szCs w:val="22"/>
              </w:rPr>
            </w:pPr>
            <w:r>
              <w:rPr>
                <w:rStyle w:val="4"/>
                <w:rFonts w:hint="eastAsia" w:cs="宋体" w:asciiTheme="minorEastAsia" w:hAnsiTheme="minorEastAsia"/>
                <w:color w:val="auto"/>
                <w:sz w:val="22"/>
                <w:szCs w:val="22"/>
              </w:rPr>
              <w:t>★2．机架实际物理倾斜：≥±30°</w:t>
            </w:r>
          </w:p>
        </w:tc>
        <w:tc>
          <w:tcPr>
            <w:tcW w:w="1702" w:type="dxa"/>
            <w:vAlign w:val="top"/>
          </w:tcPr>
          <w:p>
            <w:pPr>
              <w:rPr>
                <w:rFonts w:hint="default" w:cs="宋体" w:asciiTheme="minorEastAsia" w:hAnsi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15" w:type="dxa"/>
            <w:vMerge w:val="restart"/>
            <w:vAlign w:val="center"/>
          </w:tcPr>
          <w:p>
            <w:pPr>
              <w:rPr>
                <w:rFonts w:asciiTheme="minorEastAsia" w:hAnsi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1687" w:type="dxa"/>
            <w:vMerge w:val="restart"/>
            <w:vAlign w:val="center"/>
          </w:tcPr>
          <w:p>
            <w:pPr>
              <w:rPr>
                <w:rStyle w:val="4"/>
                <w:rFonts w:cs="宋体" w:asciiTheme="minorEastAsia" w:hAnsiTheme="minorEastAsia"/>
                <w:color w:val="auto"/>
                <w:sz w:val="22"/>
                <w:szCs w:val="22"/>
              </w:rPr>
            </w:pPr>
            <w:r>
              <w:rPr>
                <w:rStyle w:val="4"/>
                <w:rFonts w:hint="eastAsia" w:cs="宋体" w:asciiTheme="minorEastAsia" w:hAnsiTheme="minorEastAsia"/>
                <w:color w:val="auto"/>
                <w:sz w:val="22"/>
                <w:szCs w:val="22"/>
              </w:rPr>
              <w:t>X线系统</w:t>
            </w:r>
          </w:p>
        </w:tc>
        <w:tc>
          <w:tcPr>
            <w:tcW w:w="4986" w:type="dxa"/>
            <w:vAlign w:val="center"/>
          </w:tcPr>
          <w:p>
            <w:pPr>
              <w:rPr>
                <w:rFonts w:asciiTheme="minorEastAsia" w:hAnsi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color w:val="auto"/>
                <w:sz w:val="22"/>
                <w:szCs w:val="22"/>
              </w:rPr>
              <w:t>2．最大球管电压：≥140KV；</w:t>
            </w:r>
          </w:p>
        </w:tc>
        <w:tc>
          <w:tcPr>
            <w:tcW w:w="1702" w:type="dxa"/>
            <w:vAlign w:val="top"/>
          </w:tcPr>
          <w:p>
            <w:pPr>
              <w:rPr>
                <w:rFonts w:hint="eastAsia" w:cs="宋体" w:asciiTheme="minorEastAsia" w:hAnsi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687" w:type="dxa"/>
            <w:vMerge w:val="continue"/>
            <w:vAlign w:val="center"/>
          </w:tcPr>
          <w:p>
            <w:pPr>
              <w:rPr>
                <w:rStyle w:val="4"/>
                <w:rFonts w:cs="宋体" w:ascii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4986" w:type="dxa"/>
            <w:vAlign w:val="center"/>
          </w:tcPr>
          <w:p>
            <w:pPr>
              <w:rPr>
                <w:rFonts w:asciiTheme="minorEastAsia" w:hAnsi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color w:val="auto"/>
                <w:sz w:val="22"/>
                <w:szCs w:val="22"/>
              </w:rPr>
              <w:t xml:space="preserve">3．最小球管电压：≤70kV； </w:t>
            </w:r>
          </w:p>
        </w:tc>
        <w:tc>
          <w:tcPr>
            <w:tcW w:w="1702" w:type="dxa"/>
            <w:vAlign w:val="top"/>
          </w:tcPr>
          <w:p>
            <w:pPr>
              <w:rPr>
                <w:rFonts w:hint="eastAsia" w:cs="宋体" w:asciiTheme="minorEastAsia" w:hAnsi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687" w:type="dxa"/>
            <w:vMerge w:val="continue"/>
            <w:vAlign w:val="center"/>
          </w:tcPr>
          <w:p>
            <w:pPr>
              <w:rPr>
                <w:rStyle w:val="4"/>
                <w:rFonts w:cs="宋体" w:ascii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4986" w:type="dxa"/>
            <w:vAlign w:val="center"/>
          </w:tcPr>
          <w:p>
            <w:pPr>
              <w:rPr>
                <w:rFonts w:asciiTheme="minorEastAsia" w:hAnsi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color w:val="auto"/>
                <w:sz w:val="22"/>
                <w:szCs w:val="22"/>
              </w:rPr>
              <w:t>4．球管大焦点：≤1.2mm×1.4mm；</w:t>
            </w:r>
          </w:p>
        </w:tc>
        <w:tc>
          <w:tcPr>
            <w:tcW w:w="1702" w:type="dxa"/>
            <w:vAlign w:val="top"/>
          </w:tcPr>
          <w:p>
            <w:pPr>
              <w:rPr>
                <w:rFonts w:hint="eastAsia" w:cs="宋体" w:asciiTheme="minorEastAsia" w:hAnsi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687" w:type="dxa"/>
            <w:vMerge w:val="continue"/>
            <w:vAlign w:val="center"/>
          </w:tcPr>
          <w:p>
            <w:pPr>
              <w:rPr>
                <w:rStyle w:val="4"/>
                <w:rFonts w:cs="宋体" w:ascii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4986" w:type="dxa"/>
            <w:vAlign w:val="center"/>
          </w:tcPr>
          <w:p>
            <w:pPr>
              <w:rPr>
                <w:rFonts w:asciiTheme="minorEastAsia" w:hAnsi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color w:val="auto"/>
                <w:sz w:val="22"/>
                <w:szCs w:val="22"/>
              </w:rPr>
              <w:t>5．球管小焦点：≤0.7mm×0.8mm；</w:t>
            </w:r>
          </w:p>
        </w:tc>
        <w:tc>
          <w:tcPr>
            <w:tcW w:w="1702" w:type="dxa"/>
            <w:vAlign w:val="top"/>
          </w:tcPr>
          <w:p>
            <w:pPr>
              <w:rPr>
                <w:rFonts w:hint="eastAsia" w:cs="宋体" w:asciiTheme="minorEastAsia" w:hAnsi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687" w:type="dxa"/>
            <w:vMerge w:val="continue"/>
            <w:vAlign w:val="center"/>
          </w:tcPr>
          <w:p>
            <w:pPr>
              <w:rPr>
                <w:rStyle w:val="4"/>
                <w:rFonts w:cs="宋体" w:ascii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4986" w:type="dxa"/>
            <w:vAlign w:val="center"/>
          </w:tcPr>
          <w:p>
            <w:pPr>
              <w:rPr>
                <w:rFonts w:asciiTheme="minorEastAsia" w:hAnsiTheme="minorEastAsia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Theme="minorEastAsia" w:hAnsiTheme="minorEastAsia"/>
                <w:color w:val="auto"/>
                <w:sz w:val="22"/>
                <w:szCs w:val="22"/>
              </w:rPr>
              <w:t>6．高压发生器功率：≥32kW。</w:t>
            </w:r>
          </w:p>
        </w:tc>
        <w:tc>
          <w:tcPr>
            <w:tcW w:w="1702" w:type="dxa"/>
            <w:vAlign w:val="top"/>
          </w:tcPr>
          <w:p>
            <w:pPr>
              <w:rPr>
                <w:rFonts w:hint="eastAsia" w:cs="宋体" w:asciiTheme="minorEastAsia" w:hAnsi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15" w:type="dxa"/>
            <w:vMerge w:val="restart"/>
            <w:vAlign w:val="center"/>
          </w:tcPr>
          <w:p>
            <w:pPr>
              <w:rPr>
                <w:rFonts w:asciiTheme="minorEastAsia" w:hAnsi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color w:val="auto"/>
                <w:sz w:val="22"/>
                <w:szCs w:val="22"/>
              </w:rPr>
              <w:t>3</w:t>
            </w:r>
          </w:p>
        </w:tc>
        <w:tc>
          <w:tcPr>
            <w:tcW w:w="1687" w:type="dxa"/>
            <w:vMerge w:val="restart"/>
            <w:vAlign w:val="center"/>
          </w:tcPr>
          <w:p>
            <w:pPr>
              <w:rPr>
                <w:rStyle w:val="4"/>
                <w:rFonts w:cs="宋体" w:asciiTheme="minorEastAsia" w:hAnsiTheme="minorEastAsia"/>
                <w:color w:val="auto"/>
                <w:sz w:val="22"/>
                <w:szCs w:val="22"/>
              </w:rPr>
            </w:pPr>
            <w:r>
              <w:rPr>
                <w:rStyle w:val="4"/>
                <w:rFonts w:hint="eastAsia" w:cs="宋体" w:asciiTheme="minorEastAsia" w:hAnsiTheme="minorEastAsia"/>
                <w:color w:val="auto"/>
                <w:sz w:val="22"/>
                <w:szCs w:val="22"/>
              </w:rPr>
              <w:t>探测器</w:t>
            </w:r>
          </w:p>
        </w:tc>
        <w:tc>
          <w:tcPr>
            <w:tcW w:w="4986" w:type="dxa"/>
            <w:vAlign w:val="center"/>
          </w:tcPr>
          <w:p>
            <w:pPr>
              <w:rPr>
                <w:rFonts w:asciiTheme="minorEastAsia" w:hAnsi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color w:val="auto"/>
                <w:sz w:val="22"/>
                <w:szCs w:val="22"/>
              </w:rPr>
              <w:t>★3．探测器总单元数：≥20000个；</w:t>
            </w:r>
          </w:p>
        </w:tc>
        <w:tc>
          <w:tcPr>
            <w:tcW w:w="1702" w:type="dxa"/>
            <w:vAlign w:val="center"/>
          </w:tcPr>
          <w:p>
            <w:pPr>
              <w:rPr>
                <w:rFonts w:hint="eastAsia" w:cs="宋体" w:asciiTheme="minorEastAsia" w:hAnsi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z w:val="22"/>
                <w:szCs w:val="22"/>
              </w:rPr>
              <w:t>探测器总单元数</w:t>
            </w:r>
            <w:r>
              <w:rPr>
                <w:rFonts w:hint="eastAsia" w:cs="宋体" w:asciiTheme="minorEastAsia" w:hAnsiTheme="minorEastAsia"/>
                <w:color w:val="auto"/>
                <w:sz w:val="22"/>
                <w:szCs w:val="22"/>
                <w:lang w:val="en-US" w:eastAsia="zh-CN"/>
              </w:rPr>
              <w:t>满足</w:t>
            </w:r>
            <w:r>
              <w:rPr>
                <w:rFonts w:hint="eastAsia" w:cs="宋体" w:asciiTheme="minorEastAsia" w:hAnsiTheme="minorEastAsia"/>
                <w:color w:val="auto"/>
                <w:sz w:val="22"/>
                <w:szCs w:val="22"/>
              </w:rPr>
              <w:t>20000个的得1分，之后每增加10000个得分增加2分，满分5分。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687" w:type="dxa"/>
            <w:vMerge w:val="continue"/>
            <w:vAlign w:val="center"/>
          </w:tcPr>
          <w:p>
            <w:pPr>
              <w:rPr>
                <w:rStyle w:val="4"/>
                <w:rFonts w:cs="宋体" w:ascii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4986" w:type="dxa"/>
            <w:vAlign w:val="center"/>
          </w:tcPr>
          <w:p>
            <w:pPr>
              <w:rPr>
                <w:rFonts w:asciiTheme="minorEastAsia" w:hAnsi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color w:val="auto"/>
                <w:sz w:val="22"/>
                <w:szCs w:val="22"/>
              </w:rPr>
              <w:t>★4．焦点至扫描野中心距离：≤560mm；</w:t>
            </w:r>
          </w:p>
        </w:tc>
        <w:tc>
          <w:tcPr>
            <w:tcW w:w="1702" w:type="dxa"/>
            <w:vAlign w:val="top"/>
          </w:tcPr>
          <w:p>
            <w:pPr>
              <w:rPr>
                <w:rFonts w:hint="eastAsia" w:cs="宋体" w:asciiTheme="minorEastAsia" w:hAnsi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687" w:type="dxa"/>
            <w:vMerge w:val="continue"/>
            <w:vAlign w:val="center"/>
          </w:tcPr>
          <w:p>
            <w:pPr>
              <w:rPr>
                <w:rStyle w:val="4"/>
                <w:rFonts w:cs="宋体" w:ascii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4986" w:type="dxa"/>
            <w:vAlign w:val="center"/>
          </w:tcPr>
          <w:p>
            <w:pPr>
              <w:rPr>
                <w:rStyle w:val="4"/>
                <w:rFonts w:cs="宋体" w:asciiTheme="minorEastAsia" w:hAnsi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color w:val="auto"/>
                <w:sz w:val="22"/>
                <w:szCs w:val="22"/>
              </w:rPr>
              <w:t>5．焦点至探测器距离：≤955mm</w:t>
            </w:r>
            <w:r>
              <w:rPr>
                <w:rFonts w:hint="eastAsia" w:asciiTheme="minorEastAsia" w:hAnsiTheme="minorEastAsia"/>
                <w:b/>
                <w:bCs/>
                <w:color w:val="auto"/>
                <w:sz w:val="22"/>
                <w:szCs w:val="22"/>
              </w:rPr>
              <w:t>。</w:t>
            </w:r>
          </w:p>
        </w:tc>
        <w:tc>
          <w:tcPr>
            <w:tcW w:w="1702" w:type="dxa"/>
            <w:vAlign w:val="top"/>
          </w:tcPr>
          <w:p>
            <w:pPr>
              <w:rPr>
                <w:rFonts w:hint="eastAsia" w:cs="宋体" w:asciiTheme="minorEastAsia" w:hAnsi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15" w:type="dxa"/>
            <w:vMerge w:val="restart"/>
            <w:vAlign w:val="center"/>
          </w:tcPr>
          <w:p>
            <w:pPr>
              <w:rPr>
                <w:rFonts w:asciiTheme="minorEastAsia" w:hAnsi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color w:val="auto"/>
                <w:sz w:val="22"/>
                <w:szCs w:val="22"/>
              </w:rPr>
              <w:t>4</w:t>
            </w:r>
          </w:p>
        </w:tc>
        <w:tc>
          <w:tcPr>
            <w:tcW w:w="1687" w:type="dxa"/>
            <w:vMerge w:val="restart"/>
            <w:vAlign w:val="center"/>
          </w:tcPr>
          <w:p>
            <w:pPr>
              <w:rPr>
                <w:rStyle w:val="4"/>
                <w:rFonts w:cs="宋体" w:asciiTheme="minorEastAsia" w:hAnsiTheme="minorEastAsia"/>
                <w:color w:val="auto"/>
                <w:sz w:val="22"/>
                <w:szCs w:val="22"/>
              </w:rPr>
            </w:pPr>
            <w:r>
              <w:rPr>
                <w:rStyle w:val="4"/>
                <w:rFonts w:hint="eastAsia" w:cs="宋体" w:asciiTheme="minorEastAsia" w:hAnsiTheme="minorEastAsia"/>
                <w:color w:val="auto"/>
                <w:sz w:val="22"/>
                <w:szCs w:val="22"/>
              </w:rPr>
              <w:t>扫描床系统</w:t>
            </w:r>
          </w:p>
        </w:tc>
        <w:tc>
          <w:tcPr>
            <w:tcW w:w="4986" w:type="dxa"/>
            <w:vAlign w:val="center"/>
          </w:tcPr>
          <w:p>
            <w:pPr>
              <w:rPr>
                <w:rStyle w:val="4"/>
                <w:rFonts w:cs="宋体" w:asciiTheme="minorEastAsia" w:hAnsi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color w:val="auto"/>
                <w:sz w:val="22"/>
                <w:szCs w:val="22"/>
              </w:rPr>
              <w:t>1．诊断床水平移动最大速度：≥200mm/s；</w:t>
            </w:r>
          </w:p>
        </w:tc>
        <w:tc>
          <w:tcPr>
            <w:tcW w:w="1702" w:type="dxa"/>
            <w:vAlign w:val="top"/>
          </w:tcPr>
          <w:p>
            <w:pPr>
              <w:rPr>
                <w:rFonts w:hint="eastAsia" w:cs="宋体" w:asciiTheme="minorEastAsia" w:hAnsi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687" w:type="dxa"/>
            <w:vMerge w:val="continue"/>
            <w:vAlign w:val="center"/>
          </w:tcPr>
          <w:p>
            <w:pPr>
              <w:rPr>
                <w:rStyle w:val="4"/>
                <w:rFonts w:cs="宋体" w:ascii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4986" w:type="dxa"/>
            <w:vAlign w:val="center"/>
          </w:tcPr>
          <w:p>
            <w:pPr>
              <w:rPr>
                <w:rStyle w:val="4"/>
                <w:rFonts w:cs="宋体" w:asciiTheme="minorEastAsia" w:hAnsi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color w:val="auto"/>
                <w:sz w:val="22"/>
                <w:szCs w:val="22"/>
              </w:rPr>
              <w:t>2．诊断床最大承载：≥200kg。（该承载不仅包含了尸体的重量，还包含了尸检过程中可能使用到的各种承载物。）</w:t>
            </w:r>
          </w:p>
        </w:tc>
        <w:tc>
          <w:tcPr>
            <w:tcW w:w="1702" w:type="dxa"/>
            <w:vAlign w:val="top"/>
          </w:tcPr>
          <w:p>
            <w:pPr>
              <w:rPr>
                <w:rFonts w:hint="eastAsia" w:cs="宋体" w:asciiTheme="minorEastAsia" w:hAnsi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15" w:type="dxa"/>
            <w:vMerge w:val="restart"/>
            <w:vAlign w:val="center"/>
          </w:tcPr>
          <w:p>
            <w:pPr>
              <w:rPr>
                <w:rFonts w:asciiTheme="minorEastAsia" w:hAnsi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color w:val="auto"/>
                <w:sz w:val="22"/>
                <w:szCs w:val="22"/>
              </w:rPr>
              <w:t>5</w:t>
            </w:r>
          </w:p>
        </w:tc>
        <w:tc>
          <w:tcPr>
            <w:tcW w:w="1687" w:type="dxa"/>
            <w:vMerge w:val="restart"/>
            <w:vAlign w:val="center"/>
          </w:tcPr>
          <w:p>
            <w:pPr>
              <w:rPr>
                <w:rStyle w:val="4"/>
                <w:rFonts w:cs="宋体" w:asciiTheme="minorEastAsia" w:hAnsiTheme="minorEastAsia"/>
                <w:color w:val="auto"/>
                <w:sz w:val="22"/>
                <w:szCs w:val="22"/>
              </w:rPr>
            </w:pPr>
            <w:r>
              <w:rPr>
                <w:rStyle w:val="4"/>
                <w:rFonts w:hint="eastAsia" w:cs="宋体" w:asciiTheme="minorEastAsia" w:hAnsiTheme="minorEastAsia"/>
                <w:color w:val="auto"/>
                <w:sz w:val="22"/>
                <w:szCs w:val="22"/>
              </w:rPr>
              <w:t>主控制（含后处理工作功能）</w:t>
            </w:r>
          </w:p>
        </w:tc>
        <w:tc>
          <w:tcPr>
            <w:tcW w:w="4986" w:type="dxa"/>
            <w:vAlign w:val="center"/>
          </w:tcPr>
          <w:p>
            <w:pPr>
              <w:rPr>
                <w:rFonts w:asciiTheme="minorEastAsia" w:hAnsiTheme="minorEastAsia"/>
                <w:color w:val="auto"/>
                <w:sz w:val="22"/>
                <w:szCs w:val="22"/>
              </w:rPr>
            </w:pPr>
            <w:r>
              <w:rPr>
                <w:rStyle w:val="4"/>
                <w:rFonts w:hint="eastAsia" w:cs="宋体" w:asciiTheme="minorEastAsia" w:hAnsiTheme="minorEastAsia"/>
                <w:color w:val="auto"/>
                <w:sz w:val="22"/>
                <w:szCs w:val="22"/>
              </w:rPr>
              <w:t>1．显示器分辨率：≥1920×1200；</w:t>
            </w:r>
          </w:p>
        </w:tc>
        <w:tc>
          <w:tcPr>
            <w:tcW w:w="1702" w:type="dxa"/>
            <w:vAlign w:val="top"/>
          </w:tcPr>
          <w:p>
            <w:pPr>
              <w:rPr>
                <w:rFonts w:hint="default" w:cs="宋体" w:asciiTheme="minorEastAsia" w:hAnsi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687" w:type="dxa"/>
            <w:vMerge w:val="continue"/>
            <w:vAlign w:val="center"/>
          </w:tcPr>
          <w:p>
            <w:pPr>
              <w:rPr>
                <w:rStyle w:val="4"/>
                <w:rFonts w:cs="宋体" w:ascii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4986" w:type="dxa"/>
            <w:vAlign w:val="center"/>
          </w:tcPr>
          <w:p>
            <w:pPr>
              <w:rPr>
                <w:rStyle w:val="4"/>
                <w:rFonts w:cs="宋体" w:asciiTheme="minorEastAsia" w:hAnsiTheme="minorEastAsia"/>
                <w:color w:val="auto"/>
                <w:sz w:val="22"/>
                <w:szCs w:val="22"/>
              </w:rPr>
            </w:pPr>
            <w:r>
              <w:rPr>
                <w:rStyle w:val="4"/>
                <w:rFonts w:hint="eastAsia" w:cs="宋体" w:asciiTheme="minorEastAsia" w:hAnsiTheme="minorEastAsia"/>
                <w:color w:val="auto"/>
                <w:sz w:val="22"/>
                <w:szCs w:val="22"/>
              </w:rPr>
              <w:t>2．图像重建速度：≥45幅/s；</w:t>
            </w:r>
          </w:p>
        </w:tc>
        <w:tc>
          <w:tcPr>
            <w:tcW w:w="1702" w:type="dxa"/>
            <w:vAlign w:val="top"/>
          </w:tcPr>
          <w:p>
            <w:pPr>
              <w:rPr>
                <w:rFonts w:hint="default" w:cs="宋体" w:asciiTheme="minorEastAsia" w:hAnsi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687" w:type="dxa"/>
            <w:vMerge w:val="continue"/>
            <w:vAlign w:val="center"/>
          </w:tcPr>
          <w:p>
            <w:pPr>
              <w:rPr>
                <w:rStyle w:val="4"/>
                <w:rFonts w:cs="宋体" w:ascii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4986" w:type="dxa"/>
            <w:vAlign w:val="center"/>
          </w:tcPr>
          <w:p>
            <w:pPr>
              <w:rPr>
                <w:rStyle w:val="4"/>
                <w:rFonts w:cs="宋体" w:asciiTheme="minorEastAsia" w:hAnsi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color w:val="auto"/>
                <w:sz w:val="22"/>
                <w:szCs w:val="22"/>
              </w:rPr>
              <w:t>★</w:t>
            </w:r>
            <w:r>
              <w:rPr>
                <w:rStyle w:val="4"/>
                <w:rFonts w:hint="eastAsia" w:cs="宋体" w:asciiTheme="minorEastAsia" w:hAnsiTheme="minorEastAsia"/>
                <w:color w:val="auto"/>
                <w:sz w:val="22"/>
                <w:szCs w:val="22"/>
              </w:rPr>
              <w:t>3</w:t>
            </w:r>
            <w:r>
              <w:rPr>
                <w:rFonts w:hint="eastAsia" w:asciiTheme="minorEastAsia" w:hAnsiTheme="minorEastAsia"/>
                <w:color w:val="auto"/>
                <w:sz w:val="22"/>
                <w:szCs w:val="22"/>
              </w:rPr>
              <w:t>．配备摄像采集系统：要求配备摄像头，摄像头非集成于机架上，实现CT联动扫描。</w:t>
            </w:r>
          </w:p>
        </w:tc>
        <w:tc>
          <w:tcPr>
            <w:tcW w:w="1702" w:type="dxa"/>
            <w:vAlign w:val="top"/>
          </w:tcPr>
          <w:p>
            <w:pPr>
              <w:rPr>
                <w:rFonts w:hint="default" w:cs="宋体" w:asciiTheme="minorEastAsia" w:hAnsi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15" w:type="dxa"/>
            <w:vMerge w:val="restart"/>
            <w:vAlign w:val="center"/>
          </w:tcPr>
          <w:p>
            <w:pPr>
              <w:rPr>
                <w:rFonts w:asciiTheme="minorEastAsia" w:hAnsi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color w:val="auto"/>
                <w:sz w:val="22"/>
                <w:szCs w:val="22"/>
              </w:rPr>
              <w:t>6</w:t>
            </w:r>
          </w:p>
        </w:tc>
        <w:tc>
          <w:tcPr>
            <w:tcW w:w="1687" w:type="dxa"/>
            <w:vMerge w:val="restart"/>
            <w:vAlign w:val="center"/>
          </w:tcPr>
          <w:p>
            <w:pPr>
              <w:rPr>
                <w:rStyle w:val="4"/>
                <w:rFonts w:cs="宋体" w:asciiTheme="minorEastAsia" w:hAnsiTheme="minorEastAsia"/>
                <w:color w:val="auto"/>
                <w:sz w:val="22"/>
                <w:szCs w:val="22"/>
              </w:rPr>
            </w:pPr>
            <w:r>
              <w:rPr>
                <w:rStyle w:val="4"/>
                <w:rFonts w:hint="eastAsia" w:cs="宋体" w:asciiTheme="minorEastAsia" w:hAnsiTheme="minorEastAsia"/>
                <w:color w:val="auto"/>
                <w:sz w:val="22"/>
                <w:szCs w:val="22"/>
              </w:rPr>
              <w:t>扫描参数</w:t>
            </w:r>
          </w:p>
        </w:tc>
        <w:tc>
          <w:tcPr>
            <w:tcW w:w="4986" w:type="dxa"/>
            <w:vAlign w:val="center"/>
          </w:tcPr>
          <w:p>
            <w:pPr>
              <w:rPr>
                <w:rStyle w:val="4"/>
                <w:rFonts w:cs="宋体" w:asciiTheme="minorEastAsia" w:hAnsiTheme="minorEastAsia"/>
                <w:color w:val="auto"/>
                <w:sz w:val="22"/>
                <w:szCs w:val="22"/>
              </w:rPr>
            </w:pPr>
            <w:r>
              <w:rPr>
                <w:rStyle w:val="4"/>
                <w:rFonts w:hint="eastAsia" w:cs="宋体" w:asciiTheme="minorEastAsia" w:hAnsiTheme="minorEastAsia"/>
                <w:color w:val="auto"/>
                <w:sz w:val="22"/>
                <w:szCs w:val="22"/>
              </w:rPr>
              <w:t>★1．每圈扫描图像层数：≥64层/360°；</w:t>
            </w:r>
          </w:p>
        </w:tc>
        <w:tc>
          <w:tcPr>
            <w:tcW w:w="1702" w:type="dxa"/>
            <w:vAlign w:val="center"/>
          </w:tcPr>
          <w:p>
            <w:pPr>
              <w:rPr>
                <w:rFonts w:hint="default" w:cs="宋体" w:asciiTheme="minorEastAsia" w:hAnsi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z w:val="22"/>
                <w:szCs w:val="22"/>
              </w:rPr>
              <w:t>每圈扫描图像层数</w:t>
            </w:r>
            <w:r>
              <w:rPr>
                <w:rFonts w:hint="eastAsia" w:cs="宋体" w:asciiTheme="minorEastAsia" w:hAnsiTheme="minorEastAsia"/>
                <w:color w:val="auto"/>
                <w:sz w:val="22"/>
                <w:szCs w:val="22"/>
                <w:lang w:val="en-US" w:eastAsia="zh-CN"/>
              </w:rPr>
              <w:t>满足</w:t>
            </w:r>
            <w:r>
              <w:rPr>
                <w:rFonts w:hint="eastAsia" w:cs="宋体" w:asciiTheme="minorEastAsia" w:hAnsiTheme="minorEastAsia"/>
                <w:color w:val="auto"/>
                <w:sz w:val="22"/>
                <w:szCs w:val="22"/>
              </w:rPr>
              <w:t>64层的得1分，之后每增加</w:t>
            </w:r>
            <w:r>
              <w:rPr>
                <w:rFonts w:hint="eastAsia" w:cs="宋体" w:asciiTheme="minorEastAsia" w:hAnsiTheme="minorEastAsia"/>
                <w:color w:val="auto"/>
                <w:sz w:val="22"/>
                <w:szCs w:val="22"/>
                <w:lang w:val="en-US" w:eastAsia="zh-CN"/>
              </w:rPr>
              <w:t>32</w:t>
            </w:r>
            <w:r>
              <w:rPr>
                <w:rFonts w:hint="eastAsia" w:cs="宋体" w:asciiTheme="minorEastAsia" w:hAnsiTheme="minorEastAsia"/>
                <w:color w:val="auto"/>
                <w:sz w:val="22"/>
                <w:szCs w:val="22"/>
              </w:rPr>
              <w:t>层得分增加2分，满分5分。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687" w:type="dxa"/>
            <w:vMerge w:val="continue"/>
            <w:vAlign w:val="center"/>
          </w:tcPr>
          <w:p>
            <w:pPr>
              <w:rPr>
                <w:rStyle w:val="4"/>
                <w:rFonts w:cs="宋体" w:ascii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4986" w:type="dxa"/>
            <w:vAlign w:val="center"/>
          </w:tcPr>
          <w:p>
            <w:pPr>
              <w:rPr>
                <w:rStyle w:val="4"/>
                <w:rFonts w:cs="宋体" w:asciiTheme="minorEastAsia" w:hAnsiTheme="minorEastAsia"/>
                <w:color w:val="auto"/>
                <w:sz w:val="22"/>
                <w:szCs w:val="22"/>
              </w:rPr>
            </w:pPr>
            <w:r>
              <w:rPr>
                <w:rStyle w:val="4"/>
                <w:rFonts w:hint="eastAsia" w:cs="宋体" w:asciiTheme="minorEastAsia" w:hAnsiTheme="minorEastAsia"/>
                <w:color w:val="auto"/>
                <w:sz w:val="22"/>
                <w:szCs w:val="22"/>
              </w:rPr>
              <w:t>★2．最快扫描速度：≤0.75s/360°；</w:t>
            </w:r>
          </w:p>
        </w:tc>
        <w:tc>
          <w:tcPr>
            <w:tcW w:w="1702" w:type="dxa"/>
            <w:vAlign w:val="center"/>
          </w:tcPr>
          <w:p>
            <w:pPr>
              <w:rPr>
                <w:rFonts w:hint="default" w:cs="宋体" w:asciiTheme="minorEastAsia" w:hAnsi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z w:val="22"/>
                <w:szCs w:val="22"/>
              </w:rPr>
              <w:t>最快扫描速度</w:t>
            </w:r>
            <w:r>
              <w:rPr>
                <w:rFonts w:hint="eastAsia" w:cs="宋体" w:asciiTheme="minorEastAsia" w:hAnsiTheme="minorEastAsia"/>
                <w:color w:val="auto"/>
                <w:sz w:val="22"/>
                <w:szCs w:val="22"/>
                <w:lang w:val="en-US" w:eastAsia="zh-CN"/>
              </w:rPr>
              <w:t>满足</w:t>
            </w:r>
            <w:r>
              <w:rPr>
                <w:rFonts w:hint="eastAsia" w:cs="宋体" w:asciiTheme="minorEastAsia" w:hAnsiTheme="minorEastAsia"/>
                <w:color w:val="auto"/>
                <w:sz w:val="22"/>
                <w:szCs w:val="22"/>
              </w:rPr>
              <w:t>0.75s/360°的得2分，优于0.75s/360°的得4分。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687" w:type="dxa"/>
            <w:vMerge w:val="continue"/>
            <w:vAlign w:val="center"/>
          </w:tcPr>
          <w:p>
            <w:pPr>
              <w:rPr>
                <w:rStyle w:val="4"/>
                <w:rFonts w:cs="宋体" w:ascii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4986" w:type="dxa"/>
            <w:vAlign w:val="center"/>
          </w:tcPr>
          <w:p>
            <w:pPr>
              <w:rPr>
                <w:rStyle w:val="4"/>
                <w:rFonts w:cs="宋体" w:asciiTheme="minorEastAsia" w:hAnsiTheme="minorEastAsia"/>
                <w:color w:val="auto"/>
                <w:sz w:val="22"/>
                <w:szCs w:val="22"/>
              </w:rPr>
            </w:pPr>
            <w:r>
              <w:rPr>
                <w:rStyle w:val="4"/>
                <w:rFonts w:hint="eastAsia" w:cs="宋体" w:asciiTheme="minorEastAsia" w:hAnsiTheme="minorEastAsia"/>
                <w:color w:val="auto"/>
                <w:sz w:val="22"/>
                <w:szCs w:val="22"/>
              </w:rPr>
              <w:t>3．最小螺距：≤0.2；</w:t>
            </w:r>
          </w:p>
        </w:tc>
        <w:tc>
          <w:tcPr>
            <w:tcW w:w="1702" w:type="dxa"/>
            <w:vAlign w:val="center"/>
          </w:tcPr>
          <w:p>
            <w:pPr>
              <w:rPr>
                <w:rFonts w:hint="default" w:cs="宋体" w:asciiTheme="minorEastAsia" w:hAnsi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687" w:type="dxa"/>
            <w:vMerge w:val="continue"/>
            <w:vAlign w:val="center"/>
          </w:tcPr>
          <w:p>
            <w:pPr>
              <w:rPr>
                <w:rStyle w:val="4"/>
                <w:rFonts w:cs="宋体" w:ascii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4986" w:type="dxa"/>
            <w:vAlign w:val="center"/>
          </w:tcPr>
          <w:p>
            <w:pPr>
              <w:rPr>
                <w:rStyle w:val="4"/>
                <w:rFonts w:cs="宋体" w:asciiTheme="minorEastAsia" w:hAnsiTheme="minorEastAsia"/>
                <w:color w:val="auto"/>
                <w:sz w:val="22"/>
                <w:szCs w:val="22"/>
              </w:rPr>
            </w:pPr>
            <w:r>
              <w:rPr>
                <w:rStyle w:val="4"/>
                <w:rFonts w:hint="eastAsia" w:cs="宋体" w:asciiTheme="minorEastAsia" w:hAnsiTheme="minorEastAsia"/>
                <w:color w:val="auto"/>
                <w:sz w:val="22"/>
                <w:szCs w:val="22"/>
              </w:rPr>
              <w:t>4．最大螺距：≥2；</w:t>
            </w:r>
          </w:p>
        </w:tc>
        <w:tc>
          <w:tcPr>
            <w:tcW w:w="1702" w:type="dxa"/>
            <w:vAlign w:val="center"/>
          </w:tcPr>
          <w:p>
            <w:pPr>
              <w:rPr>
                <w:rFonts w:hint="default" w:cs="宋体" w:asciiTheme="minorEastAsia" w:hAnsi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687" w:type="dxa"/>
            <w:vMerge w:val="continue"/>
            <w:vAlign w:val="center"/>
          </w:tcPr>
          <w:p>
            <w:pPr>
              <w:rPr>
                <w:rStyle w:val="4"/>
                <w:rFonts w:cs="宋体" w:ascii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4986" w:type="dxa"/>
            <w:vAlign w:val="center"/>
          </w:tcPr>
          <w:p>
            <w:pPr>
              <w:rPr>
                <w:rStyle w:val="4"/>
                <w:rFonts w:cs="宋体" w:asciiTheme="minorEastAsia" w:hAnsiTheme="minorEastAsia"/>
                <w:color w:val="auto"/>
                <w:sz w:val="22"/>
                <w:szCs w:val="22"/>
              </w:rPr>
            </w:pPr>
            <w:r>
              <w:rPr>
                <w:rStyle w:val="4"/>
                <w:rFonts w:hint="eastAsia" w:cs="宋体" w:asciiTheme="minorEastAsia" w:hAnsiTheme="minorEastAsia"/>
                <w:color w:val="auto"/>
                <w:sz w:val="22"/>
                <w:szCs w:val="22"/>
              </w:rPr>
              <w:t>5．图像重建矩阵 ≥512×512，768×768，1024×1024；</w:t>
            </w:r>
          </w:p>
        </w:tc>
        <w:tc>
          <w:tcPr>
            <w:tcW w:w="1702" w:type="dxa"/>
            <w:vAlign w:val="center"/>
          </w:tcPr>
          <w:p>
            <w:pPr>
              <w:rPr>
                <w:rFonts w:hint="default" w:cs="宋体" w:asciiTheme="minorEastAsia" w:hAnsi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687" w:type="dxa"/>
            <w:vMerge w:val="continue"/>
            <w:vAlign w:val="center"/>
          </w:tcPr>
          <w:p>
            <w:pPr>
              <w:rPr>
                <w:rStyle w:val="4"/>
                <w:rFonts w:cs="宋体" w:ascii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4986" w:type="dxa"/>
            <w:vAlign w:val="center"/>
          </w:tcPr>
          <w:p>
            <w:pPr>
              <w:rPr>
                <w:rStyle w:val="4"/>
                <w:rFonts w:cs="宋体" w:asciiTheme="minorEastAsia" w:hAnsiTheme="minorEastAsia"/>
                <w:color w:val="auto"/>
                <w:sz w:val="22"/>
                <w:szCs w:val="22"/>
              </w:rPr>
            </w:pPr>
            <w:r>
              <w:rPr>
                <w:rStyle w:val="4"/>
                <w:rFonts w:hint="eastAsia" w:cs="宋体" w:asciiTheme="minorEastAsia" w:hAnsiTheme="minorEastAsia"/>
                <w:color w:val="auto"/>
                <w:sz w:val="22"/>
                <w:szCs w:val="22"/>
              </w:rPr>
              <w:t>6．最薄图像重建层厚≤0.625mm。</w:t>
            </w:r>
          </w:p>
        </w:tc>
        <w:tc>
          <w:tcPr>
            <w:tcW w:w="1702" w:type="dxa"/>
            <w:vAlign w:val="center"/>
          </w:tcPr>
          <w:p>
            <w:pPr>
              <w:rPr>
                <w:rFonts w:hint="default" w:cs="宋体" w:asciiTheme="minorEastAsia" w:hAnsi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15" w:type="dxa"/>
            <w:vMerge w:val="restart"/>
            <w:vAlign w:val="center"/>
          </w:tcPr>
          <w:p>
            <w:pPr>
              <w:rPr>
                <w:rFonts w:asciiTheme="minorEastAsia" w:hAnsi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color w:val="auto"/>
                <w:sz w:val="22"/>
                <w:szCs w:val="22"/>
              </w:rPr>
              <w:t>7</w:t>
            </w:r>
          </w:p>
        </w:tc>
        <w:tc>
          <w:tcPr>
            <w:tcW w:w="1687" w:type="dxa"/>
            <w:vMerge w:val="restart"/>
            <w:vAlign w:val="center"/>
          </w:tcPr>
          <w:p>
            <w:pPr>
              <w:rPr>
                <w:rStyle w:val="4"/>
                <w:rFonts w:cs="宋体" w:asciiTheme="minorEastAsia" w:hAnsiTheme="minorEastAsia"/>
                <w:color w:val="auto"/>
                <w:sz w:val="22"/>
                <w:szCs w:val="22"/>
              </w:rPr>
            </w:pPr>
            <w:r>
              <w:rPr>
                <w:rStyle w:val="4"/>
                <w:rFonts w:hint="eastAsia" w:cs="宋体" w:asciiTheme="minorEastAsia" w:hAnsiTheme="minorEastAsia"/>
                <w:color w:val="auto"/>
                <w:sz w:val="22"/>
                <w:szCs w:val="22"/>
              </w:rPr>
              <w:t>图像质量</w:t>
            </w:r>
          </w:p>
        </w:tc>
        <w:tc>
          <w:tcPr>
            <w:tcW w:w="4986" w:type="dxa"/>
            <w:vAlign w:val="center"/>
          </w:tcPr>
          <w:p>
            <w:pPr>
              <w:rPr>
                <w:rStyle w:val="4"/>
                <w:rFonts w:cs="宋体" w:asciiTheme="minorEastAsia" w:hAnsiTheme="minorEastAsia"/>
                <w:color w:val="auto"/>
                <w:sz w:val="22"/>
                <w:szCs w:val="22"/>
              </w:rPr>
            </w:pPr>
            <w:r>
              <w:rPr>
                <w:rStyle w:val="4"/>
                <w:rFonts w:hint="eastAsia" w:cs="宋体" w:asciiTheme="minorEastAsia" w:hAnsiTheme="minorEastAsia"/>
                <w:color w:val="auto"/>
                <w:sz w:val="22"/>
                <w:szCs w:val="22"/>
              </w:rPr>
              <w:t>1．空间分辨率：≥20 LP/cm(0%MTF)，标准模式下；</w:t>
            </w:r>
          </w:p>
        </w:tc>
        <w:tc>
          <w:tcPr>
            <w:tcW w:w="1702" w:type="dxa"/>
            <w:vAlign w:val="center"/>
          </w:tcPr>
          <w:p>
            <w:pPr>
              <w:rPr>
                <w:rFonts w:hint="default" w:cs="宋体" w:asciiTheme="minorEastAsia" w:hAnsi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687" w:type="dxa"/>
            <w:vMerge w:val="continue"/>
            <w:vAlign w:val="center"/>
          </w:tcPr>
          <w:p>
            <w:pPr>
              <w:rPr>
                <w:rStyle w:val="4"/>
                <w:rFonts w:cs="宋体" w:ascii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4986" w:type="dxa"/>
            <w:vAlign w:val="center"/>
          </w:tcPr>
          <w:p>
            <w:pPr>
              <w:rPr>
                <w:rStyle w:val="4"/>
                <w:rFonts w:cs="宋体" w:asciiTheme="minorEastAsia" w:hAnsiTheme="minorEastAsia"/>
                <w:color w:val="auto"/>
                <w:sz w:val="22"/>
                <w:szCs w:val="22"/>
              </w:rPr>
            </w:pPr>
            <w:r>
              <w:rPr>
                <w:rStyle w:val="4"/>
                <w:rFonts w:hint="eastAsia" w:cs="宋体" w:asciiTheme="minorEastAsia" w:hAnsiTheme="minorEastAsia"/>
                <w:color w:val="auto"/>
                <w:sz w:val="22"/>
                <w:szCs w:val="22"/>
              </w:rPr>
              <w:t>2．密度分辨率：≤2mm@0.3%。</w:t>
            </w:r>
          </w:p>
        </w:tc>
        <w:tc>
          <w:tcPr>
            <w:tcW w:w="1702" w:type="dxa"/>
            <w:vAlign w:val="center"/>
          </w:tcPr>
          <w:p>
            <w:pPr>
              <w:rPr>
                <w:rFonts w:hint="default" w:cs="宋体" w:asciiTheme="minorEastAsia" w:hAnsi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15" w:type="dxa"/>
            <w:vMerge w:val="restart"/>
            <w:vAlign w:val="center"/>
          </w:tcPr>
          <w:p>
            <w:pPr>
              <w:rPr>
                <w:rFonts w:asciiTheme="minorEastAsia" w:hAnsi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color w:val="auto"/>
                <w:sz w:val="22"/>
                <w:szCs w:val="22"/>
              </w:rPr>
              <w:t>8</w:t>
            </w:r>
          </w:p>
        </w:tc>
        <w:tc>
          <w:tcPr>
            <w:tcW w:w="1687" w:type="dxa"/>
            <w:vMerge w:val="restart"/>
            <w:vAlign w:val="center"/>
          </w:tcPr>
          <w:p>
            <w:pPr>
              <w:rPr>
                <w:rStyle w:val="4"/>
                <w:rFonts w:cs="宋体" w:asciiTheme="minorEastAsia" w:hAnsiTheme="minorEastAsia"/>
                <w:color w:val="auto"/>
                <w:sz w:val="22"/>
                <w:szCs w:val="22"/>
              </w:rPr>
            </w:pPr>
            <w:r>
              <w:rPr>
                <w:rStyle w:val="4"/>
                <w:rFonts w:hint="eastAsia" w:cs="宋体" w:asciiTheme="minorEastAsia" w:hAnsiTheme="minorEastAsia"/>
                <w:color w:val="auto"/>
                <w:sz w:val="22"/>
                <w:szCs w:val="22"/>
              </w:rPr>
              <w:t>临床应用功能</w:t>
            </w:r>
          </w:p>
        </w:tc>
        <w:tc>
          <w:tcPr>
            <w:tcW w:w="4986" w:type="dxa"/>
            <w:vAlign w:val="center"/>
          </w:tcPr>
          <w:p>
            <w:pPr>
              <w:rPr>
                <w:rFonts w:asciiTheme="minorEastAsia" w:hAnsiTheme="minorEastAsia"/>
                <w:color w:val="auto"/>
                <w:sz w:val="22"/>
                <w:szCs w:val="22"/>
              </w:rPr>
            </w:pPr>
            <w:r>
              <w:rPr>
                <w:rStyle w:val="4"/>
                <w:rFonts w:hint="eastAsia" w:cs="宋体" w:asciiTheme="minorEastAsia" w:hAnsiTheme="minorEastAsia"/>
                <w:color w:val="auto"/>
                <w:sz w:val="22"/>
                <w:szCs w:val="22"/>
              </w:rPr>
              <w:t>1．金属伪影抑制算法：配备；</w:t>
            </w:r>
          </w:p>
        </w:tc>
        <w:tc>
          <w:tcPr>
            <w:tcW w:w="1702" w:type="dxa"/>
            <w:vAlign w:val="center"/>
          </w:tcPr>
          <w:p>
            <w:pPr>
              <w:rPr>
                <w:rFonts w:hint="default" w:cs="宋体" w:asciiTheme="minorEastAsia" w:hAnsi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687" w:type="dxa"/>
            <w:vMerge w:val="continue"/>
            <w:vAlign w:val="center"/>
          </w:tcPr>
          <w:p>
            <w:pPr>
              <w:rPr>
                <w:rStyle w:val="4"/>
                <w:rFonts w:cs="宋体" w:ascii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4986" w:type="dxa"/>
            <w:vAlign w:val="center"/>
          </w:tcPr>
          <w:p>
            <w:pPr>
              <w:rPr>
                <w:rStyle w:val="4"/>
                <w:rFonts w:cs="宋体" w:asciiTheme="minorEastAsia" w:hAnsiTheme="minorEastAsia"/>
                <w:color w:val="auto"/>
                <w:sz w:val="22"/>
                <w:szCs w:val="22"/>
              </w:rPr>
            </w:pPr>
            <w:r>
              <w:rPr>
                <w:rStyle w:val="4"/>
                <w:rFonts w:hint="eastAsia" w:cs="宋体" w:asciiTheme="minorEastAsia" w:hAnsiTheme="minorEastAsia"/>
                <w:color w:val="auto"/>
                <w:sz w:val="22"/>
                <w:szCs w:val="22"/>
              </w:rPr>
              <w:t>2．一键穿刺定位：配备；</w:t>
            </w:r>
          </w:p>
        </w:tc>
        <w:tc>
          <w:tcPr>
            <w:tcW w:w="1702" w:type="dxa"/>
            <w:vAlign w:val="center"/>
          </w:tcPr>
          <w:p>
            <w:pPr>
              <w:rPr>
                <w:rFonts w:hint="default" w:cs="宋体" w:asciiTheme="minorEastAsia" w:hAnsi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687" w:type="dxa"/>
            <w:vMerge w:val="continue"/>
            <w:vAlign w:val="center"/>
          </w:tcPr>
          <w:p>
            <w:pPr>
              <w:rPr>
                <w:rStyle w:val="4"/>
                <w:rFonts w:cs="宋体" w:ascii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4986" w:type="dxa"/>
            <w:vAlign w:val="center"/>
          </w:tcPr>
          <w:p>
            <w:pPr>
              <w:rPr>
                <w:rStyle w:val="4"/>
                <w:rFonts w:cs="宋体" w:asciiTheme="minorEastAsia" w:hAnsiTheme="minorEastAsia"/>
                <w:color w:val="auto"/>
                <w:sz w:val="22"/>
                <w:szCs w:val="22"/>
              </w:rPr>
            </w:pPr>
            <w:r>
              <w:rPr>
                <w:rStyle w:val="4"/>
                <w:rFonts w:hint="eastAsia" w:cs="宋体" w:asciiTheme="minorEastAsia" w:hAnsiTheme="minorEastAsia"/>
                <w:color w:val="auto"/>
                <w:sz w:val="22"/>
                <w:szCs w:val="22"/>
              </w:rPr>
              <w:t>3．容积重建（VR）：配备。</w:t>
            </w:r>
          </w:p>
        </w:tc>
        <w:tc>
          <w:tcPr>
            <w:tcW w:w="1702" w:type="dxa"/>
            <w:vAlign w:val="center"/>
          </w:tcPr>
          <w:p>
            <w:pPr>
              <w:rPr>
                <w:rFonts w:hint="default" w:cs="宋体" w:asciiTheme="minorEastAsia" w:hAnsi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5" w:type="dxa"/>
            <w:vAlign w:val="center"/>
          </w:tcPr>
          <w:p>
            <w:pPr>
              <w:rPr>
                <w:rFonts w:asciiTheme="minorEastAsia" w:hAnsi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color w:val="auto"/>
                <w:sz w:val="22"/>
                <w:szCs w:val="22"/>
              </w:rPr>
              <w:t>11</w:t>
            </w:r>
          </w:p>
        </w:tc>
        <w:tc>
          <w:tcPr>
            <w:tcW w:w="1687" w:type="dxa"/>
            <w:vAlign w:val="center"/>
          </w:tcPr>
          <w:p>
            <w:pPr>
              <w:rPr>
                <w:rFonts w:asciiTheme="minorEastAsia" w:hAnsiTheme="minorEastAsia"/>
                <w:color w:val="auto"/>
                <w:sz w:val="22"/>
                <w:szCs w:val="22"/>
              </w:rPr>
            </w:pPr>
            <w:r>
              <w:rPr>
                <w:rStyle w:val="4"/>
                <w:rFonts w:hint="eastAsia" w:cs="宋体" w:asciiTheme="minorEastAsia" w:hAnsiTheme="minorEastAsia"/>
                <w:color w:val="auto"/>
                <w:sz w:val="22"/>
                <w:szCs w:val="22"/>
              </w:rPr>
              <w:t>高压注射器</w:t>
            </w:r>
          </w:p>
        </w:tc>
        <w:tc>
          <w:tcPr>
            <w:tcW w:w="4986" w:type="dxa"/>
            <w:vAlign w:val="center"/>
          </w:tcPr>
          <w:p>
            <w:pPr>
              <w:rPr>
                <w:rStyle w:val="4"/>
                <w:rFonts w:cs="宋体" w:asciiTheme="minorEastAsia" w:hAnsiTheme="minorEastAsia"/>
                <w:color w:val="auto"/>
                <w:sz w:val="22"/>
                <w:szCs w:val="22"/>
              </w:rPr>
            </w:pPr>
            <w:r>
              <w:rPr>
                <w:rStyle w:val="4"/>
                <w:rFonts w:hint="eastAsia" w:cs="宋体" w:asciiTheme="minorEastAsia" w:hAnsiTheme="minorEastAsia"/>
                <w:color w:val="auto"/>
                <w:sz w:val="22"/>
                <w:szCs w:val="22"/>
              </w:rPr>
              <w:t>1.无线通讯延迟：≤1S。</w:t>
            </w:r>
          </w:p>
          <w:p>
            <w:pPr>
              <w:rPr>
                <w:rStyle w:val="4"/>
                <w:rFonts w:cs="宋体" w:asciiTheme="minorEastAsia" w:hAnsiTheme="minorEastAsia"/>
                <w:color w:val="auto"/>
                <w:sz w:val="22"/>
                <w:szCs w:val="22"/>
              </w:rPr>
            </w:pPr>
            <w:r>
              <w:rPr>
                <w:rStyle w:val="4"/>
                <w:rFonts w:hint="eastAsia" w:cs="宋体" w:asciiTheme="minorEastAsia" w:hAnsiTheme="minorEastAsia"/>
                <w:color w:val="auto"/>
                <w:sz w:val="22"/>
                <w:szCs w:val="22"/>
              </w:rPr>
              <w:t>2.开机待机时间：≥8小时</w:t>
            </w:r>
          </w:p>
          <w:p>
            <w:pPr>
              <w:rPr>
                <w:rStyle w:val="4"/>
                <w:rFonts w:cs="宋体" w:asciiTheme="minorEastAsia" w:hAnsiTheme="minorEastAsia"/>
                <w:color w:val="auto"/>
                <w:sz w:val="22"/>
                <w:szCs w:val="22"/>
              </w:rPr>
            </w:pPr>
            <w:r>
              <w:rPr>
                <w:rStyle w:val="4"/>
                <w:rFonts w:hint="eastAsia" w:cs="宋体" w:asciiTheme="minorEastAsia" w:hAnsiTheme="minorEastAsia"/>
                <w:color w:val="auto"/>
                <w:sz w:val="22"/>
                <w:szCs w:val="22"/>
              </w:rPr>
              <w:t>3.压力测量范围：-750～750mmHg</w:t>
            </w:r>
          </w:p>
          <w:p>
            <w:pPr>
              <w:rPr>
                <w:rStyle w:val="4"/>
                <w:rFonts w:cs="宋体" w:asciiTheme="minorEastAsia" w:hAnsiTheme="minorEastAsia"/>
                <w:color w:val="auto"/>
                <w:sz w:val="22"/>
                <w:szCs w:val="22"/>
              </w:rPr>
            </w:pPr>
            <w:r>
              <w:rPr>
                <w:rStyle w:val="4"/>
                <w:rFonts w:hint="eastAsia" w:cs="宋体" w:asciiTheme="minorEastAsia" w:hAnsiTheme="minorEastAsia"/>
                <w:color w:val="auto"/>
                <w:sz w:val="22"/>
                <w:szCs w:val="22"/>
              </w:rPr>
              <w:t>4.压力测量精度：≤±5%</w:t>
            </w:r>
          </w:p>
          <w:p>
            <w:pPr>
              <w:rPr>
                <w:rStyle w:val="4"/>
                <w:rFonts w:cs="宋体" w:asciiTheme="minorEastAsia" w:hAnsiTheme="minorEastAsia"/>
                <w:color w:val="auto"/>
                <w:sz w:val="22"/>
                <w:szCs w:val="22"/>
              </w:rPr>
            </w:pPr>
            <w:r>
              <w:rPr>
                <w:rStyle w:val="4"/>
                <w:rFonts w:hint="eastAsia" w:cs="宋体" w:asciiTheme="minorEastAsia" w:hAnsiTheme="minorEastAsia"/>
                <w:color w:val="auto"/>
                <w:sz w:val="22"/>
                <w:szCs w:val="22"/>
              </w:rPr>
              <w:t>5.蠕动泵流速范围：1mL/min-2000ml/min</w:t>
            </w:r>
          </w:p>
          <w:p>
            <w:pPr>
              <w:rPr>
                <w:rStyle w:val="4"/>
                <w:rFonts w:cs="宋体" w:asciiTheme="minorEastAsia" w:hAnsiTheme="minorEastAsia"/>
                <w:color w:val="auto"/>
                <w:sz w:val="22"/>
                <w:szCs w:val="22"/>
              </w:rPr>
            </w:pPr>
            <w:r>
              <w:rPr>
                <w:rStyle w:val="4"/>
                <w:rFonts w:hint="eastAsia" w:cs="宋体" w:asciiTheme="minorEastAsia" w:hAnsiTheme="minorEastAsia"/>
                <w:color w:val="auto"/>
                <w:sz w:val="22"/>
                <w:szCs w:val="22"/>
              </w:rPr>
              <w:t>6.蠕动泵定量注射：1mL-9999mL</w:t>
            </w:r>
          </w:p>
          <w:p>
            <w:pPr>
              <w:rPr>
                <w:rStyle w:val="4"/>
                <w:rFonts w:cs="宋体" w:asciiTheme="minorEastAsia" w:hAnsiTheme="minorEastAsia"/>
                <w:color w:val="auto"/>
                <w:sz w:val="22"/>
                <w:szCs w:val="22"/>
              </w:rPr>
            </w:pPr>
            <w:r>
              <w:rPr>
                <w:rStyle w:val="4"/>
                <w:rFonts w:hint="eastAsia" w:cs="宋体" w:asciiTheme="minorEastAsia" w:hAnsiTheme="minorEastAsia"/>
                <w:color w:val="auto"/>
                <w:sz w:val="22"/>
                <w:szCs w:val="22"/>
              </w:rPr>
              <w:t>7.注射压力达到停止压力时停止：具备</w:t>
            </w:r>
          </w:p>
        </w:tc>
        <w:tc>
          <w:tcPr>
            <w:tcW w:w="1702" w:type="dxa"/>
            <w:vAlign w:val="center"/>
          </w:tcPr>
          <w:p>
            <w:pPr>
              <w:rPr>
                <w:rFonts w:hint="eastAsia" w:cs="宋体" w:asciiTheme="minorEastAsia" w:hAnsiTheme="minorEastAsia" w:eastAsia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z w:val="22"/>
                <w:szCs w:val="22"/>
              </w:rPr>
              <w:t>1</w:t>
            </w:r>
            <w:r>
              <w:rPr>
                <w:rFonts w:hint="eastAsia" w:cs="宋体" w:asciiTheme="minorEastAsia" w:hAnsiTheme="minorEastAsia"/>
                <w:color w:val="auto"/>
                <w:sz w:val="22"/>
                <w:szCs w:val="22"/>
                <w:lang w:eastAsia="zh-CN"/>
              </w:rPr>
              <w:t>（</w:t>
            </w:r>
            <w:r>
              <w:rPr>
                <w:rFonts w:hint="eastAsia" w:cs="宋体" w:asciiTheme="minorEastAsia" w:hAnsiTheme="minorEastAsia"/>
                <w:color w:val="auto"/>
                <w:sz w:val="22"/>
                <w:szCs w:val="22"/>
                <w:lang w:val="en-US" w:eastAsia="zh-CN"/>
              </w:rPr>
              <w:t>全部满足的得1分，有不满足的本项不得分</w:t>
            </w:r>
            <w:r>
              <w:rPr>
                <w:rFonts w:hint="eastAsia" w:cs="宋体" w:asciiTheme="minorEastAsia" w:hAnsiTheme="minorEastAsia"/>
                <w:color w:val="auto"/>
                <w:sz w:val="22"/>
                <w:szCs w:val="22"/>
                <w:lang w:eastAsia="zh-CN"/>
              </w:rPr>
              <w:t>）</w:t>
            </w:r>
          </w:p>
        </w:tc>
      </w:tr>
    </w:tbl>
    <w:p>
      <w:pPr>
        <w:rPr>
          <w:rFonts w:cs="宋体" w:asciiTheme="minorEastAsia" w:hAnsiTheme="minorEastAsia"/>
          <w:color w:val="auto"/>
        </w:rPr>
      </w:pP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wNTQyMDU4ZjViYTgyY2JhMWRhOWMxODQ1Zjg1MTIifQ=="/>
  </w:docVars>
  <w:rsids>
    <w:rsidRoot w:val="00000000"/>
    <w:rsid w:val="1E35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</cp:lastModifiedBy>
  <dcterms:modified xsi:type="dcterms:W3CDTF">2024-03-21T07:08:27Z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78ECC12B67B54205872ACB03FA5C0CCF_12</vt:lpwstr>
  </property>
</Properties>
</file>