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采购需求</w:t>
      </w:r>
    </w:p>
    <w:p>
      <w:pPr>
        <w:spacing w:line="360" w:lineRule="exact"/>
        <w:rPr>
          <w:rFonts w:hint="eastAsia" w:ascii="宋体" w:hAnsi="宋体" w:cs="宋体"/>
          <w:b/>
          <w:bCs/>
          <w:color w:val="auto"/>
          <w:spacing w:val="-6"/>
          <w:sz w:val="22"/>
          <w:highlight w:val="none"/>
        </w:rPr>
      </w:pPr>
      <w:r>
        <w:rPr>
          <w:rFonts w:hint="eastAsia" w:ascii="宋体" w:hAnsi="宋体" w:cs="宋体"/>
          <w:b/>
          <w:bCs/>
          <w:color w:val="auto"/>
          <w:spacing w:val="-6"/>
          <w:sz w:val="22"/>
          <w:highlight w:val="none"/>
        </w:rPr>
        <w:t>一、采购内容及数量</w:t>
      </w:r>
    </w:p>
    <w:tbl>
      <w:tblPr>
        <w:tblStyle w:val="7"/>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9"/>
        <w:gridCol w:w="5303"/>
        <w:gridCol w:w="1869"/>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5" w:hRule="atLeast"/>
          <w:jc w:val="center"/>
        </w:trPr>
        <w:tc>
          <w:tcPr>
            <w:tcW w:w="499" w:type="dxa"/>
            <w:vAlign w:val="center"/>
          </w:tcPr>
          <w:p>
            <w:pPr>
              <w:snapToGrid w:val="0"/>
              <w:spacing w:line="360" w:lineRule="exact"/>
              <w:jc w:val="center"/>
              <w:rPr>
                <w:rFonts w:ascii="宋体" w:hAnsi="宋体"/>
                <w:b/>
                <w:color w:val="auto"/>
                <w:sz w:val="22"/>
                <w:highlight w:val="none"/>
              </w:rPr>
            </w:pPr>
            <w:r>
              <w:rPr>
                <w:rFonts w:hint="eastAsia" w:ascii="宋体" w:hAnsi="宋体"/>
                <w:b/>
                <w:color w:val="auto"/>
                <w:sz w:val="22"/>
                <w:highlight w:val="none"/>
              </w:rPr>
              <w:t>序号</w:t>
            </w:r>
          </w:p>
        </w:tc>
        <w:tc>
          <w:tcPr>
            <w:tcW w:w="5303" w:type="dxa"/>
            <w:vAlign w:val="center"/>
          </w:tcPr>
          <w:p>
            <w:pPr>
              <w:snapToGrid w:val="0"/>
              <w:spacing w:line="360" w:lineRule="exact"/>
              <w:jc w:val="center"/>
              <w:rPr>
                <w:rFonts w:ascii="宋体" w:hAnsi="宋体"/>
                <w:b/>
                <w:color w:val="auto"/>
                <w:sz w:val="22"/>
                <w:highlight w:val="none"/>
              </w:rPr>
            </w:pPr>
            <w:r>
              <w:rPr>
                <w:rFonts w:hint="eastAsia" w:ascii="宋体" w:hAnsi="宋体"/>
                <w:b/>
                <w:color w:val="auto"/>
                <w:sz w:val="22"/>
                <w:highlight w:val="none"/>
              </w:rPr>
              <w:t>项目名称</w:t>
            </w:r>
          </w:p>
        </w:tc>
        <w:tc>
          <w:tcPr>
            <w:tcW w:w="1869" w:type="dxa"/>
            <w:vAlign w:val="center"/>
          </w:tcPr>
          <w:p>
            <w:pPr>
              <w:snapToGrid w:val="0"/>
              <w:spacing w:line="360" w:lineRule="exact"/>
              <w:jc w:val="center"/>
              <w:rPr>
                <w:rFonts w:hint="eastAsia" w:ascii="宋体" w:hAnsi="宋体" w:eastAsia="宋体"/>
                <w:b/>
                <w:color w:val="auto"/>
                <w:sz w:val="22"/>
                <w:highlight w:val="none"/>
                <w:lang w:eastAsia="zh-CN"/>
              </w:rPr>
            </w:pPr>
            <w:r>
              <w:rPr>
                <w:rFonts w:hint="eastAsia" w:ascii="宋体" w:hAnsi="宋体" w:eastAsia="宋体"/>
                <w:b/>
                <w:color w:val="auto"/>
                <w:sz w:val="22"/>
                <w:highlight w:val="none"/>
                <w:lang w:eastAsia="zh-CN"/>
              </w:rPr>
              <w:t>各服务项目报价比例要求</w:t>
            </w:r>
          </w:p>
        </w:tc>
        <w:tc>
          <w:tcPr>
            <w:tcW w:w="1083" w:type="dxa"/>
            <w:vAlign w:val="center"/>
          </w:tcPr>
          <w:p>
            <w:pPr>
              <w:snapToGrid w:val="0"/>
              <w:spacing w:line="360" w:lineRule="exact"/>
              <w:jc w:val="center"/>
              <w:rPr>
                <w:rFonts w:hint="eastAsia" w:ascii="宋体" w:hAnsi="宋体"/>
                <w:b/>
                <w:color w:val="auto"/>
                <w:sz w:val="22"/>
                <w:highlight w:val="none"/>
                <w:lang w:eastAsia="zh-CN"/>
              </w:rPr>
            </w:pPr>
            <w:r>
              <w:rPr>
                <w:rFonts w:hint="eastAsia" w:ascii="宋体" w:hAnsi="宋体"/>
                <w:b/>
                <w:color w:val="auto"/>
                <w:sz w:val="22"/>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4" w:hRule="atLeast"/>
          <w:jc w:val="center"/>
        </w:trPr>
        <w:tc>
          <w:tcPr>
            <w:tcW w:w="499" w:type="dxa"/>
            <w:vAlign w:val="center"/>
          </w:tcPr>
          <w:p>
            <w:pPr>
              <w:snapToGrid w:val="0"/>
              <w:spacing w:line="360" w:lineRule="exact"/>
              <w:jc w:val="center"/>
              <w:rPr>
                <w:rFonts w:hint="eastAsia" w:ascii="宋体" w:hAnsi="宋体" w:eastAsia="宋体"/>
                <w:color w:val="auto"/>
                <w:sz w:val="22"/>
                <w:highlight w:val="none"/>
                <w:lang w:val="en-US" w:eastAsia="zh-CN"/>
              </w:rPr>
            </w:pPr>
            <w:r>
              <w:rPr>
                <w:rFonts w:hint="eastAsia" w:ascii="宋体" w:hAnsi="宋体"/>
                <w:color w:val="auto"/>
                <w:sz w:val="22"/>
                <w:highlight w:val="none"/>
                <w:lang w:val="en-US" w:eastAsia="zh-CN"/>
              </w:rPr>
              <w:t>1</w:t>
            </w:r>
          </w:p>
        </w:tc>
        <w:tc>
          <w:tcPr>
            <w:tcW w:w="5303" w:type="dxa"/>
            <w:vAlign w:val="center"/>
          </w:tcPr>
          <w:p>
            <w:pPr>
              <w:spacing w:line="440" w:lineRule="exact"/>
              <w:jc w:val="left"/>
              <w:rPr>
                <w:rFonts w:hint="eastAsia" w:ascii="宋体" w:hAnsi="宋体"/>
                <w:color w:val="auto"/>
                <w:sz w:val="22"/>
                <w:highlight w:val="none"/>
                <w:lang w:eastAsia="zh-CN"/>
              </w:rPr>
            </w:pPr>
            <w:r>
              <w:rPr>
                <w:rFonts w:hint="eastAsia" w:ascii="宋体" w:hAnsi="宋体"/>
                <w:color w:val="auto"/>
                <w:sz w:val="22"/>
                <w:szCs w:val="22"/>
                <w:highlight w:val="none"/>
                <w:lang w:val="en-US" w:eastAsia="zh-CN"/>
              </w:rPr>
              <w:t>服务项目1：</w:t>
            </w:r>
            <w:r>
              <w:rPr>
                <w:rFonts w:hint="eastAsia" w:ascii="宋体" w:hAnsi="宋体"/>
                <w:color w:val="auto"/>
                <w:sz w:val="22"/>
                <w:highlight w:val="none"/>
              </w:rPr>
              <w:t>配合开展部分安全生产培训、特种作业培训，包括但不限于电工、焊工、登高作业等项目；配合开展部分消防设施操作员培训；配合开展温州应急管理学院相关运营及培训服务工作。</w:t>
            </w:r>
          </w:p>
        </w:tc>
        <w:tc>
          <w:tcPr>
            <w:tcW w:w="1869" w:type="dxa"/>
            <w:vAlign w:val="center"/>
          </w:tcPr>
          <w:p>
            <w:pPr>
              <w:snapToGrid w:val="0"/>
              <w:spacing w:line="360" w:lineRule="exact"/>
              <w:jc w:val="center"/>
              <w:rPr>
                <w:rFonts w:ascii="宋体" w:hAnsi="宋体" w:eastAsia="宋体" w:cs="Times New Roman"/>
                <w:color w:val="auto"/>
                <w:kern w:val="2"/>
                <w:sz w:val="22"/>
                <w:szCs w:val="22"/>
                <w:highlight w:val="none"/>
                <w:lang w:val="en-US" w:eastAsia="zh-CN" w:bidi="ar-SA"/>
              </w:rPr>
            </w:pPr>
            <w:r>
              <w:rPr>
                <w:rFonts w:hint="eastAsia" w:hAnsi="宋体" w:cs="宋体"/>
                <w:color w:val="auto"/>
                <w:sz w:val="22"/>
                <w:highlight w:val="none"/>
                <w:u w:val="single"/>
              </w:rPr>
              <w:t>▲</w:t>
            </w:r>
            <w:r>
              <w:rPr>
                <w:rFonts w:hint="eastAsia" w:ascii="宋体" w:hAnsi="宋体"/>
                <w:color w:val="auto"/>
                <w:sz w:val="22"/>
                <w:szCs w:val="22"/>
                <w:highlight w:val="none"/>
                <w:u w:val="single"/>
                <w:lang w:val="en-US" w:eastAsia="zh-CN"/>
              </w:rPr>
              <w:t>甲方分成比例不低于18%</w:t>
            </w:r>
          </w:p>
        </w:tc>
        <w:tc>
          <w:tcPr>
            <w:tcW w:w="1083" w:type="dxa"/>
            <w:vAlign w:val="center"/>
          </w:tcPr>
          <w:p>
            <w:pPr>
              <w:snapToGrid w:val="0"/>
              <w:spacing w:line="360" w:lineRule="exact"/>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3" w:hRule="atLeast"/>
          <w:jc w:val="center"/>
        </w:trPr>
        <w:tc>
          <w:tcPr>
            <w:tcW w:w="499" w:type="dxa"/>
            <w:vAlign w:val="center"/>
          </w:tcPr>
          <w:p>
            <w:pPr>
              <w:snapToGrid w:val="0"/>
              <w:spacing w:line="360" w:lineRule="exact"/>
              <w:jc w:val="center"/>
              <w:rPr>
                <w:rFonts w:hint="eastAsia" w:ascii="宋体" w:hAnsi="宋体" w:eastAsia="宋体"/>
                <w:color w:val="auto"/>
                <w:sz w:val="22"/>
                <w:highlight w:val="none"/>
                <w:lang w:val="en-US" w:eastAsia="zh-CN"/>
              </w:rPr>
            </w:pPr>
            <w:r>
              <w:rPr>
                <w:rFonts w:hint="eastAsia" w:ascii="宋体" w:hAnsi="宋体"/>
                <w:color w:val="auto"/>
                <w:sz w:val="22"/>
                <w:highlight w:val="none"/>
                <w:lang w:val="en-US" w:eastAsia="zh-CN"/>
              </w:rPr>
              <w:t>2</w:t>
            </w:r>
          </w:p>
        </w:tc>
        <w:tc>
          <w:tcPr>
            <w:tcW w:w="5303" w:type="dxa"/>
            <w:vAlign w:val="center"/>
          </w:tcPr>
          <w:p>
            <w:pPr>
              <w:jc w:val="left"/>
              <w:rPr>
                <w:rFonts w:hint="eastAsia" w:ascii="宋体" w:hAnsi="宋体"/>
                <w:color w:val="auto"/>
                <w:sz w:val="22"/>
                <w:highlight w:val="none"/>
                <w:lang w:eastAsia="zh-CN"/>
              </w:rPr>
            </w:pPr>
            <w:r>
              <w:rPr>
                <w:rFonts w:hint="eastAsia" w:ascii="宋体" w:hAnsi="宋体"/>
                <w:color w:val="auto"/>
                <w:sz w:val="22"/>
                <w:szCs w:val="22"/>
                <w:highlight w:val="none"/>
                <w:lang w:val="en-US" w:eastAsia="zh-CN"/>
              </w:rPr>
              <w:t>服务项目2：</w:t>
            </w:r>
            <w:r>
              <w:rPr>
                <w:rFonts w:hint="eastAsia" w:ascii="宋体" w:hAnsi="宋体"/>
                <w:color w:val="auto"/>
                <w:sz w:val="22"/>
                <w:highlight w:val="none"/>
              </w:rPr>
              <w:t>配合开展部分职业技能培训，包括但不限于人社部门及其下属机构开展的职业资格等级、项目制、专项等培训项目和保安类、建筑类岗位证书等行业培训项目。</w:t>
            </w:r>
            <w:r>
              <w:rPr>
                <w:rFonts w:hint="eastAsia" w:ascii="宋体" w:hAnsi="宋体"/>
                <w:color w:val="auto"/>
                <w:sz w:val="22"/>
                <w:szCs w:val="22"/>
                <w:highlight w:val="none"/>
                <w:lang w:val="en-US" w:eastAsia="zh-CN"/>
              </w:rPr>
              <w:t xml:space="preserve"> </w:t>
            </w:r>
          </w:p>
        </w:tc>
        <w:tc>
          <w:tcPr>
            <w:tcW w:w="1869" w:type="dxa"/>
            <w:vAlign w:val="center"/>
          </w:tcPr>
          <w:p>
            <w:pPr>
              <w:snapToGrid w:val="0"/>
              <w:spacing w:line="360" w:lineRule="exact"/>
              <w:jc w:val="center"/>
              <w:rPr>
                <w:rFonts w:ascii="宋体" w:hAnsi="宋体" w:eastAsia="宋体" w:cs="Times New Roman"/>
                <w:color w:val="auto"/>
                <w:kern w:val="2"/>
                <w:sz w:val="22"/>
                <w:szCs w:val="22"/>
                <w:highlight w:val="none"/>
                <w:u w:val="single"/>
                <w:lang w:val="en-US" w:eastAsia="zh-CN" w:bidi="ar-SA"/>
              </w:rPr>
            </w:pPr>
            <w:r>
              <w:rPr>
                <w:rFonts w:hint="eastAsia" w:hAnsi="宋体" w:cs="宋体"/>
                <w:color w:val="auto"/>
                <w:sz w:val="22"/>
                <w:highlight w:val="none"/>
                <w:u w:val="single"/>
              </w:rPr>
              <w:t>▲</w:t>
            </w:r>
            <w:r>
              <w:rPr>
                <w:rFonts w:hint="eastAsia" w:ascii="宋体" w:hAnsi="宋体"/>
                <w:color w:val="auto"/>
                <w:sz w:val="22"/>
                <w:szCs w:val="22"/>
                <w:highlight w:val="none"/>
                <w:u w:val="single"/>
                <w:lang w:val="en-US" w:eastAsia="zh-CN"/>
              </w:rPr>
              <w:t>甲方分成比例不低于13%</w:t>
            </w:r>
          </w:p>
        </w:tc>
        <w:tc>
          <w:tcPr>
            <w:tcW w:w="1083" w:type="dxa"/>
            <w:vAlign w:val="center"/>
          </w:tcPr>
          <w:p>
            <w:pPr>
              <w:snapToGrid w:val="0"/>
              <w:spacing w:line="360" w:lineRule="exact"/>
              <w:jc w:val="center"/>
              <w:rPr>
                <w:rFonts w:ascii="宋体" w:hAnsi="宋体"/>
                <w:color w:val="auto"/>
                <w:sz w:val="22"/>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6" w:hRule="atLeast"/>
          <w:jc w:val="center"/>
        </w:trPr>
        <w:tc>
          <w:tcPr>
            <w:tcW w:w="499" w:type="dxa"/>
            <w:vAlign w:val="center"/>
          </w:tcPr>
          <w:p>
            <w:pPr>
              <w:snapToGrid w:val="0"/>
              <w:spacing w:line="360" w:lineRule="exact"/>
              <w:jc w:val="center"/>
              <w:rPr>
                <w:rFonts w:hint="eastAsia" w:ascii="宋体" w:hAnsi="宋体" w:eastAsia="宋体"/>
                <w:color w:val="auto"/>
                <w:sz w:val="22"/>
                <w:highlight w:val="none"/>
                <w:lang w:val="en-US" w:eastAsia="zh-CN"/>
              </w:rPr>
            </w:pPr>
            <w:r>
              <w:rPr>
                <w:rFonts w:hint="eastAsia" w:ascii="宋体" w:hAnsi="宋体"/>
                <w:color w:val="auto"/>
                <w:sz w:val="22"/>
                <w:highlight w:val="none"/>
                <w:lang w:val="en-US" w:eastAsia="zh-CN"/>
              </w:rPr>
              <w:t>3</w:t>
            </w:r>
          </w:p>
        </w:tc>
        <w:tc>
          <w:tcPr>
            <w:tcW w:w="5303" w:type="dxa"/>
            <w:vAlign w:val="center"/>
          </w:tcPr>
          <w:p>
            <w:pPr>
              <w:jc w:val="left"/>
              <w:rPr>
                <w:rFonts w:hint="eastAsia" w:ascii="宋体" w:hAnsi="宋体"/>
                <w:color w:val="auto"/>
                <w:sz w:val="22"/>
                <w:highlight w:val="none"/>
                <w:lang w:eastAsia="zh-CN"/>
              </w:rPr>
            </w:pPr>
            <w:r>
              <w:rPr>
                <w:rFonts w:hint="eastAsia" w:ascii="宋体" w:hAnsi="宋体"/>
                <w:color w:val="auto"/>
                <w:sz w:val="22"/>
                <w:szCs w:val="22"/>
                <w:highlight w:val="none"/>
                <w:lang w:val="en-US" w:eastAsia="zh-CN"/>
              </w:rPr>
              <w:t xml:space="preserve">服务项目3：配合协助开展部分校本部学历继续教育相关工作。 </w:t>
            </w:r>
          </w:p>
        </w:tc>
        <w:tc>
          <w:tcPr>
            <w:tcW w:w="1869" w:type="dxa"/>
            <w:vAlign w:val="center"/>
          </w:tcPr>
          <w:p>
            <w:pPr>
              <w:snapToGrid w:val="0"/>
              <w:spacing w:line="360" w:lineRule="exact"/>
              <w:jc w:val="center"/>
              <w:rPr>
                <w:rFonts w:ascii="宋体" w:hAnsi="宋体" w:eastAsia="宋体" w:cs="Times New Roman"/>
                <w:color w:val="auto"/>
                <w:kern w:val="2"/>
                <w:sz w:val="22"/>
                <w:szCs w:val="22"/>
                <w:highlight w:val="none"/>
                <w:u w:val="single"/>
                <w:lang w:val="en-US" w:eastAsia="zh-CN" w:bidi="ar-SA"/>
              </w:rPr>
            </w:pPr>
            <w:r>
              <w:rPr>
                <w:rFonts w:hint="eastAsia" w:hAnsi="宋体" w:cs="宋体"/>
                <w:color w:val="auto"/>
                <w:sz w:val="22"/>
                <w:highlight w:val="none"/>
                <w:u w:val="single"/>
              </w:rPr>
              <w:t>▲</w:t>
            </w:r>
            <w:r>
              <w:rPr>
                <w:rFonts w:hint="eastAsia" w:ascii="宋体" w:hAnsi="宋体"/>
                <w:color w:val="auto"/>
                <w:sz w:val="22"/>
                <w:szCs w:val="22"/>
                <w:highlight w:val="none"/>
                <w:u w:val="single"/>
                <w:lang w:val="en-US" w:eastAsia="zh-CN"/>
              </w:rPr>
              <w:t>甲方分成比例不低于50%</w:t>
            </w:r>
          </w:p>
        </w:tc>
        <w:tc>
          <w:tcPr>
            <w:tcW w:w="1083" w:type="dxa"/>
            <w:vAlign w:val="center"/>
          </w:tcPr>
          <w:p>
            <w:pPr>
              <w:snapToGrid w:val="0"/>
              <w:spacing w:line="360" w:lineRule="exact"/>
              <w:jc w:val="center"/>
              <w:rPr>
                <w:rFonts w:ascii="宋体" w:hAnsi="宋体"/>
                <w:color w:val="auto"/>
                <w:sz w:val="22"/>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3" w:hRule="atLeast"/>
          <w:jc w:val="center"/>
        </w:trPr>
        <w:tc>
          <w:tcPr>
            <w:tcW w:w="499" w:type="dxa"/>
            <w:vAlign w:val="center"/>
          </w:tcPr>
          <w:p>
            <w:pPr>
              <w:snapToGrid w:val="0"/>
              <w:spacing w:line="360" w:lineRule="exact"/>
              <w:jc w:val="center"/>
              <w:rPr>
                <w:rFonts w:hint="eastAsia" w:ascii="宋体" w:hAnsi="宋体" w:eastAsia="宋体"/>
                <w:color w:val="auto"/>
                <w:sz w:val="22"/>
                <w:highlight w:val="none"/>
                <w:lang w:val="en-US" w:eastAsia="zh-CN"/>
              </w:rPr>
            </w:pPr>
            <w:r>
              <w:rPr>
                <w:rFonts w:hint="eastAsia" w:ascii="宋体" w:hAnsi="宋体"/>
                <w:color w:val="auto"/>
                <w:sz w:val="22"/>
                <w:highlight w:val="none"/>
                <w:lang w:val="en-US" w:eastAsia="zh-CN"/>
              </w:rPr>
              <w:t>4</w:t>
            </w:r>
          </w:p>
        </w:tc>
        <w:tc>
          <w:tcPr>
            <w:tcW w:w="5303" w:type="dxa"/>
            <w:vAlign w:val="center"/>
          </w:tcPr>
          <w:p>
            <w:pPr>
              <w:jc w:val="left"/>
              <w:rPr>
                <w:rFonts w:hint="eastAsia" w:ascii="宋体" w:hAnsi="宋体"/>
                <w:color w:val="auto"/>
                <w:sz w:val="22"/>
                <w:highlight w:val="none"/>
                <w:lang w:eastAsia="zh-CN"/>
              </w:rPr>
            </w:pPr>
            <w:r>
              <w:rPr>
                <w:rFonts w:hint="eastAsia" w:ascii="宋体" w:hAnsi="宋体"/>
                <w:color w:val="auto"/>
                <w:sz w:val="22"/>
                <w:szCs w:val="22"/>
                <w:highlight w:val="none"/>
                <w:lang w:val="en-US" w:eastAsia="zh-CN"/>
              </w:rPr>
              <w:t>服务项目4-1：配合开展部分政府、</w:t>
            </w:r>
            <w:r>
              <w:rPr>
                <w:rFonts w:hint="eastAsia" w:ascii="宋体" w:hAnsi="宋体"/>
                <w:color w:val="auto"/>
                <w:sz w:val="22"/>
                <w:szCs w:val="22"/>
                <w:highlight w:val="none"/>
              </w:rPr>
              <w:t>企</w:t>
            </w:r>
            <w:r>
              <w:rPr>
                <w:rFonts w:ascii="宋体" w:hAnsi="宋体"/>
                <w:color w:val="auto"/>
                <w:sz w:val="22"/>
                <w:szCs w:val="22"/>
                <w:highlight w:val="none"/>
              </w:rPr>
              <w:t>事业单位</w:t>
            </w:r>
            <w:r>
              <w:rPr>
                <w:rFonts w:hint="eastAsia" w:ascii="宋体" w:hAnsi="宋体"/>
                <w:color w:val="auto"/>
                <w:sz w:val="22"/>
                <w:szCs w:val="22"/>
                <w:highlight w:val="none"/>
                <w:lang w:val="en-US" w:eastAsia="zh-CN"/>
              </w:rPr>
              <w:t>委托的培训</w:t>
            </w:r>
            <w:r>
              <w:rPr>
                <w:rFonts w:hint="eastAsia" w:ascii="宋体" w:hAnsi="宋体"/>
                <w:color w:val="auto"/>
                <w:sz w:val="22"/>
                <w:szCs w:val="22"/>
                <w:highlight w:val="none"/>
              </w:rPr>
              <w:t>项目</w:t>
            </w:r>
            <w:r>
              <w:rPr>
                <w:rFonts w:hint="eastAsia" w:ascii="宋体" w:hAnsi="宋体"/>
                <w:color w:val="auto"/>
                <w:sz w:val="22"/>
                <w:szCs w:val="22"/>
                <w:highlight w:val="none"/>
                <w:lang w:eastAsia="zh-CN"/>
              </w:rPr>
              <w:t>；</w:t>
            </w:r>
            <w:r>
              <w:rPr>
                <w:rFonts w:ascii="宋体" w:hAnsi="宋体"/>
                <w:color w:val="auto"/>
                <w:sz w:val="22"/>
                <w:szCs w:val="22"/>
                <w:highlight w:val="none"/>
              </w:rPr>
              <w:t>配合开展温州退役军人学院的</w:t>
            </w:r>
            <w:r>
              <w:rPr>
                <w:rFonts w:hint="eastAsia" w:ascii="宋体" w:hAnsi="宋体"/>
                <w:color w:val="auto"/>
                <w:sz w:val="22"/>
                <w:szCs w:val="22"/>
                <w:highlight w:val="none"/>
                <w:lang w:val="en-US" w:eastAsia="zh-CN"/>
              </w:rPr>
              <w:t>相关</w:t>
            </w:r>
            <w:r>
              <w:rPr>
                <w:rFonts w:ascii="宋体" w:hAnsi="宋体"/>
                <w:color w:val="auto"/>
                <w:sz w:val="22"/>
                <w:szCs w:val="22"/>
                <w:highlight w:val="none"/>
              </w:rPr>
              <w:t>运营及培训</w:t>
            </w:r>
            <w:r>
              <w:rPr>
                <w:rFonts w:hint="eastAsia" w:ascii="宋体" w:hAnsi="宋体"/>
                <w:color w:val="auto"/>
                <w:sz w:val="22"/>
                <w:szCs w:val="22"/>
                <w:highlight w:val="none"/>
                <w:lang w:val="en-US" w:eastAsia="zh-CN"/>
              </w:rPr>
              <w:t>服务</w:t>
            </w:r>
            <w:r>
              <w:rPr>
                <w:rFonts w:ascii="宋体" w:hAnsi="宋体"/>
                <w:color w:val="auto"/>
                <w:sz w:val="22"/>
                <w:szCs w:val="22"/>
                <w:highlight w:val="none"/>
              </w:rPr>
              <w:t>工作。</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在甲方校外培训基地温州市消防支队培训基地开展的培训项目</w:t>
            </w:r>
            <w:r>
              <w:rPr>
                <w:rFonts w:hint="eastAsia" w:ascii="宋体" w:hAnsi="宋体"/>
                <w:color w:val="auto"/>
                <w:sz w:val="22"/>
                <w:szCs w:val="22"/>
                <w:highlight w:val="none"/>
                <w:lang w:eastAsia="zh-CN"/>
              </w:rPr>
              <w:t>）</w:t>
            </w:r>
          </w:p>
        </w:tc>
        <w:tc>
          <w:tcPr>
            <w:tcW w:w="1869" w:type="dxa"/>
            <w:vAlign w:val="center"/>
          </w:tcPr>
          <w:p>
            <w:pPr>
              <w:snapToGrid w:val="0"/>
              <w:spacing w:line="360" w:lineRule="exact"/>
              <w:jc w:val="center"/>
              <w:rPr>
                <w:rFonts w:ascii="宋体" w:hAnsi="宋体" w:eastAsia="宋体" w:cs="Times New Roman"/>
                <w:color w:val="auto"/>
                <w:kern w:val="2"/>
                <w:sz w:val="22"/>
                <w:szCs w:val="22"/>
                <w:highlight w:val="none"/>
                <w:u w:val="single"/>
                <w:lang w:val="en-US" w:eastAsia="zh-CN" w:bidi="ar-SA"/>
              </w:rPr>
            </w:pPr>
            <w:r>
              <w:rPr>
                <w:rFonts w:hint="eastAsia" w:hAnsi="宋体" w:cs="宋体"/>
                <w:color w:val="auto"/>
                <w:sz w:val="22"/>
                <w:highlight w:val="none"/>
                <w:u w:val="single"/>
              </w:rPr>
              <w:t>▲</w:t>
            </w:r>
            <w:r>
              <w:rPr>
                <w:rFonts w:hint="eastAsia" w:ascii="宋体" w:hAnsi="宋体"/>
                <w:color w:val="auto"/>
                <w:sz w:val="22"/>
                <w:szCs w:val="22"/>
                <w:highlight w:val="none"/>
                <w:u w:val="single"/>
                <w:lang w:val="en-US" w:eastAsia="zh-CN"/>
              </w:rPr>
              <w:t>甲方分成比例不低于35%</w:t>
            </w:r>
          </w:p>
        </w:tc>
        <w:tc>
          <w:tcPr>
            <w:tcW w:w="1083" w:type="dxa"/>
            <w:vAlign w:val="center"/>
          </w:tcPr>
          <w:p>
            <w:pPr>
              <w:snapToGrid w:val="0"/>
              <w:spacing w:line="360" w:lineRule="exact"/>
              <w:jc w:val="center"/>
              <w:rPr>
                <w:rFonts w:hint="default" w:ascii="宋体" w:hAnsi="宋体" w:eastAsia="宋体"/>
                <w:color w:val="auto"/>
                <w:sz w:val="22"/>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9" w:hRule="atLeast"/>
          <w:jc w:val="center"/>
        </w:trPr>
        <w:tc>
          <w:tcPr>
            <w:tcW w:w="499" w:type="dxa"/>
            <w:vAlign w:val="center"/>
          </w:tcPr>
          <w:p>
            <w:pPr>
              <w:snapToGrid w:val="0"/>
              <w:spacing w:line="360" w:lineRule="exact"/>
              <w:jc w:val="center"/>
              <w:rPr>
                <w:rFonts w:hint="eastAsia" w:ascii="宋体" w:hAnsi="宋体" w:eastAsia="宋体"/>
                <w:color w:val="auto"/>
                <w:sz w:val="22"/>
                <w:highlight w:val="none"/>
                <w:lang w:eastAsia="zh-CN"/>
              </w:rPr>
            </w:pPr>
            <w:r>
              <w:rPr>
                <w:rFonts w:hint="eastAsia" w:ascii="宋体" w:hAnsi="宋体"/>
                <w:color w:val="auto"/>
                <w:sz w:val="22"/>
                <w:highlight w:val="none"/>
                <w:lang w:val="en-US" w:eastAsia="zh-CN"/>
              </w:rPr>
              <w:t>5</w:t>
            </w:r>
          </w:p>
        </w:tc>
        <w:tc>
          <w:tcPr>
            <w:tcW w:w="5303" w:type="dxa"/>
            <w:vAlign w:val="center"/>
          </w:tcPr>
          <w:p>
            <w:pPr>
              <w:jc w:val="left"/>
              <w:rPr>
                <w:rFonts w:ascii="宋体" w:hAnsi="宋体"/>
                <w:color w:val="auto"/>
                <w:sz w:val="22"/>
                <w:highlight w:val="none"/>
              </w:rPr>
            </w:pPr>
            <w:r>
              <w:rPr>
                <w:rFonts w:hint="eastAsia" w:ascii="宋体" w:hAnsi="宋体"/>
                <w:color w:val="auto"/>
                <w:sz w:val="22"/>
                <w:szCs w:val="22"/>
                <w:highlight w:val="none"/>
                <w:lang w:val="en-US" w:eastAsia="zh-CN"/>
              </w:rPr>
              <w:t>服务项目4-2：配合开展部分政府、</w:t>
            </w:r>
            <w:r>
              <w:rPr>
                <w:rFonts w:hint="eastAsia" w:ascii="宋体" w:hAnsi="宋体"/>
                <w:color w:val="auto"/>
                <w:sz w:val="22"/>
                <w:szCs w:val="22"/>
                <w:highlight w:val="none"/>
              </w:rPr>
              <w:t>企</w:t>
            </w:r>
            <w:r>
              <w:rPr>
                <w:rFonts w:ascii="宋体" w:hAnsi="宋体"/>
                <w:color w:val="auto"/>
                <w:sz w:val="22"/>
                <w:szCs w:val="22"/>
                <w:highlight w:val="none"/>
              </w:rPr>
              <w:t>事业单位</w:t>
            </w:r>
            <w:r>
              <w:rPr>
                <w:rFonts w:hint="eastAsia" w:ascii="宋体" w:hAnsi="宋体"/>
                <w:color w:val="auto"/>
                <w:sz w:val="22"/>
                <w:szCs w:val="22"/>
                <w:highlight w:val="none"/>
                <w:lang w:val="en-US" w:eastAsia="zh-CN"/>
              </w:rPr>
              <w:t>委托的培训</w:t>
            </w:r>
            <w:r>
              <w:rPr>
                <w:rFonts w:hint="eastAsia" w:ascii="宋体" w:hAnsi="宋体"/>
                <w:color w:val="auto"/>
                <w:sz w:val="22"/>
                <w:szCs w:val="22"/>
                <w:highlight w:val="none"/>
              </w:rPr>
              <w:t>项目</w:t>
            </w:r>
            <w:r>
              <w:rPr>
                <w:rFonts w:hint="eastAsia" w:ascii="宋体" w:hAnsi="宋体"/>
                <w:color w:val="auto"/>
                <w:sz w:val="22"/>
                <w:szCs w:val="22"/>
                <w:highlight w:val="none"/>
                <w:lang w:eastAsia="zh-CN"/>
              </w:rPr>
              <w:t>；</w:t>
            </w:r>
            <w:r>
              <w:rPr>
                <w:rFonts w:ascii="宋体" w:hAnsi="宋体"/>
                <w:color w:val="auto"/>
                <w:sz w:val="22"/>
                <w:szCs w:val="22"/>
                <w:highlight w:val="none"/>
              </w:rPr>
              <w:t>配合开展温州退役军人学院的</w:t>
            </w:r>
            <w:r>
              <w:rPr>
                <w:rFonts w:hint="eastAsia" w:ascii="宋体" w:hAnsi="宋体"/>
                <w:color w:val="auto"/>
                <w:sz w:val="22"/>
                <w:szCs w:val="22"/>
                <w:highlight w:val="none"/>
                <w:lang w:val="en-US" w:eastAsia="zh-CN"/>
              </w:rPr>
              <w:t>相关</w:t>
            </w:r>
            <w:r>
              <w:rPr>
                <w:rFonts w:ascii="宋体" w:hAnsi="宋体"/>
                <w:color w:val="auto"/>
                <w:sz w:val="22"/>
                <w:szCs w:val="22"/>
                <w:highlight w:val="none"/>
              </w:rPr>
              <w:t>运营及培训</w:t>
            </w:r>
            <w:r>
              <w:rPr>
                <w:rFonts w:hint="eastAsia" w:ascii="宋体" w:hAnsi="宋体"/>
                <w:color w:val="auto"/>
                <w:sz w:val="22"/>
                <w:szCs w:val="22"/>
                <w:highlight w:val="none"/>
                <w:lang w:val="en-US" w:eastAsia="zh-CN"/>
              </w:rPr>
              <w:t>服务</w:t>
            </w:r>
            <w:r>
              <w:rPr>
                <w:rFonts w:ascii="宋体" w:hAnsi="宋体"/>
                <w:color w:val="auto"/>
                <w:sz w:val="22"/>
                <w:szCs w:val="22"/>
                <w:highlight w:val="none"/>
              </w:rPr>
              <w:t>工作。</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在其他校外培训场地开展的培训项目</w:t>
            </w:r>
            <w:r>
              <w:rPr>
                <w:rFonts w:hint="eastAsia" w:ascii="宋体" w:hAnsi="宋体"/>
                <w:color w:val="auto"/>
                <w:sz w:val="22"/>
                <w:szCs w:val="22"/>
                <w:highlight w:val="none"/>
                <w:lang w:eastAsia="zh-CN"/>
              </w:rPr>
              <w:t>）</w:t>
            </w:r>
          </w:p>
        </w:tc>
        <w:tc>
          <w:tcPr>
            <w:tcW w:w="1869" w:type="dxa"/>
            <w:vAlign w:val="center"/>
          </w:tcPr>
          <w:p>
            <w:pPr>
              <w:snapToGrid w:val="0"/>
              <w:spacing w:line="360" w:lineRule="exact"/>
              <w:jc w:val="center"/>
              <w:rPr>
                <w:rFonts w:ascii="宋体" w:hAnsi="宋体" w:eastAsia="宋体" w:cs="Times New Roman"/>
                <w:color w:val="auto"/>
                <w:kern w:val="2"/>
                <w:sz w:val="22"/>
                <w:szCs w:val="22"/>
                <w:highlight w:val="none"/>
                <w:u w:val="single"/>
                <w:lang w:val="en-US" w:eastAsia="zh-CN" w:bidi="ar-SA"/>
              </w:rPr>
            </w:pPr>
            <w:r>
              <w:rPr>
                <w:rFonts w:hint="eastAsia" w:hAnsi="宋体" w:cs="宋体"/>
                <w:color w:val="auto"/>
                <w:sz w:val="22"/>
                <w:highlight w:val="none"/>
                <w:u w:val="single"/>
              </w:rPr>
              <w:t>▲</w:t>
            </w:r>
            <w:r>
              <w:rPr>
                <w:rFonts w:hint="eastAsia" w:ascii="宋体" w:hAnsi="宋体"/>
                <w:color w:val="auto"/>
                <w:sz w:val="22"/>
                <w:szCs w:val="22"/>
                <w:highlight w:val="none"/>
                <w:u w:val="single"/>
                <w:lang w:val="en-US" w:eastAsia="zh-CN"/>
              </w:rPr>
              <w:t>甲方分成比例不低于8%</w:t>
            </w:r>
          </w:p>
        </w:tc>
        <w:tc>
          <w:tcPr>
            <w:tcW w:w="1083" w:type="dxa"/>
            <w:vAlign w:val="center"/>
          </w:tcPr>
          <w:p>
            <w:pPr>
              <w:snapToGrid w:val="0"/>
              <w:spacing w:line="360" w:lineRule="exact"/>
              <w:jc w:val="center"/>
              <w:rPr>
                <w:rFonts w:ascii="宋体" w:hAnsi="宋体"/>
                <w:color w:val="auto"/>
                <w:sz w:val="22"/>
                <w:highlight w:val="none"/>
                <w:u w:val="single"/>
              </w:rPr>
            </w:pPr>
          </w:p>
        </w:tc>
      </w:tr>
    </w:tbl>
    <w:p>
      <w:pPr>
        <w:pStyle w:val="5"/>
        <w:rPr>
          <w:color w:val="auto"/>
          <w:highlight w:val="none"/>
        </w:rPr>
      </w:pPr>
    </w:p>
    <w:p>
      <w:pPr>
        <w:numPr>
          <w:ilvl w:val="0"/>
          <w:numId w:val="1"/>
        </w:numPr>
        <w:spacing w:line="360" w:lineRule="exact"/>
        <w:outlineLvl w:val="0"/>
        <w:rPr>
          <w:rFonts w:ascii="宋体" w:hAnsi="宋体" w:cs="宋体"/>
          <w:b/>
          <w:color w:val="auto"/>
          <w:spacing w:val="-6"/>
          <w:sz w:val="22"/>
          <w:highlight w:val="none"/>
        </w:rPr>
      </w:pPr>
      <w:r>
        <w:rPr>
          <w:rFonts w:hint="eastAsia" w:ascii="宋体" w:hAnsi="宋体" w:cs="宋体"/>
          <w:b/>
          <w:color w:val="auto"/>
          <w:spacing w:val="-6"/>
          <w:sz w:val="22"/>
          <w:highlight w:val="none"/>
        </w:rPr>
        <w:t>商务要求（技术要求里另有注明的以技术要求为准）</w:t>
      </w:r>
    </w:p>
    <w:p>
      <w:pPr>
        <w:pStyle w:val="5"/>
        <w:ind w:firstLine="0" w:firstLineChars="0"/>
        <w:rPr>
          <w:color w:val="auto"/>
          <w:highlight w:val="none"/>
        </w:rPr>
      </w:pPr>
    </w:p>
    <w:tbl>
      <w:tblPr>
        <w:tblStyle w:val="7"/>
        <w:tblW w:w="9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2"/>
        <w:gridCol w:w="8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602" w:type="dxa"/>
            <w:vAlign w:val="center"/>
          </w:tcPr>
          <w:p>
            <w:pPr>
              <w:spacing w:line="360" w:lineRule="exact"/>
              <w:rPr>
                <w:rFonts w:ascii="宋体" w:hAnsi="宋体" w:cs="宋体"/>
                <w:color w:val="auto"/>
                <w:sz w:val="22"/>
                <w:highlight w:val="none"/>
              </w:rPr>
            </w:pPr>
            <w:r>
              <w:rPr>
                <w:rFonts w:hint="eastAsia" w:ascii="宋体" w:hAnsi="宋体" w:cs="宋体"/>
                <w:bCs/>
                <w:color w:val="auto"/>
                <w:sz w:val="22"/>
                <w:highlight w:val="none"/>
              </w:rPr>
              <w:t>服务时间</w:t>
            </w:r>
          </w:p>
        </w:tc>
        <w:tc>
          <w:tcPr>
            <w:tcW w:w="8058" w:type="dxa"/>
            <w:vAlign w:val="center"/>
          </w:tcPr>
          <w:p>
            <w:pPr>
              <w:spacing w:line="370" w:lineRule="exact"/>
              <w:rPr>
                <w:rFonts w:ascii="宋体" w:hAnsi="宋体" w:cs="宋体"/>
                <w:color w:val="auto"/>
                <w:sz w:val="22"/>
                <w:highlight w:val="none"/>
              </w:rPr>
            </w:pPr>
            <w:r>
              <w:rPr>
                <w:rFonts w:hint="eastAsia" w:ascii="宋体" w:hAnsi="宋体" w:cs="宋体"/>
                <w:color w:val="auto"/>
                <w:sz w:val="22"/>
                <w:highlight w:val="none"/>
                <w:lang w:val="en-US" w:eastAsia="zh-CN"/>
              </w:rPr>
              <w:t>5年</w:t>
            </w:r>
            <w:r>
              <w:rPr>
                <w:rFonts w:hint="eastAsia" w:ascii="宋体" w:hAnsi="宋体" w:cs="宋体"/>
                <w:color w:val="auto"/>
                <w:sz w:val="22"/>
                <w:highlight w:val="none"/>
              </w:rPr>
              <w:t>，具体时间</w:t>
            </w:r>
            <w:r>
              <w:rPr>
                <w:rFonts w:hint="eastAsia" w:ascii="宋体" w:hAnsi="宋体" w:cs="宋体"/>
                <w:color w:val="auto"/>
                <w:sz w:val="22"/>
                <w:highlight w:val="none"/>
                <w:lang w:eastAsia="zh-CN"/>
              </w:rPr>
              <w:t>按</w:t>
            </w:r>
            <w:r>
              <w:rPr>
                <w:rFonts w:hint="eastAsia" w:ascii="宋体" w:hAnsi="宋体" w:cs="宋体"/>
                <w:color w:val="auto"/>
                <w:sz w:val="22"/>
                <w:highlight w:val="none"/>
              </w:rPr>
              <w:t>合同约定为准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602" w:type="dxa"/>
            <w:vAlign w:val="center"/>
          </w:tcPr>
          <w:p>
            <w:pPr>
              <w:snapToGrid w:val="0"/>
              <w:spacing w:line="400" w:lineRule="exact"/>
              <w:rPr>
                <w:rFonts w:ascii="宋体" w:hAnsi="宋体" w:cs="宋体"/>
                <w:color w:val="auto"/>
                <w:sz w:val="22"/>
                <w:highlight w:val="none"/>
              </w:rPr>
            </w:pPr>
            <w:r>
              <w:rPr>
                <w:rFonts w:hint="eastAsia" w:ascii="宋体" w:hAnsi="宋体" w:cs="宋体"/>
                <w:color w:val="auto"/>
                <w:spacing w:val="-6"/>
                <w:sz w:val="22"/>
                <w:highlight w:val="none"/>
              </w:rPr>
              <w:t>服务地点</w:t>
            </w:r>
          </w:p>
        </w:tc>
        <w:tc>
          <w:tcPr>
            <w:tcW w:w="8058" w:type="dxa"/>
            <w:vAlign w:val="center"/>
          </w:tcPr>
          <w:p>
            <w:pPr>
              <w:widowControl/>
              <w:spacing w:line="400" w:lineRule="exact"/>
              <w:jc w:val="left"/>
              <w:textAlignment w:val="center"/>
              <w:rPr>
                <w:rFonts w:ascii="宋体" w:hAnsi="宋体" w:cs="宋体"/>
                <w:color w:val="auto"/>
                <w:sz w:val="22"/>
                <w:highlight w:val="none"/>
              </w:rPr>
            </w:pPr>
            <w:r>
              <w:rPr>
                <w:rFonts w:hint="eastAsia" w:ascii="宋体" w:hAnsi="宋体" w:cs="宋体"/>
                <w:color w:val="auto"/>
                <w:kern w:val="0"/>
                <w:sz w:val="22"/>
                <w:highlight w:val="none"/>
              </w:rPr>
              <w:t>浙江安防职业技术学院指定地点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602" w:type="dxa"/>
            <w:vAlign w:val="center"/>
          </w:tcPr>
          <w:p>
            <w:pPr>
              <w:snapToGrid w:val="0"/>
              <w:spacing w:line="400" w:lineRule="exact"/>
              <w:rPr>
                <w:rFonts w:hint="default" w:ascii="宋体" w:hAnsi="宋体" w:eastAsia="宋体" w:cs="宋体"/>
                <w:color w:val="auto"/>
                <w:spacing w:val="-6"/>
                <w:sz w:val="22"/>
                <w:highlight w:val="none"/>
                <w:u w:val="single"/>
                <w:lang w:val="en-US" w:eastAsia="zh-CN"/>
              </w:rPr>
            </w:pPr>
            <w:r>
              <w:rPr>
                <w:rFonts w:hint="eastAsia" w:ascii="宋体" w:hAnsi="宋体" w:cs="宋体"/>
                <w:b/>
                <w:color w:val="auto"/>
                <w:spacing w:val="-6"/>
                <w:sz w:val="22"/>
                <w:highlight w:val="none"/>
                <w:u w:val="single"/>
              </w:rPr>
              <w:t>▲</w:t>
            </w:r>
            <w:r>
              <w:rPr>
                <w:rFonts w:hint="eastAsia" w:ascii="宋体" w:hAnsi="宋体" w:cs="宋体"/>
                <w:color w:val="auto"/>
                <w:spacing w:val="-6"/>
                <w:sz w:val="22"/>
                <w:highlight w:val="none"/>
                <w:u w:val="single"/>
                <w:lang w:val="en-US" w:eastAsia="zh-CN"/>
              </w:rPr>
              <w:t>乙方分成比例收取方式</w:t>
            </w:r>
          </w:p>
        </w:tc>
        <w:tc>
          <w:tcPr>
            <w:tcW w:w="8058" w:type="dxa"/>
            <w:vAlign w:val="center"/>
          </w:tcPr>
          <w:p>
            <w:pPr>
              <w:widowControl/>
              <w:spacing w:line="400" w:lineRule="exact"/>
              <w:jc w:val="left"/>
              <w:textAlignment w:val="center"/>
              <w:rPr>
                <w:rFonts w:hint="default" w:ascii="宋体" w:hAnsi="宋体" w:eastAsia="宋体" w:cs="宋体"/>
                <w:color w:val="auto"/>
                <w:kern w:val="0"/>
                <w:sz w:val="22"/>
                <w:highlight w:val="none"/>
                <w:u w:val="single"/>
                <w:lang w:val="en-US" w:eastAsia="zh-CN"/>
              </w:rPr>
            </w:pPr>
            <w:r>
              <w:rPr>
                <w:rFonts w:hint="eastAsia" w:ascii="宋体" w:hAnsi="宋体" w:eastAsia="宋体" w:cs="宋体"/>
                <w:color w:val="auto"/>
                <w:spacing w:val="0"/>
                <w:w w:val="100"/>
                <w:kern w:val="0"/>
                <w:position w:val="0"/>
                <w:sz w:val="22"/>
                <w:szCs w:val="22"/>
                <w:highlight w:val="none"/>
                <w:u w:val="single"/>
                <w:shd w:val="clear" w:color="auto" w:fill="auto"/>
                <w:lang w:val="en-US" w:eastAsia="zh-CN" w:bidi="zh-TW"/>
              </w:rPr>
              <w:t>乙方在每期培训结束后30日内提供完整的结算资料</w:t>
            </w:r>
            <w:r>
              <w:rPr>
                <w:rFonts w:hint="eastAsia" w:ascii="宋体" w:hAnsi="宋体" w:cs="宋体"/>
                <w:color w:val="auto"/>
                <w:spacing w:val="0"/>
                <w:w w:val="100"/>
                <w:kern w:val="0"/>
                <w:position w:val="0"/>
                <w:sz w:val="22"/>
                <w:szCs w:val="22"/>
                <w:highlight w:val="none"/>
                <w:u w:val="single"/>
                <w:shd w:val="clear"/>
                <w:lang w:val="en-US" w:eastAsia="zh-CN" w:bidi="zh-TW"/>
              </w:rPr>
              <w:t>（特殊情况由甲乙双方具体协商结算资料提供时间）</w:t>
            </w:r>
            <w:r>
              <w:rPr>
                <w:rFonts w:hint="eastAsia" w:ascii="宋体" w:hAnsi="宋体" w:eastAsia="宋体" w:cs="宋体"/>
                <w:color w:val="auto"/>
                <w:spacing w:val="0"/>
                <w:w w:val="100"/>
                <w:kern w:val="0"/>
                <w:position w:val="0"/>
                <w:sz w:val="22"/>
                <w:szCs w:val="22"/>
                <w:highlight w:val="none"/>
                <w:u w:val="single"/>
                <w:shd w:val="clear" w:color="auto" w:fill="auto"/>
                <w:lang w:val="en-US" w:eastAsia="zh-CN" w:bidi="zh-TW"/>
              </w:rPr>
              <w:t>，甲方审核确认结算资料后，乙方出具所得款项的合法票据给甲方，甲方根据乙方出具的合法票据金额及时将本项目该期乙方所得款项支付到乙方指定的银行账户。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602" w:type="dxa"/>
            <w:vAlign w:val="center"/>
          </w:tcPr>
          <w:p>
            <w:pPr>
              <w:snapToGrid w:val="0"/>
              <w:spacing w:line="400" w:lineRule="exact"/>
              <w:rPr>
                <w:rFonts w:hint="eastAsia" w:ascii="宋体" w:hAnsi="宋体" w:cs="宋体"/>
                <w:color w:val="auto"/>
                <w:spacing w:val="-6"/>
                <w:sz w:val="22"/>
                <w:highlight w:val="none"/>
                <w:u w:val="single"/>
                <w:lang w:val="en-US" w:eastAsia="zh-CN"/>
              </w:rPr>
            </w:pPr>
            <w:r>
              <w:rPr>
                <w:rFonts w:hint="eastAsia" w:ascii="宋体" w:hAnsi="宋体" w:cs="宋体"/>
                <w:b/>
                <w:color w:val="auto"/>
                <w:spacing w:val="-6"/>
                <w:sz w:val="22"/>
                <w:highlight w:val="none"/>
                <w:u w:val="single"/>
              </w:rPr>
              <w:t>▲</w:t>
            </w:r>
            <w:r>
              <w:rPr>
                <w:rFonts w:hint="eastAsia" w:ascii="宋体" w:hAnsi="宋体" w:cs="宋体"/>
                <w:color w:val="auto"/>
                <w:spacing w:val="-6"/>
                <w:sz w:val="22"/>
                <w:highlight w:val="none"/>
                <w:u w:val="single"/>
                <w:lang w:val="en-US" w:eastAsia="zh-CN"/>
              </w:rPr>
              <w:t>履约保证金收取方式</w:t>
            </w:r>
          </w:p>
        </w:tc>
        <w:tc>
          <w:tcPr>
            <w:tcW w:w="8058" w:type="dxa"/>
            <w:vAlign w:val="center"/>
          </w:tcPr>
          <w:p>
            <w:pPr>
              <w:widowControl/>
              <w:spacing w:line="360" w:lineRule="auto"/>
              <w:jc w:val="left"/>
              <w:textAlignment w:val="auto"/>
              <w:rPr>
                <w:rFonts w:hint="default" w:ascii="宋体" w:hAnsi="宋体" w:cs="宋体"/>
                <w:color w:val="auto"/>
                <w:kern w:val="0"/>
                <w:sz w:val="22"/>
                <w:highlight w:val="none"/>
                <w:u w:val="single"/>
                <w:lang w:val="en-US" w:eastAsia="zh-CN"/>
              </w:rPr>
            </w:pPr>
            <w:r>
              <w:rPr>
                <w:rFonts w:hint="eastAsia" w:ascii="宋体" w:hAnsi="宋体" w:cs="宋体"/>
                <w:color w:val="auto"/>
                <w:kern w:val="0"/>
                <w:sz w:val="22"/>
                <w:highlight w:val="none"/>
                <w:u w:val="single"/>
                <w:lang w:eastAsia="zh-CN"/>
              </w:rPr>
              <w:t>甲方收取</w:t>
            </w:r>
            <w:r>
              <w:rPr>
                <w:rFonts w:hint="eastAsia" w:ascii="宋体" w:hAnsi="宋体" w:cs="宋体"/>
                <w:color w:val="auto"/>
                <w:kern w:val="0"/>
                <w:sz w:val="22"/>
                <w:highlight w:val="none"/>
                <w:u w:val="single"/>
                <w:lang w:val="en-US" w:eastAsia="zh-CN"/>
              </w:rPr>
              <w:t>3万元履约保证金，在合同签订后7个工作日内打入甲方指定账户</w:t>
            </w:r>
            <w:r>
              <w:rPr>
                <w:rFonts w:hint="eastAsia" w:ascii="宋体" w:hAnsi="宋体" w:cs="宋体"/>
                <w:color w:val="auto"/>
                <w:sz w:val="22"/>
                <w:highlight w:val="none"/>
                <w:u w:val="single"/>
              </w:rPr>
              <w:t>（接受银行转账、支票、汇票、本票、履约保函等多种非现金形式），履约保证金自</w:t>
            </w:r>
            <w:r>
              <w:rPr>
                <w:rFonts w:hint="eastAsia" w:ascii="宋体" w:hAnsi="宋体" w:cs="宋体"/>
                <w:color w:val="auto"/>
                <w:sz w:val="22"/>
                <w:highlight w:val="none"/>
                <w:u w:val="single"/>
                <w:lang w:eastAsia="zh-CN"/>
              </w:rPr>
              <w:t>服务期结束</w:t>
            </w:r>
            <w:r>
              <w:rPr>
                <w:rFonts w:hint="eastAsia" w:ascii="宋体" w:hAnsi="宋体" w:cs="宋体"/>
                <w:color w:val="auto"/>
                <w:sz w:val="22"/>
                <w:highlight w:val="none"/>
                <w:u w:val="single"/>
              </w:rPr>
              <w:t>无息退还。</w:t>
            </w:r>
          </w:p>
        </w:tc>
      </w:tr>
    </w:tbl>
    <w:p>
      <w:pPr>
        <w:rPr>
          <w:color w:val="auto"/>
          <w:highlight w:val="none"/>
        </w:rPr>
      </w:pPr>
    </w:p>
    <w:p>
      <w:pPr>
        <w:numPr>
          <w:ilvl w:val="0"/>
          <w:numId w:val="2"/>
        </w:numPr>
        <w:spacing w:line="360" w:lineRule="exact"/>
        <w:rPr>
          <w:rFonts w:ascii="宋体" w:hAnsi="宋体" w:cs="宋体"/>
          <w:b/>
          <w:bCs/>
          <w:color w:val="auto"/>
          <w:spacing w:val="-6"/>
          <w:sz w:val="22"/>
          <w:highlight w:val="none"/>
        </w:rPr>
      </w:pPr>
      <w:r>
        <w:rPr>
          <w:rFonts w:hint="eastAsia" w:ascii="宋体" w:hAnsi="宋体" w:cs="宋体"/>
          <w:b/>
          <w:bCs/>
          <w:color w:val="auto"/>
          <w:spacing w:val="-6"/>
          <w:sz w:val="22"/>
          <w:highlight w:val="none"/>
        </w:rPr>
        <w:t>技术要求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440" w:lineRule="exact"/>
              <w:ind w:firstLine="442" w:firstLineChars="200"/>
              <w:rPr>
                <w:rFonts w:hint="default"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（一）项目内容</w:t>
            </w:r>
          </w:p>
          <w:p>
            <w:pPr>
              <w:spacing w:line="440" w:lineRule="exact"/>
              <w:ind w:firstLine="440" w:firstLineChars="200"/>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1.配合开展部分安全生产培训、特种作业培训，包括但不限于电工、焊工、登高作业等项目；配合开展部分消防设施操作员培训；配合开展温州应急管理学院相关运营及培训服务工作。（甲方分成比例不低于18%）</w:t>
            </w:r>
          </w:p>
          <w:p>
            <w:pPr>
              <w:spacing w:line="440" w:lineRule="exact"/>
              <w:ind w:firstLine="440" w:firstLineChars="200"/>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2.配合开展部分职业技能培训，包括但不限于人社部门及其下属机构开展的职业资格等级、项目制、专项等培训项目和保安类、建筑类岗位证书等行业培训项目。 （甲方分成比例不低于13%）</w:t>
            </w:r>
          </w:p>
          <w:p>
            <w:pPr>
              <w:spacing w:line="440" w:lineRule="exact"/>
              <w:ind w:firstLine="440" w:firstLineChars="200"/>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3.配合协助开展校本部学历继续教育相关工作。（甲方分成比例不低于50%）</w:t>
            </w:r>
          </w:p>
          <w:p>
            <w:pPr>
              <w:spacing w:line="440" w:lineRule="exact"/>
              <w:ind w:firstLine="440" w:firstLineChars="200"/>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4.配合开展部分政府、</w:t>
            </w:r>
            <w:r>
              <w:rPr>
                <w:rFonts w:hint="eastAsia" w:ascii="宋体" w:hAnsi="宋体"/>
                <w:color w:val="auto"/>
                <w:sz w:val="22"/>
                <w:szCs w:val="22"/>
                <w:highlight w:val="none"/>
              </w:rPr>
              <w:t>企</w:t>
            </w:r>
            <w:r>
              <w:rPr>
                <w:rFonts w:ascii="宋体" w:hAnsi="宋体"/>
                <w:color w:val="auto"/>
                <w:sz w:val="22"/>
                <w:szCs w:val="22"/>
                <w:highlight w:val="none"/>
              </w:rPr>
              <w:t>事业单位</w:t>
            </w:r>
            <w:r>
              <w:rPr>
                <w:rFonts w:hint="eastAsia" w:ascii="宋体" w:hAnsi="宋体"/>
                <w:color w:val="auto"/>
                <w:sz w:val="22"/>
                <w:szCs w:val="22"/>
                <w:highlight w:val="none"/>
                <w:lang w:val="en-US" w:eastAsia="zh-CN"/>
              </w:rPr>
              <w:t>委托的培训</w:t>
            </w:r>
            <w:r>
              <w:rPr>
                <w:rFonts w:hint="eastAsia" w:ascii="宋体" w:hAnsi="宋体"/>
                <w:color w:val="auto"/>
                <w:sz w:val="22"/>
                <w:szCs w:val="22"/>
                <w:highlight w:val="none"/>
              </w:rPr>
              <w:t>项目</w:t>
            </w:r>
            <w:r>
              <w:rPr>
                <w:rFonts w:hint="eastAsia" w:ascii="宋体" w:hAnsi="宋体"/>
                <w:color w:val="auto"/>
                <w:sz w:val="22"/>
                <w:szCs w:val="22"/>
                <w:highlight w:val="none"/>
                <w:lang w:eastAsia="zh-CN"/>
              </w:rPr>
              <w:t>；</w:t>
            </w:r>
            <w:r>
              <w:rPr>
                <w:rFonts w:ascii="宋体" w:hAnsi="宋体"/>
                <w:color w:val="auto"/>
                <w:sz w:val="22"/>
                <w:szCs w:val="22"/>
                <w:highlight w:val="none"/>
              </w:rPr>
              <w:t>配合开展温州退役军人学院的</w:t>
            </w:r>
            <w:r>
              <w:rPr>
                <w:rFonts w:hint="eastAsia" w:ascii="宋体" w:hAnsi="宋体"/>
                <w:color w:val="auto"/>
                <w:sz w:val="22"/>
                <w:szCs w:val="22"/>
                <w:highlight w:val="none"/>
                <w:lang w:val="en-US" w:eastAsia="zh-CN"/>
              </w:rPr>
              <w:t>相关</w:t>
            </w:r>
            <w:r>
              <w:rPr>
                <w:rFonts w:ascii="宋体" w:hAnsi="宋体"/>
                <w:color w:val="auto"/>
                <w:sz w:val="22"/>
                <w:szCs w:val="22"/>
                <w:highlight w:val="none"/>
              </w:rPr>
              <w:t>运营及培训</w:t>
            </w:r>
            <w:r>
              <w:rPr>
                <w:rFonts w:hint="eastAsia" w:ascii="宋体" w:hAnsi="宋体"/>
                <w:color w:val="auto"/>
                <w:sz w:val="22"/>
                <w:szCs w:val="22"/>
                <w:highlight w:val="none"/>
                <w:lang w:val="en-US" w:eastAsia="zh-CN"/>
              </w:rPr>
              <w:t>服务</w:t>
            </w:r>
            <w:r>
              <w:rPr>
                <w:rFonts w:ascii="宋体" w:hAnsi="宋体"/>
                <w:color w:val="auto"/>
                <w:sz w:val="22"/>
                <w:szCs w:val="22"/>
                <w:highlight w:val="none"/>
              </w:rPr>
              <w:t>工作。</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在甲方校外培训基地温州市消防支队培训基地开展的培训项目，甲方分成比例不低于35%；在其他校外培训场地开展的培训项目，甲方分成比例不低于8%</w:t>
            </w:r>
            <w:r>
              <w:rPr>
                <w:rFonts w:hint="eastAsia" w:ascii="宋体" w:hAnsi="宋体"/>
                <w:color w:val="auto"/>
                <w:sz w:val="22"/>
                <w:szCs w:val="22"/>
                <w:highlight w:val="none"/>
                <w:lang w:eastAsia="zh-CN"/>
              </w:rPr>
              <w:t>）</w:t>
            </w:r>
          </w:p>
          <w:p>
            <w:pPr>
              <w:spacing w:line="440" w:lineRule="exact"/>
              <w:ind w:firstLine="442" w:firstLineChars="200"/>
              <w:rPr>
                <w:rFonts w:hint="eastAsia" w:ascii="宋体" w:hAnsi="宋体"/>
                <w:b/>
                <w:color w:val="auto"/>
                <w:sz w:val="22"/>
                <w:szCs w:val="22"/>
                <w:highlight w:val="none"/>
              </w:rPr>
            </w:pPr>
            <w:r>
              <w:rPr>
                <w:rFonts w:hint="eastAsia" w:ascii="宋体" w:hAnsi="宋体"/>
                <w:b/>
                <w:color w:val="auto"/>
                <w:sz w:val="22"/>
                <w:szCs w:val="22"/>
                <w:highlight w:val="none"/>
                <w:lang w:eastAsia="zh-CN"/>
              </w:rPr>
              <w:t>（</w:t>
            </w:r>
            <w:r>
              <w:rPr>
                <w:rFonts w:hint="eastAsia" w:ascii="宋体" w:hAnsi="宋体"/>
                <w:b/>
                <w:color w:val="auto"/>
                <w:sz w:val="22"/>
                <w:szCs w:val="22"/>
                <w:highlight w:val="none"/>
                <w:lang w:val="en-US" w:eastAsia="zh-CN"/>
              </w:rPr>
              <w:t>二</w:t>
            </w:r>
            <w:r>
              <w:rPr>
                <w:rFonts w:hint="eastAsia" w:ascii="宋体" w:hAnsi="宋体"/>
                <w:b/>
                <w:color w:val="auto"/>
                <w:sz w:val="22"/>
                <w:szCs w:val="22"/>
                <w:highlight w:val="none"/>
                <w:lang w:eastAsia="zh-CN"/>
              </w:rPr>
              <w:t>）</w:t>
            </w:r>
            <w:r>
              <w:rPr>
                <w:rFonts w:hint="eastAsia" w:ascii="宋体" w:hAnsi="宋体"/>
                <w:b/>
                <w:color w:val="auto"/>
                <w:sz w:val="22"/>
                <w:szCs w:val="22"/>
                <w:highlight w:val="none"/>
              </w:rPr>
              <w:t>要求</w:t>
            </w:r>
          </w:p>
          <w:p>
            <w:pPr>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1.拥有符合消防安全有关标准要求、满足300人以上培训需求的教学场地和相关设施设备，配备至少20名以上专职人员的专业团队，配合开展以上采购内容项目的</w:t>
            </w:r>
            <w:r>
              <w:rPr>
                <w:rFonts w:ascii="宋体" w:hAnsi="宋体"/>
                <w:color w:val="auto"/>
                <w:sz w:val="22"/>
                <w:szCs w:val="22"/>
                <w:highlight w:val="none"/>
              </w:rPr>
              <w:t>市场宣传</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培训服务和业务台账整理等工作</w:t>
            </w:r>
            <w:r>
              <w:rPr>
                <w:rFonts w:hint="eastAsia" w:ascii="宋体" w:hAnsi="宋体"/>
                <w:color w:val="auto"/>
                <w:sz w:val="22"/>
                <w:szCs w:val="22"/>
                <w:highlight w:val="none"/>
              </w:rPr>
              <w:t>。</w:t>
            </w:r>
          </w:p>
          <w:p>
            <w:pPr>
              <w:spacing w:line="440" w:lineRule="exact"/>
              <w:ind w:firstLine="440" w:firstLineChars="200"/>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2.具有一定的满足以上采购内容项目的运营经验、后勤保障和课程设计能力。</w:t>
            </w:r>
          </w:p>
          <w:p>
            <w:pPr>
              <w:spacing w:line="440" w:lineRule="exact"/>
              <w:ind w:firstLine="440" w:firstLineChars="20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3.针对采购内容的具体项目，在中标分成比例不变的情况下，需另行签订补充协议进行具体内容约定的，双方另行签订补充协议。</w:t>
            </w:r>
          </w:p>
          <w:p>
            <w:pPr>
              <w:spacing w:line="440" w:lineRule="exact"/>
              <w:ind w:firstLine="440" w:firstLineChars="200"/>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4.在以上采购内容中的特殊项目，双方另行约定。</w:t>
            </w:r>
          </w:p>
          <w:p>
            <w:pPr>
              <w:pStyle w:val="6"/>
              <w:rPr>
                <w:color w:val="auto"/>
                <w:highlight w:val="none"/>
                <w:vertAlign w:val="baseline"/>
              </w:rPr>
            </w:pPr>
          </w:p>
        </w:tc>
      </w:tr>
    </w:tbl>
    <w:p>
      <w:pPr>
        <w:rPr>
          <w:color w:val="auto"/>
          <w:highlight w:val="none"/>
        </w:rPr>
      </w:pPr>
    </w:p>
    <w:p>
      <w:pPr>
        <w:spacing w:line="360" w:lineRule="exact"/>
        <w:rPr>
          <w:rFonts w:ascii="宋体" w:hAnsi="宋体" w:cs="宋体"/>
          <w:b/>
          <w:color w:val="auto"/>
          <w:spacing w:val="-6"/>
          <w:sz w:val="22"/>
          <w:highlight w:val="none"/>
        </w:rPr>
      </w:pPr>
      <w:r>
        <w:rPr>
          <w:rFonts w:hint="eastAsia" w:ascii="宋体" w:hAnsi="宋体" w:cs="宋体"/>
          <w:b/>
          <w:color w:val="auto"/>
          <w:spacing w:val="-6"/>
          <w:sz w:val="22"/>
          <w:highlight w:val="none"/>
        </w:rPr>
        <w:t xml:space="preserve"> 四、其他</w:t>
      </w:r>
    </w:p>
    <w:p>
      <w:pPr>
        <w:numPr>
          <w:ilvl w:val="0"/>
          <w:numId w:val="3"/>
        </w:numPr>
        <w:spacing w:line="360" w:lineRule="exact"/>
        <w:ind w:firstLine="313" w:firstLineChars="150"/>
        <w:rPr>
          <w:rFonts w:ascii="宋体" w:hAnsi="宋体" w:cs="宋体"/>
          <w:b/>
          <w:bCs/>
          <w:color w:val="auto"/>
          <w:spacing w:val="-6"/>
          <w:sz w:val="22"/>
          <w:highlight w:val="none"/>
        </w:rPr>
      </w:pPr>
      <w:r>
        <w:rPr>
          <w:rFonts w:hint="eastAsia" w:ascii="宋体" w:hAnsi="宋体" w:cs="宋体"/>
          <w:b/>
          <w:color w:val="auto"/>
          <w:spacing w:val="-6"/>
          <w:sz w:val="22"/>
          <w:highlight w:val="none"/>
        </w:rPr>
        <w:t>标“▲且加下划线”的有关技术和商务要求为实质性条款，响应方必须做出实质性响应</w:t>
      </w:r>
      <w:r>
        <w:rPr>
          <w:rFonts w:hint="eastAsia" w:ascii="宋体" w:hAnsi="宋体" w:cs="宋体"/>
          <w:b/>
          <w:bCs/>
          <w:color w:val="auto"/>
          <w:spacing w:val="-6"/>
          <w:sz w:val="22"/>
          <w:highlight w:val="none"/>
        </w:rPr>
        <w:t>，否则视为无效投标文件。</w:t>
      </w:r>
    </w:p>
    <w:p>
      <w:pPr>
        <w:numPr>
          <w:ilvl w:val="0"/>
          <w:numId w:val="3"/>
        </w:numPr>
        <w:spacing w:line="360" w:lineRule="exact"/>
        <w:ind w:firstLine="313" w:firstLineChars="150"/>
        <w:rPr>
          <w:rFonts w:ascii="宋体" w:hAnsi="宋体" w:cs="宋体"/>
          <w:b/>
          <w:color w:val="auto"/>
          <w:spacing w:val="-6"/>
          <w:sz w:val="22"/>
          <w:highlight w:val="none"/>
        </w:rPr>
      </w:pPr>
      <w:r>
        <w:rPr>
          <w:rFonts w:hint="eastAsia" w:ascii="宋体" w:hAnsi="宋体" w:cs="宋体"/>
          <w:b/>
          <w:color w:val="auto"/>
          <w:spacing w:val="-6"/>
          <w:sz w:val="22"/>
          <w:highlight w:val="none"/>
        </w:rPr>
        <w:t>除招标文件中所明确的采购需求规格外，欢迎其他能满足本项目采购需求且性能相当于或高于所明确的产品参加投标报价。同时在采购需求偏离表中作出详细对比说明</w:t>
      </w:r>
      <w:r>
        <w:rPr>
          <w:rFonts w:hint="eastAsia" w:ascii="宋体" w:hAnsi="宋体" w:cs="宋体"/>
          <w:b/>
          <w:bCs/>
          <w:color w:val="auto"/>
          <w:sz w:val="22"/>
          <w:highlight w:val="none"/>
        </w:rPr>
        <w:t>。</w:t>
      </w:r>
    </w:p>
    <w:p>
      <w:pPr>
        <w:numPr>
          <w:ilvl w:val="0"/>
          <w:numId w:val="3"/>
        </w:numPr>
        <w:spacing w:line="360" w:lineRule="exact"/>
        <w:ind w:firstLine="313" w:firstLineChars="150"/>
        <w:rPr>
          <w:rFonts w:ascii="宋体" w:hAnsi="宋体" w:cs="宋体"/>
          <w:b/>
          <w:color w:val="auto"/>
          <w:spacing w:val="-6"/>
          <w:sz w:val="22"/>
          <w:highlight w:val="none"/>
        </w:rPr>
      </w:pPr>
      <w:r>
        <w:rPr>
          <w:rFonts w:hint="eastAsia" w:ascii="宋体" w:hAnsi="宋体" w:cs="宋体"/>
          <w:b/>
          <w:color w:val="auto"/>
          <w:spacing w:val="-6"/>
          <w:sz w:val="22"/>
          <w:highlight w:val="none"/>
        </w:rPr>
        <w:t>如技术部分中未特别注明需执行的国家相关标准、行业标准、地方标准或者其他标准、规范，则统一执行最新标准、规范。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00000008"/>
    <w:multiLevelType w:val="singleLevel"/>
    <w:tmpl w:val="00000008"/>
    <w:lvl w:ilvl="0" w:tentative="0">
      <w:start w:val="3"/>
      <w:numFmt w:val="chineseCounting"/>
      <w:suff w:val="nothing"/>
      <w:lvlText w:val="%1、"/>
      <w:lvlJc w:val="left"/>
      <w:rPr>
        <w:rFonts w:hint="eastAsia"/>
      </w:rPr>
    </w:lvl>
  </w:abstractNum>
  <w:abstractNum w:abstractNumId="2">
    <w:nsid w:val="0000000F"/>
    <w:multiLevelType w:val="singleLevel"/>
    <w:tmpl w:val="0000000F"/>
    <w:lvl w:ilvl="0" w:tentative="0">
      <w:start w:val="2"/>
      <w:numFmt w:val="chineseCounting"/>
      <w:suff w:val="space"/>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MWJhYWQ4M2M4N2RhMTM0YTg1OGJjZWZmNjAxODIifQ=="/>
  </w:docVars>
  <w:rsids>
    <w:rsidRoot w:val="00000000"/>
    <w:rsid w:val="5FCD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Normal Indent1"/>
    <w:basedOn w:val="1"/>
    <w:autoRedefine/>
    <w:qFormat/>
    <w:uiPriority w:val="0"/>
    <w:pPr>
      <w:ind w:firstLine="420" w:firstLineChars="200"/>
    </w:pPr>
  </w:style>
  <w:style w:type="paragraph" w:styleId="3">
    <w:name w:val="Body Text"/>
    <w:basedOn w:val="1"/>
    <w:qFormat/>
    <w:uiPriority w:val="0"/>
    <w:pPr>
      <w:spacing w:after="120"/>
    </w:pPr>
  </w:style>
  <w:style w:type="paragraph" w:styleId="4">
    <w:name w:val="Body Text Indent"/>
    <w:basedOn w:val="1"/>
    <w:next w:val="1"/>
    <w:qFormat/>
    <w:uiPriority w:val="0"/>
    <w:pPr>
      <w:ind w:left="480" w:hanging="480" w:hangingChars="200"/>
    </w:pPr>
    <w:rPr>
      <w:sz w:val="24"/>
    </w:rPr>
  </w:style>
  <w:style w:type="paragraph" w:styleId="5">
    <w:name w:val="Body Text First Indent"/>
    <w:basedOn w:val="3"/>
    <w:qFormat/>
    <w:uiPriority w:val="0"/>
    <w:pPr>
      <w:autoSpaceDE w:val="0"/>
      <w:autoSpaceDN w:val="0"/>
      <w:adjustRightInd w:val="0"/>
      <w:ind w:firstLine="420" w:firstLineChars="100"/>
      <w:jc w:val="left"/>
    </w:pPr>
    <w:rPr>
      <w:rFonts w:ascii="仿宋_GB2312"/>
      <w:b/>
      <w:kern w:val="0"/>
      <w:sz w:val="32"/>
      <w:szCs w:val="32"/>
    </w:rPr>
  </w:style>
  <w:style w:type="paragraph" w:styleId="6">
    <w:name w:val="Body Text First Indent 2"/>
    <w:basedOn w:val="4"/>
    <w:next w:val="5"/>
    <w:qFormat/>
    <w:uiPriority w:val="99"/>
    <w:pPr>
      <w:ind w:firstLine="420"/>
    </w:p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博文</cp:lastModifiedBy>
  <dcterms:modified xsi:type="dcterms:W3CDTF">2024-03-12T06:16:08Z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345EB9DD330A4879A12CE4E2BE9D99F1_12</vt:lpwstr>
  </property>
</Properties>
</file>