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采购需求</w:t>
      </w:r>
    </w:p>
    <w:p>
      <w:pPr>
        <w:snapToGrid w:val="0"/>
        <w:spacing w:line="400" w:lineRule="exact"/>
        <w:outlineLvl w:val="1"/>
        <w:rPr>
          <w:rFonts w:hint="eastAsia" w:ascii="宋体" w:hAnsi="宋体" w:eastAsia="宋体" w:cs="宋体"/>
          <w:b/>
          <w:bCs/>
          <w:color w:val="auto"/>
          <w:spacing w:val="-6"/>
          <w:sz w:val="22"/>
          <w:szCs w:val="22"/>
          <w:highlight w:val="none"/>
        </w:rPr>
      </w:pPr>
      <w:bookmarkStart w:id="0" w:name="_Toc401"/>
      <w:bookmarkStart w:id="1" w:name="_Toc479839540"/>
      <w:r>
        <w:rPr>
          <w:rFonts w:hint="eastAsia" w:ascii="宋体" w:hAnsi="宋体" w:eastAsia="宋体" w:cs="宋体"/>
          <w:b/>
          <w:bCs/>
          <w:color w:val="auto"/>
          <w:spacing w:val="-6"/>
          <w:sz w:val="22"/>
          <w:szCs w:val="22"/>
          <w:highlight w:val="none"/>
        </w:rPr>
        <w:t>一、采购内容及数量</w:t>
      </w:r>
      <w:bookmarkEnd w:id="0"/>
    </w:p>
    <w:tbl>
      <w:tblPr>
        <w:tblStyle w:val="5"/>
        <w:tblW w:w="0" w:type="auto"/>
        <w:jc w:val="center"/>
        <w:tblLayout w:type="fixed"/>
        <w:tblCellMar>
          <w:top w:w="0" w:type="dxa"/>
          <w:left w:w="108" w:type="dxa"/>
          <w:bottom w:w="0" w:type="dxa"/>
          <w:right w:w="108" w:type="dxa"/>
        </w:tblCellMar>
      </w:tblPr>
      <w:tblGrid>
        <w:gridCol w:w="695"/>
        <w:gridCol w:w="7269"/>
        <w:gridCol w:w="667"/>
        <w:gridCol w:w="800"/>
      </w:tblGrid>
      <w:tr>
        <w:tblPrEx>
          <w:tblCellMar>
            <w:top w:w="0" w:type="dxa"/>
            <w:left w:w="108" w:type="dxa"/>
            <w:bottom w:w="0" w:type="dxa"/>
            <w:right w:w="108" w:type="dxa"/>
          </w:tblCellMar>
        </w:tblPrEx>
        <w:trPr>
          <w:trHeight w:val="567" w:hRule="atLeast"/>
          <w:jc w:val="center"/>
        </w:trPr>
        <w:tc>
          <w:tcPr>
            <w:tcW w:w="6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726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项目内容</w:t>
            </w:r>
          </w:p>
        </w:tc>
        <w:tc>
          <w:tcPr>
            <w:tcW w:w="667"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800"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tblPrEx>
          <w:tblCellMar>
            <w:top w:w="0" w:type="dxa"/>
            <w:left w:w="108" w:type="dxa"/>
            <w:bottom w:w="0" w:type="dxa"/>
            <w:right w:w="108" w:type="dxa"/>
          </w:tblCellMar>
        </w:tblPrEx>
        <w:trPr>
          <w:trHeight w:val="567" w:hRule="atLeast"/>
          <w:jc w:val="center"/>
        </w:trPr>
        <w:tc>
          <w:tcPr>
            <w:tcW w:w="695"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7269"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351国道浦江联盟至兰溪界段工程竣（交）工质量评定检测辅助检测项目</w:t>
            </w:r>
          </w:p>
        </w:tc>
        <w:tc>
          <w:tcPr>
            <w:tcW w:w="66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w:t>
            </w:r>
          </w:p>
        </w:tc>
        <w:tc>
          <w:tcPr>
            <w:tcW w:w="8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400" w:lineRule="exact"/>
              <w:jc w:val="center"/>
              <w:rPr>
                <w:rFonts w:hint="eastAsia" w:ascii="宋体" w:hAnsi="宋体" w:eastAsia="宋体" w:cs="宋体"/>
                <w:color w:val="auto"/>
                <w:sz w:val="22"/>
                <w:szCs w:val="22"/>
                <w:highlight w:val="none"/>
              </w:rPr>
            </w:pPr>
          </w:p>
        </w:tc>
      </w:tr>
    </w:tbl>
    <w:p>
      <w:pPr>
        <w:snapToGrid w:val="0"/>
        <w:spacing w:line="400" w:lineRule="exact"/>
        <w:outlineLvl w:val="1"/>
        <w:rPr>
          <w:rFonts w:hint="eastAsia" w:ascii="宋体" w:hAnsi="宋体" w:eastAsia="宋体" w:cs="宋体"/>
          <w:b/>
          <w:color w:val="auto"/>
          <w:spacing w:val="-6"/>
          <w:sz w:val="22"/>
          <w:szCs w:val="22"/>
          <w:highlight w:val="none"/>
        </w:rPr>
      </w:pPr>
      <w:bookmarkStart w:id="2" w:name="_Toc25622"/>
      <w:r>
        <w:rPr>
          <w:rFonts w:hint="eastAsia" w:ascii="宋体" w:hAnsi="宋体" w:eastAsia="宋体" w:cs="宋体"/>
          <w:b/>
          <w:bCs/>
          <w:color w:val="auto"/>
          <w:kern w:val="0"/>
          <w:sz w:val="22"/>
          <w:szCs w:val="22"/>
          <w:highlight w:val="none"/>
        </w:rPr>
        <w:t>二、</w:t>
      </w:r>
      <w:r>
        <w:rPr>
          <w:rFonts w:hint="eastAsia" w:ascii="宋体" w:hAnsi="宋体" w:eastAsia="宋体" w:cs="宋体"/>
          <w:b/>
          <w:color w:val="auto"/>
          <w:spacing w:val="-6"/>
          <w:sz w:val="22"/>
          <w:szCs w:val="22"/>
          <w:highlight w:val="none"/>
        </w:rPr>
        <w:t>商务要求（技术要求里另有注明的以技术要求为准）</w:t>
      </w:r>
      <w:bookmarkEnd w:id="2"/>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6"/>
        <w:gridCol w:w="81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rPr>
              <w:t>付款方式</w:t>
            </w:r>
          </w:p>
        </w:tc>
        <w:tc>
          <w:tcPr>
            <w:tcW w:w="8106" w:type="dxa"/>
            <w:tcBorders>
              <w:top w:val="single" w:color="auto" w:sz="4" w:space="0"/>
              <w:left w:val="single" w:color="auto" w:sz="4" w:space="0"/>
              <w:bottom w:val="single" w:color="auto" w:sz="4" w:space="0"/>
              <w:right w:val="single" w:color="auto" w:sz="4" w:space="0"/>
            </w:tcBorders>
            <w:noWrap w:val="0"/>
            <w:vAlign w:val="center"/>
          </w:tcPr>
          <w:p>
            <w:pPr>
              <w:pStyle w:val="7"/>
              <w:spacing w:line="400" w:lineRule="exact"/>
              <w:ind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val="en-US" w:eastAsia="zh-CN"/>
              </w:rPr>
              <w:t>采购人计量款到帐后，按计量同比例向成交供应商支付服务费，尾款待项目整体通过交工验收后一次性支付。</w:t>
            </w:r>
            <w:r>
              <w:rPr>
                <w:rFonts w:hint="eastAsia" w:ascii="宋体" w:hAnsi="宋体" w:eastAsia="宋体" w:cs="宋体"/>
                <w:color w:val="auto"/>
                <w:sz w:val="22"/>
                <w:szCs w:val="22"/>
                <w:highlight w:val="none"/>
                <w:u w:val="single"/>
              </w:rPr>
              <w:t>采购人在收到费用支付申请后7个工作日内予以审批，在批复后14个工作日内向</w:t>
            </w:r>
            <w:r>
              <w:rPr>
                <w:rFonts w:hint="eastAsia" w:ascii="宋体" w:hAnsi="宋体" w:eastAsia="宋体" w:cs="宋体"/>
                <w:color w:val="auto"/>
                <w:sz w:val="22"/>
                <w:szCs w:val="22"/>
                <w:highlight w:val="none"/>
                <w:u w:val="single"/>
                <w:lang w:val="en-US" w:eastAsia="zh-CN"/>
              </w:rPr>
              <w:t>成交</w:t>
            </w:r>
            <w:r>
              <w:rPr>
                <w:rFonts w:hint="eastAsia" w:ascii="宋体" w:hAnsi="宋体" w:eastAsia="宋体" w:cs="宋体"/>
                <w:color w:val="auto"/>
                <w:sz w:val="22"/>
                <w:szCs w:val="22"/>
                <w:highlight w:val="none"/>
                <w:u w:val="single"/>
              </w:rPr>
              <w:t>供应商支付服务费。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rPr>
              <w:t>履约保证金</w:t>
            </w:r>
          </w:p>
        </w:tc>
        <w:tc>
          <w:tcPr>
            <w:tcW w:w="8106" w:type="dxa"/>
            <w:tcBorders>
              <w:top w:val="single" w:color="auto" w:sz="4" w:space="0"/>
              <w:left w:val="single" w:color="auto" w:sz="4" w:space="0"/>
              <w:bottom w:val="single" w:color="auto" w:sz="4" w:space="0"/>
              <w:right w:val="single" w:color="auto" w:sz="4" w:space="0"/>
            </w:tcBorders>
            <w:noWrap w:val="0"/>
            <w:vAlign w:val="center"/>
          </w:tcPr>
          <w:p>
            <w:pPr>
              <w:pStyle w:val="7"/>
              <w:spacing w:line="400" w:lineRule="exact"/>
              <w:ind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免收履约保证金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服务期</w:t>
            </w:r>
          </w:p>
        </w:tc>
        <w:tc>
          <w:tcPr>
            <w:tcW w:w="8106" w:type="dxa"/>
            <w:tcBorders>
              <w:top w:val="single" w:color="auto" w:sz="4" w:space="0"/>
              <w:left w:val="single" w:color="auto" w:sz="4" w:space="0"/>
              <w:bottom w:val="single" w:color="auto" w:sz="4" w:space="0"/>
              <w:right w:val="single" w:color="auto" w:sz="4" w:space="0"/>
            </w:tcBorders>
            <w:noWrap w:val="0"/>
            <w:vAlign w:val="center"/>
          </w:tcPr>
          <w:p>
            <w:pPr>
              <w:pStyle w:val="7"/>
              <w:spacing w:line="400" w:lineRule="exact"/>
              <w:ind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自合同签订之日起至351国道浦江联盟至兰溪界段工程通过交工验收止。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服务地点</w:t>
            </w:r>
          </w:p>
        </w:tc>
        <w:tc>
          <w:tcPr>
            <w:tcW w:w="8106" w:type="dxa"/>
            <w:tcBorders>
              <w:top w:val="single" w:color="auto" w:sz="4" w:space="0"/>
              <w:left w:val="single" w:color="auto" w:sz="4" w:space="0"/>
              <w:bottom w:val="single" w:color="auto" w:sz="4" w:space="0"/>
              <w:right w:val="single" w:color="auto" w:sz="4" w:space="0"/>
            </w:tcBorders>
            <w:noWrap w:val="0"/>
            <w:vAlign w:val="center"/>
          </w:tcPr>
          <w:p>
            <w:pPr>
              <w:pStyle w:val="4"/>
              <w:widowControl/>
              <w:adjustRightInd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浙江省交通运输科学研究院指定地点。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报价要求</w:t>
            </w:r>
          </w:p>
        </w:tc>
        <w:tc>
          <w:tcPr>
            <w:tcW w:w="8106" w:type="dxa"/>
            <w:tcBorders>
              <w:top w:val="single" w:color="auto" w:sz="4" w:space="0"/>
              <w:left w:val="single" w:color="auto" w:sz="4" w:space="0"/>
              <w:bottom w:val="single" w:color="auto" w:sz="4" w:space="0"/>
              <w:right w:val="single" w:color="auto" w:sz="4" w:space="0"/>
            </w:tcBorders>
            <w:noWrap w:val="0"/>
            <w:vAlign w:val="center"/>
          </w:tcPr>
          <w:p>
            <w:pPr>
              <w:pStyle w:val="4"/>
              <w:widowControl/>
              <w:adjustRightInd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人民币报价。</w:t>
            </w:r>
          </w:p>
          <w:p>
            <w:pPr>
              <w:pStyle w:val="4"/>
              <w:widowControl/>
              <w:adjustRightInd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本项目报价为总价包干价，报价是包含完成本项目工作任务所发生的一切费用及不可预见费等所需的全部费用，全部费用已包含在报价一览表的总报价中。</w:t>
            </w:r>
          </w:p>
          <w:p>
            <w:pPr>
              <w:pStyle w:val="4"/>
              <w:widowControl/>
              <w:adjustRightInd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全部费用包括（但不限于）：为实施和完成合同工程所需人工费（配套的技术员、司机）、机械设备费、企业管理费、规费、税金、利润、运行过程中产生的燃油费、过路费、封道费、保养费、人员食宿费等全部费用，以及合同明示或隐含的所有责任、义务和一般风险。</w:t>
            </w:r>
          </w:p>
          <w:p>
            <w:pPr>
              <w:pStyle w:val="4"/>
              <w:widowControl/>
              <w:adjustRightInd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应综合考虑本项目的特殊性和不确定性，根据项目总体进度计划和阶段性计划以及采购人的要求合理安排好检测设备、人员进场，必要时应切实加大设备、人力的投入，由此增加的费用视为已包含在投标报价中，采购人不再另行支付，供应商应综合考虑各种相关因素进行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验收标准</w:t>
            </w:r>
          </w:p>
        </w:tc>
        <w:tc>
          <w:tcPr>
            <w:tcW w:w="8106" w:type="dxa"/>
            <w:tcBorders>
              <w:top w:val="single" w:color="auto" w:sz="4" w:space="0"/>
              <w:left w:val="single" w:color="auto" w:sz="4" w:space="0"/>
              <w:bottom w:val="single" w:color="auto" w:sz="4" w:space="0"/>
              <w:right w:val="single" w:color="auto" w:sz="4" w:space="0"/>
            </w:tcBorders>
            <w:noWrap w:val="0"/>
            <w:vAlign w:val="center"/>
          </w:tcPr>
          <w:p>
            <w:pPr>
              <w:pStyle w:val="4"/>
              <w:widowControl/>
              <w:adjustRightInd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达到验收条件时，按照采购合同、响应文件、磋商文件等约定的质量、数量、技术指标或者服务要求设验收指标及其标准。未约定的，应当符合国家强制性规定、政策要求、安全标准、行业或企业有关标准等。</w:t>
            </w:r>
          </w:p>
          <w:p>
            <w:pPr>
              <w:pStyle w:val="4"/>
              <w:widowControl/>
              <w:adjustRightInd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以上产生的所有费用由成交供应商承担。</w:t>
            </w:r>
          </w:p>
          <w:p>
            <w:pPr>
              <w:pStyle w:val="4"/>
              <w:widowControl/>
              <w:adjustRightInd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注：供应商应于响应文件中提供合同内容的验收标准和检测办法，并在验收中提供采购人认可的相应检测手段，验收标准应符合中国有关的国家、地方、行业的标准，如若中标，经采购人确认后作为验收的依据。</w:t>
            </w:r>
          </w:p>
        </w:tc>
      </w:tr>
    </w:tbl>
    <w:p>
      <w:pPr>
        <w:numPr>
          <w:ilvl w:val="0"/>
          <w:numId w:val="1"/>
        </w:numPr>
        <w:snapToGrid w:val="0"/>
        <w:spacing w:line="400" w:lineRule="exact"/>
        <w:outlineLvl w:val="1"/>
        <w:rPr>
          <w:rFonts w:hint="eastAsia" w:ascii="宋体" w:hAnsi="宋体" w:eastAsia="宋体" w:cs="宋体"/>
          <w:b/>
          <w:bCs/>
          <w:color w:val="auto"/>
          <w:spacing w:val="-6"/>
          <w:sz w:val="22"/>
          <w:szCs w:val="22"/>
          <w:highlight w:val="none"/>
        </w:rPr>
      </w:pPr>
      <w:bookmarkStart w:id="3" w:name="_Toc26570"/>
      <w:r>
        <w:rPr>
          <w:rFonts w:hint="eastAsia" w:ascii="宋体" w:hAnsi="宋体" w:eastAsia="宋体" w:cs="宋体"/>
          <w:b/>
          <w:bCs/>
          <w:color w:val="auto"/>
          <w:spacing w:val="-6"/>
          <w:sz w:val="22"/>
          <w:szCs w:val="22"/>
          <w:highlight w:val="none"/>
        </w:rPr>
        <w:t>技术要求</w:t>
      </w:r>
      <w:bookmarkEnd w:id="3"/>
    </w:p>
    <w:p>
      <w:pPr>
        <w:pStyle w:val="2"/>
        <w:spacing w:line="400" w:lineRule="exact"/>
        <w:ind w:firstLine="0"/>
        <w:rPr>
          <w:rFonts w:hint="eastAsia" w:ascii="宋体" w:hAnsi="宋体" w:eastAsia="宋体" w:cs="宋体"/>
          <w:bCs/>
          <w:color w:val="auto"/>
          <w:sz w:val="22"/>
          <w:szCs w:val="22"/>
          <w:highlight w:val="none"/>
        </w:rPr>
      </w:pPr>
      <w:r>
        <w:rPr>
          <w:rFonts w:hint="eastAsia" w:ascii="宋体" w:hAnsi="宋体" w:eastAsia="宋体" w:cs="宋体"/>
          <w:b/>
          <w:bCs/>
          <w:color w:val="auto"/>
          <w:sz w:val="22"/>
          <w:szCs w:val="22"/>
          <w:highlight w:val="none"/>
          <w:lang w:val="en-US" w:eastAsia="zh-CN"/>
        </w:rPr>
        <w:t>（一）项目背景</w:t>
      </w:r>
    </w:p>
    <w:p>
      <w:pPr>
        <w:pStyle w:val="2"/>
        <w:spacing w:line="400" w:lineRule="exact"/>
        <w:ind w:firstLine="440" w:firstLineChars="200"/>
        <w:rPr>
          <w:rFonts w:hint="eastAsia" w:ascii="宋体" w:hAnsi="宋体" w:eastAsia="宋体" w:cs="宋体"/>
          <w:bCs/>
          <w:color w:val="auto"/>
          <w:kern w:val="2"/>
          <w:sz w:val="22"/>
          <w:szCs w:val="22"/>
          <w:highlight w:val="none"/>
          <w:lang w:val="en-US" w:eastAsia="zh-CN"/>
        </w:rPr>
      </w:pPr>
      <w:r>
        <w:rPr>
          <w:rFonts w:hint="eastAsia" w:ascii="宋体" w:hAnsi="宋体" w:eastAsia="宋体" w:cs="宋体"/>
          <w:bCs/>
          <w:color w:val="auto"/>
          <w:kern w:val="2"/>
          <w:sz w:val="22"/>
          <w:szCs w:val="22"/>
          <w:highlight w:val="none"/>
          <w:lang w:val="en-US" w:eastAsia="zh-CN"/>
        </w:rPr>
        <w:t>本项目拟采购专业单位为采购人“《351国道浦江联盟至兰溪界段工程竣（交）工质量评定检测项目》”提供程实体检测、外观检查报告等。</w:t>
      </w:r>
    </w:p>
    <w:p>
      <w:pPr>
        <w:pStyle w:val="2"/>
        <w:spacing w:line="400" w:lineRule="exact"/>
        <w:ind w:firstLine="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（二）服务内容</w:t>
      </w:r>
    </w:p>
    <w:tbl>
      <w:tblPr>
        <w:tblStyle w:val="5"/>
        <w:tblW w:w="1010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5"/>
        <w:gridCol w:w="2044"/>
        <w:gridCol w:w="1462"/>
        <w:gridCol w:w="785"/>
        <w:gridCol w:w="851"/>
        <w:gridCol w:w="1556"/>
        <w:gridCol w:w="256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45" w:type="dxa"/>
            <w:noWrap w:val="0"/>
            <w:vAlign w:val="center"/>
          </w:tcPr>
          <w:p>
            <w:pPr>
              <w:widowControl/>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序号</w:t>
            </w:r>
          </w:p>
        </w:tc>
        <w:tc>
          <w:tcPr>
            <w:tcW w:w="2044" w:type="dxa"/>
            <w:tcBorders>
              <w:right w:val="single" w:color="auto" w:sz="4" w:space="0"/>
            </w:tcBorders>
            <w:noWrap w:val="0"/>
            <w:vAlign w:val="center"/>
          </w:tcPr>
          <w:p>
            <w:pPr>
              <w:widowControl/>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w:t>
            </w:r>
          </w:p>
        </w:tc>
        <w:tc>
          <w:tcPr>
            <w:tcW w:w="1462" w:type="dxa"/>
            <w:tcBorders>
              <w:left w:val="single" w:color="auto" w:sz="4" w:space="0"/>
              <w:right w:val="single" w:color="auto" w:sz="4" w:space="0"/>
            </w:tcBorders>
            <w:noWrap w:val="0"/>
            <w:vAlign w:val="center"/>
          </w:tcPr>
          <w:p>
            <w:pPr>
              <w:widowControl/>
              <w:spacing w:line="40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rPr>
              <w:t>预计检测时间（月）</w:t>
            </w:r>
          </w:p>
        </w:tc>
        <w:tc>
          <w:tcPr>
            <w:tcW w:w="785" w:type="dxa"/>
            <w:tcBorders>
              <w:left w:val="single" w:color="auto" w:sz="4" w:space="0"/>
              <w:right w:val="single" w:color="auto" w:sz="4" w:space="0"/>
            </w:tcBorders>
            <w:noWrap w:val="0"/>
            <w:vAlign w:val="center"/>
          </w:tcPr>
          <w:p>
            <w:pPr>
              <w:widowControl/>
              <w:spacing w:line="40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rPr>
              <w:t>数量</w:t>
            </w:r>
          </w:p>
        </w:tc>
        <w:tc>
          <w:tcPr>
            <w:tcW w:w="851" w:type="dxa"/>
            <w:tcBorders>
              <w:left w:val="single" w:color="auto" w:sz="4" w:space="0"/>
              <w:right w:val="single" w:color="auto" w:sz="4" w:space="0"/>
            </w:tcBorders>
            <w:noWrap w:val="0"/>
            <w:vAlign w:val="center"/>
          </w:tcPr>
          <w:p>
            <w:pPr>
              <w:widowControl/>
              <w:spacing w:line="40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rPr>
              <w:t>单位</w:t>
            </w:r>
          </w:p>
        </w:tc>
        <w:tc>
          <w:tcPr>
            <w:tcW w:w="1556" w:type="dxa"/>
            <w:tcBorders>
              <w:left w:val="single" w:color="auto" w:sz="4" w:space="0"/>
            </w:tcBorders>
            <w:noWrap w:val="0"/>
            <w:vAlign w:val="center"/>
          </w:tcPr>
          <w:p>
            <w:pPr>
              <w:widowControl/>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bCs/>
                <w:color w:val="auto"/>
                <w:sz w:val="22"/>
                <w:szCs w:val="22"/>
                <w:highlight w:val="none"/>
              </w:rPr>
              <w:t>全费用单价最高限价（元）</w:t>
            </w:r>
          </w:p>
        </w:tc>
        <w:tc>
          <w:tcPr>
            <w:tcW w:w="2566" w:type="dxa"/>
            <w:noWrap w:val="0"/>
            <w:vAlign w:val="center"/>
          </w:tcPr>
          <w:p>
            <w:pPr>
              <w:widowControl/>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主要工作内容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45" w:type="dxa"/>
            <w:noWrap w:val="0"/>
            <w:vAlign w:val="center"/>
          </w:tcPr>
          <w:p>
            <w:pPr>
              <w:widowControl/>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2044" w:type="dxa"/>
            <w:tcBorders>
              <w:right w:val="single" w:color="auto" w:sz="4" w:space="0"/>
            </w:tcBorders>
            <w:noWrap w:val="0"/>
            <w:vAlign w:val="center"/>
          </w:tcPr>
          <w:p>
            <w:pPr>
              <w:widowControl/>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交工中间交验阶段</w:t>
            </w:r>
          </w:p>
        </w:tc>
        <w:tc>
          <w:tcPr>
            <w:tcW w:w="1462" w:type="dxa"/>
            <w:tcBorders>
              <w:left w:val="single" w:color="auto" w:sz="4" w:space="0"/>
              <w:right w:val="single" w:color="auto" w:sz="4" w:space="0"/>
            </w:tcBorders>
            <w:noWrap w:val="0"/>
            <w:vAlign w:val="center"/>
          </w:tcPr>
          <w:p>
            <w:pPr>
              <w:widowControl/>
              <w:spacing w:line="40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13</w:t>
            </w:r>
          </w:p>
        </w:tc>
        <w:tc>
          <w:tcPr>
            <w:tcW w:w="785" w:type="dxa"/>
            <w:tcBorders>
              <w:left w:val="single" w:color="auto" w:sz="4" w:space="0"/>
              <w:right w:val="single" w:color="auto" w:sz="4" w:space="0"/>
            </w:tcBorders>
            <w:noWrap w:val="0"/>
            <w:vAlign w:val="center"/>
          </w:tcPr>
          <w:p>
            <w:pPr>
              <w:widowControl/>
              <w:spacing w:line="40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p>
        </w:tc>
        <w:tc>
          <w:tcPr>
            <w:tcW w:w="851" w:type="dxa"/>
            <w:tcBorders>
              <w:left w:val="single" w:color="auto" w:sz="4" w:space="0"/>
              <w:right w:val="single" w:color="auto" w:sz="4" w:space="0"/>
            </w:tcBorders>
            <w:noWrap w:val="0"/>
            <w:vAlign w:val="center"/>
          </w:tcPr>
          <w:p>
            <w:pPr>
              <w:widowControl/>
              <w:spacing w:line="40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rPr>
              <w:t>人</w:t>
            </w:r>
          </w:p>
        </w:tc>
        <w:tc>
          <w:tcPr>
            <w:tcW w:w="1556" w:type="dxa"/>
            <w:tcBorders>
              <w:left w:val="single" w:color="auto" w:sz="4" w:space="0"/>
            </w:tcBorders>
            <w:noWrap w:val="0"/>
            <w:vAlign w:val="center"/>
          </w:tcPr>
          <w:p>
            <w:pPr>
              <w:widowControl/>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20000</w:t>
            </w:r>
          </w:p>
        </w:tc>
        <w:tc>
          <w:tcPr>
            <w:tcW w:w="2566" w:type="dxa"/>
            <w:vMerge w:val="restart"/>
            <w:noWrap w:val="0"/>
            <w:vAlign w:val="center"/>
          </w:tcPr>
          <w:p>
            <w:pPr>
              <w:widowControl/>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桥梁工作墩台砼强度、钢筋保护层厚度、预应力张拉力、压浆密实度、动静载试验和路基、隧道衬砌厚度、锚杆长度及密实度、桥梁工程、隧道工程外观等项目的辅助检测。</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45" w:type="dxa"/>
            <w:noWrap w:val="0"/>
            <w:vAlign w:val="center"/>
          </w:tcPr>
          <w:p>
            <w:pPr>
              <w:widowControl/>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2044" w:type="dxa"/>
            <w:tcBorders>
              <w:right w:val="single" w:color="auto" w:sz="4" w:space="0"/>
            </w:tcBorders>
            <w:noWrap w:val="0"/>
            <w:vAlign w:val="center"/>
          </w:tcPr>
          <w:p>
            <w:pPr>
              <w:widowControl/>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交工集中验收阶段</w:t>
            </w:r>
          </w:p>
        </w:tc>
        <w:tc>
          <w:tcPr>
            <w:tcW w:w="1462" w:type="dxa"/>
            <w:tcBorders>
              <w:left w:val="single" w:color="auto" w:sz="4" w:space="0"/>
              <w:right w:val="single" w:color="auto" w:sz="4" w:space="0"/>
            </w:tcBorders>
            <w:noWrap w:val="0"/>
            <w:vAlign w:val="center"/>
          </w:tcPr>
          <w:p>
            <w:pPr>
              <w:widowControl/>
              <w:spacing w:line="40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1.4</w:t>
            </w:r>
          </w:p>
        </w:tc>
        <w:tc>
          <w:tcPr>
            <w:tcW w:w="785" w:type="dxa"/>
            <w:tcBorders>
              <w:left w:val="single" w:color="auto" w:sz="4" w:space="0"/>
              <w:right w:val="single" w:color="auto" w:sz="4" w:space="0"/>
            </w:tcBorders>
            <w:noWrap w:val="0"/>
            <w:vAlign w:val="center"/>
          </w:tcPr>
          <w:p>
            <w:pPr>
              <w:widowControl/>
              <w:spacing w:line="40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p>
        </w:tc>
        <w:tc>
          <w:tcPr>
            <w:tcW w:w="851" w:type="dxa"/>
            <w:tcBorders>
              <w:left w:val="single" w:color="auto" w:sz="4" w:space="0"/>
              <w:right w:val="single" w:color="auto" w:sz="4" w:space="0"/>
            </w:tcBorders>
            <w:noWrap w:val="0"/>
            <w:vAlign w:val="center"/>
          </w:tcPr>
          <w:p>
            <w:pPr>
              <w:widowControl/>
              <w:spacing w:line="40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rPr>
              <w:t>人</w:t>
            </w:r>
          </w:p>
        </w:tc>
        <w:tc>
          <w:tcPr>
            <w:tcW w:w="1556" w:type="dxa"/>
            <w:tcBorders>
              <w:left w:val="single" w:color="auto" w:sz="4" w:space="0"/>
            </w:tcBorders>
            <w:noWrap w:val="0"/>
            <w:vAlign w:val="center"/>
          </w:tcPr>
          <w:p>
            <w:pPr>
              <w:widowControl/>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20000</w:t>
            </w:r>
          </w:p>
        </w:tc>
        <w:tc>
          <w:tcPr>
            <w:tcW w:w="2566" w:type="dxa"/>
            <w:vMerge w:val="continue"/>
            <w:noWrap w:val="0"/>
            <w:vAlign w:val="center"/>
          </w:tcPr>
          <w:p>
            <w:pPr>
              <w:widowControl/>
              <w:spacing w:line="400" w:lineRule="exact"/>
              <w:jc w:val="center"/>
              <w:rPr>
                <w:rFonts w:hint="eastAsia" w:ascii="宋体" w:hAnsi="宋体" w:eastAsia="宋体" w:cs="宋体"/>
                <w:color w:val="auto"/>
                <w:kern w:val="0"/>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45" w:type="dxa"/>
            <w:noWrap w:val="0"/>
            <w:vAlign w:val="center"/>
          </w:tcPr>
          <w:p>
            <w:pPr>
              <w:widowControl/>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p>
        </w:tc>
        <w:tc>
          <w:tcPr>
            <w:tcW w:w="2044" w:type="dxa"/>
            <w:tcBorders>
              <w:right w:val="single" w:color="auto" w:sz="4" w:space="0"/>
            </w:tcBorders>
            <w:noWrap w:val="0"/>
            <w:vAlign w:val="center"/>
          </w:tcPr>
          <w:p>
            <w:pPr>
              <w:widowControl/>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交工集中验收阶段长租车</w:t>
            </w:r>
          </w:p>
        </w:tc>
        <w:tc>
          <w:tcPr>
            <w:tcW w:w="1462" w:type="dxa"/>
            <w:tcBorders>
              <w:left w:val="single" w:color="auto" w:sz="4" w:space="0"/>
              <w:right w:val="single" w:color="auto" w:sz="4" w:space="0"/>
            </w:tcBorders>
            <w:noWrap w:val="0"/>
            <w:vAlign w:val="center"/>
          </w:tcPr>
          <w:p>
            <w:pPr>
              <w:widowControl/>
              <w:spacing w:line="40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1.4</w:t>
            </w:r>
          </w:p>
        </w:tc>
        <w:tc>
          <w:tcPr>
            <w:tcW w:w="785" w:type="dxa"/>
            <w:tcBorders>
              <w:left w:val="single" w:color="auto" w:sz="4" w:space="0"/>
              <w:right w:val="single" w:color="auto" w:sz="4" w:space="0"/>
            </w:tcBorders>
            <w:noWrap w:val="0"/>
            <w:vAlign w:val="center"/>
          </w:tcPr>
          <w:p>
            <w:pPr>
              <w:widowControl/>
              <w:spacing w:line="40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rPr>
              <w:t>1</w:t>
            </w:r>
          </w:p>
        </w:tc>
        <w:tc>
          <w:tcPr>
            <w:tcW w:w="851" w:type="dxa"/>
            <w:tcBorders>
              <w:left w:val="single" w:color="auto" w:sz="4" w:space="0"/>
              <w:right w:val="single" w:color="auto" w:sz="4" w:space="0"/>
            </w:tcBorders>
            <w:noWrap w:val="0"/>
            <w:vAlign w:val="center"/>
          </w:tcPr>
          <w:p>
            <w:pPr>
              <w:widowControl/>
              <w:spacing w:line="40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rPr>
              <w:t>辆</w:t>
            </w:r>
          </w:p>
        </w:tc>
        <w:tc>
          <w:tcPr>
            <w:tcW w:w="1556" w:type="dxa"/>
            <w:tcBorders>
              <w:left w:val="single" w:color="auto" w:sz="4" w:space="0"/>
            </w:tcBorders>
            <w:noWrap w:val="0"/>
            <w:vAlign w:val="center"/>
          </w:tcPr>
          <w:p>
            <w:pPr>
              <w:widowControl/>
              <w:spacing w:line="4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6000</w:t>
            </w:r>
          </w:p>
        </w:tc>
        <w:tc>
          <w:tcPr>
            <w:tcW w:w="2566" w:type="dxa"/>
            <w:vMerge w:val="continue"/>
            <w:noWrap w:val="0"/>
            <w:vAlign w:val="center"/>
          </w:tcPr>
          <w:p>
            <w:pPr>
              <w:widowControl/>
              <w:spacing w:line="400" w:lineRule="exact"/>
              <w:jc w:val="center"/>
              <w:rPr>
                <w:rFonts w:hint="eastAsia" w:ascii="宋体" w:hAnsi="宋体" w:eastAsia="宋体" w:cs="宋体"/>
                <w:color w:val="auto"/>
                <w:kern w:val="0"/>
                <w:sz w:val="22"/>
                <w:szCs w:val="22"/>
                <w:highlight w:val="none"/>
              </w:rPr>
            </w:pPr>
          </w:p>
        </w:tc>
      </w:tr>
    </w:tbl>
    <w:p>
      <w:pPr>
        <w:pStyle w:val="2"/>
        <w:spacing w:line="400" w:lineRule="exact"/>
        <w:ind w:firstLine="0"/>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lang w:val="en-US" w:eastAsia="zh-CN"/>
        </w:rPr>
        <w:t>（三）</w:t>
      </w:r>
      <w:r>
        <w:rPr>
          <w:rFonts w:hint="eastAsia" w:ascii="宋体" w:hAnsi="宋体" w:eastAsia="宋体" w:cs="宋体"/>
          <w:b/>
          <w:color w:val="auto"/>
          <w:sz w:val="22"/>
          <w:szCs w:val="22"/>
          <w:highlight w:val="none"/>
        </w:rPr>
        <w:t>服务要求</w:t>
      </w:r>
    </w:p>
    <w:p>
      <w:pPr>
        <w:pStyle w:val="8"/>
        <w:snapToGrid w:val="0"/>
        <w:spacing w:line="400" w:lineRule="exact"/>
        <w:ind w:firstLine="44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3.1供应商应负责项目检测期间的临时交通组织，拟采用“半幅封闭、交替通行”的方式，在已通车公路桥梁隧道进行封道时，必须采取一切措施减少对车辆通行的影响，做到通车、施工两不误。供应商应针对路段的施工特点，针对性设计提出交通组织方案及施工维护方案进行动态优化，编制各项保证车辆通行和安全生产应急预案和完善的保通行措施，报采购人及相关职能部门批准，并认真组织实施，供应商因此增加的费用应认为已包括在投标价之中，采购人不另行支付。</w:t>
      </w:r>
    </w:p>
    <w:p>
      <w:pPr>
        <w:pStyle w:val="8"/>
        <w:snapToGrid w:val="0"/>
        <w:spacing w:line="400" w:lineRule="exact"/>
        <w:ind w:firstLine="44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施工方案和措施应包括：</w:t>
      </w:r>
    </w:p>
    <w:p>
      <w:pPr>
        <w:pStyle w:val="8"/>
        <w:snapToGrid w:val="0"/>
        <w:spacing w:line="400" w:lineRule="exact"/>
        <w:ind w:firstLine="44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a.供应商应牢固树立“安全第一、确保通行、大局为重”的理念，当施工与通行相冲突时，应当无条件服从道路车辆通行的要求；</w:t>
      </w:r>
    </w:p>
    <w:p>
      <w:pPr>
        <w:pStyle w:val="8"/>
        <w:snapToGrid w:val="0"/>
        <w:spacing w:line="400" w:lineRule="exact"/>
        <w:ind w:firstLine="44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b.成立由项目负责人为组长的维护、管理组织领导小组，同时安排专人，作为负责正常道路维护和交通管理工作；</w:t>
      </w:r>
    </w:p>
    <w:p>
      <w:pPr>
        <w:pStyle w:val="8"/>
        <w:snapToGrid w:val="0"/>
        <w:spacing w:line="400" w:lineRule="exact"/>
        <w:ind w:firstLine="44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c.落实交通组织及施工等各项措施，根据本项目的实际情况合理分段、分幅安排施工，要控制施工长度，维持足够宽度，确保车辆能顺利交会，车辆平稳通过；</w:t>
      </w:r>
    </w:p>
    <w:p>
      <w:pPr>
        <w:pStyle w:val="8"/>
        <w:snapToGrid w:val="0"/>
        <w:spacing w:line="400" w:lineRule="exact"/>
        <w:ind w:firstLine="44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d.供应商应配备完善的交通管制、交通分流和各种诱导标志，制定完善的防止施工材料掉落措施，指定专人维护交通管理和秩序；</w:t>
      </w:r>
    </w:p>
    <w:p>
      <w:pPr>
        <w:pStyle w:val="8"/>
        <w:snapToGrid w:val="0"/>
        <w:spacing w:line="400" w:lineRule="exact"/>
        <w:ind w:firstLine="44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e.加强与交警、路政等部门的联系，争取交警、地方参与，建立交通管理制度；</w:t>
      </w:r>
    </w:p>
    <w:p>
      <w:pPr>
        <w:pStyle w:val="8"/>
        <w:snapToGrid w:val="0"/>
        <w:spacing w:line="400" w:lineRule="exact"/>
        <w:ind w:firstLine="44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f.为切实加强重大节日期间的安全生产工作，防止各类事故的发生，供应商应认真做好节日期间交通组织维护以及突发事件的应急救援工作，服从采购人和上级部门的安排，配合做好节假日期间和谐稳定工作，同时必要时应无偿提供人力、设备以及材料等方面的支持配合，供应商因此增加的费用应认为已包括在投标价之中，采购人不另行支付；</w:t>
      </w:r>
    </w:p>
    <w:p>
      <w:pPr>
        <w:pStyle w:val="8"/>
        <w:snapToGrid w:val="0"/>
        <w:spacing w:line="400" w:lineRule="exact"/>
        <w:ind w:firstLine="440"/>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rPr>
        <w:t>g.供应商应配合服从采购人及上级部门做好各项应急突发事件的防护等各项任务，服从采购人和上级部门的安排，认真做好各项配合工作，同时无偿提供人力、设备以及材料等方面的支持配合，供应商因此增加的费用应认为已包括在投标价之中，采购人不另行支付</w:t>
      </w:r>
      <w:r>
        <w:rPr>
          <w:rFonts w:hint="eastAsia" w:ascii="宋体" w:hAnsi="宋体" w:eastAsia="宋体" w:cs="宋体"/>
          <w:bCs/>
          <w:color w:val="auto"/>
          <w:sz w:val="22"/>
          <w:szCs w:val="22"/>
          <w:highlight w:val="none"/>
          <w:lang w:eastAsia="zh-CN"/>
        </w:rPr>
        <w:t>；</w:t>
      </w:r>
    </w:p>
    <w:p>
      <w:pPr>
        <w:pStyle w:val="8"/>
        <w:snapToGrid w:val="0"/>
        <w:spacing w:line="400" w:lineRule="exact"/>
        <w:ind w:firstLine="44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3.2供应商应提供项目实施所需要的设施设备及人员；</w:t>
      </w:r>
    </w:p>
    <w:p>
      <w:pPr>
        <w:pStyle w:val="8"/>
        <w:snapToGrid w:val="0"/>
        <w:spacing w:line="400" w:lineRule="exact"/>
        <w:ind w:firstLine="440"/>
        <w:rPr>
          <w:rFonts w:hint="eastAsia" w:ascii="宋体" w:hAnsi="宋体" w:eastAsia="宋体" w:cs="宋体"/>
          <w:bCs/>
          <w:color w:val="auto"/>
          <w:sz w:val="22"/>
          <w:szCs w:val="22"/>
          <w:highlight w:val="none"/>
          <w:u w:val="single"/>
          <w:lang w:eastAsia="zh-CN"/>
        </w:rPr>
      </w:pPr>
      <w:r>
        <w:rPr>
          <w:rFonts w:hint="eastAsia" w:ascii="宋体" w:hAnsi="宋体" w:eastAsia="宋体" w:cs="宋体"/>
          <w:bCs/>
          <w:color w:val="auto"/>
          <w:sz w:val="22"/>
          <w:szCs w:val="22"/>
          <w:highlight w:val="none"/>
          <w:u w:val="single"/>
        </w:rPr>
        <w:t>▲3.3供应商应针对现场工作人员购买人身综合意外险等相关险种，保额100万元及以上：需提供投保证明材料或中标后为相关人员投保的承诺</w:t>
      </w:r>
      <w:r>
        <w:rPr>
          <w:rFonts w:hint="eastAsia" w:ascii="宋体" w:hAnsi="宋体" w:eastAsia="宋体" w:cs="宋体"/>
          <w:bCs/>
          <w:color w:val="auto"/>
          <w:sz w:val="22"/>
          <w:szCs w:val="22"/>
          <w:highlight w:val="none"/>
          <w:u w:val="single"/>
          <w:lang w:eastAsia="zh-CN"/>
        </w:rPr>
        <w:t>；</w:t>
      </w:r>
    </w:p>
    <w:p>
      <w:pPr>
        <w:pStyle w:val="8"/>
        <w:snapToGrid w:val="0"/>
        <w:spacing w:line="400" w:lineRule="exact"/>
        <w:ind w:firstLine="440"/>
        <w:rPr>
          <w:rFonts w:hint="eastAsia" w:ascii="宋体" w:hAnsi="宋体" w:eastAsia="宋体" w:cs="宋体"/>
          <w:bCs/>
          <w:color w:val="auto"/>
          <w:sz w:val="22"/>
          <w:szCs w:val="22"/>
          <w:highlight w:val="none"/>
        </w:rPr>
      </w:pPr>
      <w:r>
        <w:rPr>
          <w:rFonts w:hint="eastAsia" w:ascii="宋体" w:hAnsi="宋体" w:eastAsia="宋体" w:cs="宋体"/>
          <w:b/>
          <w:bCs w:val="0"/>
          <w:color w:val="auto"/>
          <w:sz w:val="22"/>
          <w:szCs w:val="22"/>
          <w:highlight w:val="none"/>
        </w:rPr>
        <w:t>3.4 供应商提供的专用车辆</w:t>
      </w:r>
      <w:r>
        <w:rPr>
          <w:rFonts w:hint="eastAsia" w:ascii="宋体" w:hAnsi="宋体" w:eastAsia="宋体" w:cs="宋体"/>
          <w:b/>
          <w:bCs w:val="0"/>
          <w:color w:val="auto"/>
          <w:sz w:val="22"/>
          <w:szCs w:val="22"/>
          <w:highlight w:val="none"/>
          <w:lang w:eastAsia="zh-CN"/>
        </w:rPr>
        <w:t>（</w:t>
      </w:r>
      <w:r>
        <w:rPr>
          <w:rFonts w:hint="eastAsia" w:ascii="宋体" w:hAnsi="宋体" w:eastAsia="宋体" w:cs="宋体"/>
          <w:b/>
          <w:bCs w:val="0"/>
          <w:color w:val="auto"/>
          <w:sz w:val="22"/>
          <w:szCs w:val="22"/>
          <w:highlight w:val="none"/>
          <w:lang w:val="en-US" w:eastAsia="zh-CN"/>
        </w:rPr>
        <w:t>车辆要求：SUV，年限在3年以内且累计行驶15万公里以内</w:t>
      </w:r>
      <w:r>
        <w:rPr>
          <w:rFonts w:hint="eastAsia" w:ascii="宋体" w:hAnsi="宋体" w:eastAsia="宋体" w:cs="宋体"/>
          <w:b/>
          <w:bCs w:val="0"/>
          <w:color w:val="auto"/>
          <w:sz w:val="22"/>
          <w:szCs w:val="22"/>
          <w:highlight w:val="none"/>
          <w:lang w:eastAsia="zh-CN"/>
        </w:rPr>
        <w:t>）</w:t>
      </w:r>
      <w:r>
        <w:rPr>
          <w:rFonts w:hint="eastAsia" w:ascii="宋体" w:hAnsi="宋体" w:eastAsia="宋体" w:cs="宋体"/>
          <w:b/>
          <w:bCs w:val="0"/>
          <w:color w:val="auto"/>
          <w:sz w:val="22"/>
          <w:szCs w:val="22"/>
          <w:highlight w:val="none"/>
        </w:rPr>
        <w:t>均应配有持有相应驾驶证件的驾驶员</w:t>
      </w:r>
      <w:r>
        <w:rPr>
          <w:rFonts w:hint="eastAsia" w:ascii="宋体" w:hAnsi="宋体" w:eastAsia="宋体" w:cs="宋体"/>
          <w:b/>
          <w:bCs w:val="0"/>
          <w:color w:val="auto"/>
          <w:sz w:val="22"/>
          <w:szCs w:val="22"/>
          <w:highlight w:val="none"/>
          <w:lang w:val="en-US" w:eastAsia="zh-CN"/>
        </w:rPr>
        <w:t>和相关</w:t>
      </w:r>
      <w:r>
        <w:rPr>
          <w:rFonts w:hint="eastAsia" w:ascii="宋体" w:hAnsi="宋体" w:eastAsia="宋体" w:cs="宋体"/>
          <w:b/>
          <w:bCs w:val="0"/>
          <w:color w:val="auto"/>
          <w:sz w:val="22"/>
          <w:szCs w:val="22"/>
          <w:highlight w:val="none"/>
        </w:rPr>
        <w:t>保险</w:t>
      </w:r>
      <w:r>
        <w:rPr>
          <w:rFonts w:hint="eastAsia" w:ascii="宋体" w:hAnsi="宋体" w:eastAsia="宋体" w:cs="宋体"/>
          <w:bCs/>
          <w:color w:val="auto"/>
          <w:sz w:val="22"/>
          <w:szCs w:val="22"/>
          <w:highlight w:val="none"/>
        </w:rPr>
        <w:t>；</w:t>
      </w:r>
    </w:p>
    <w:p>
      <w:pPr>
        <w:pStyle w:val="8"/>
        <w:snapToGrid w:val="0"/>
        <w:spacing w:line="400" w:lineRule="exact"/>
        <w:ind w:firstLine="440"/>
        <w:rPr>
          <w:rFonts w:hint="eastAsia" w:ascii="宋体" w:hAnsi="宋体" w:eastAsia="宋体" w:cs="宋体"/>
          <w:bCs/>
          <w:color w:val="auto"/>
          <w:sz w:val="22"/>
          <w:szCs w:val="22"/>
          <w:highlight w:val="none"/>
          <w:u w:val="single"/>
        </w:rPr>
      </w:pPr>
      <w:r>
        <w:rPr>
          <w:rFonts w:hint="eastAsia" w:ascii="宋体" w:hAnsi="宋体" w:eastAsia="宋体" w:cs="宋体"/>
          <w:bCs/>
          <w:color w:val="auto"/>
          <w:sz w:val="22"/>
          <w:szCs w:val="22"/>
          <w:highlight w:val="none"/>
          <w:u w:val="single"/>
        </w:rPr>
        <w:t>▲3.5由于供应商措施不力，导致阻车、人员伤亡、事故频发或损坏现有公路，影响交通安全和运行，引起索赔，赔偿、诉讼费用及工程拖延或施工费用增加时，应由供应商承担一切责任和费用，需提供承诺函。</w:t>
      </w:r>
    </w:p>
    <w:p>
      <w:pPr>
        <w:snapToGrid w:val="0"/>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（四）相关法规、管理条例与技术标准、行业规范</w:t>
      </w:r>
    </w:p>
    <w:p>
      <w:pPr>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（1）国家规定的标准和规范，有新标准按新标准执行；</w:t>
      </w:r>
    </w:p>
    <w:p>
      <w:pPr>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（2）行业标准及规范，有新标准按新标准执行；</w:t>
      </w:r>
    </w:p>
    <w:p>
      <w:pPr>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（3）其他相关标准。</w:t>
      </w:r>
    </w:p>
    <w:p>
      <w:pPr>
        <w:pStyle w:val="3"/>
        <w:spacing w:before="0" w:after="0"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（五）</w:t>
      </w:r>
      <w:r>
        <w:rPr>
          <w:rFonts w:hint="eastAsia" w:ascii="宋体" w:hAnsi="宋体" w:eastAsia="宋体" w:cs="宋体"/>
          <w:b/>
          <w:bCs/>
          <w:color w:val="auto"/>
          <w:sz w:val="22"/>
          <w:szCs w:val="22"/>
          <w:highlight w:val="none"/>
        </w:rPr>
        <w:t>成果要求：</w:t>
      </w:r>
    </w:p>
    <w:p>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协助采购人完成</w:t>
      </w:r>
      <w:r>
        <w:rPr>
          <w:rFonts w:hint="eastAsia" w:ascii="宋体" w:hAnsi="宋体" w:eastAsia="宋体" w:cs="宋体"/>
          <w:bCs/>
          <w:color w:val="auto"/>
          <w:sz w:val="22"/>
          <w:szCs w:val="22"/>
          <w:highlight w:val="none"/>
        </w:rPr>
        <w:t>“《351国道浦江联盟至兰溪界段工程竣（交）工质量评定检测项目》”</w:t>
      </w:r>
      <w:r>
        <w:rPr>
          <w:rFonts w:hint="eastAsia" w:ascii="宋体" w:hAnsi="宋体" w:eastAsia="宋体" w:cs="宋体"/>
          <w:color w:val="auto"/>
          <w:sz w:val="22"/>
          <w:szCs w:val="22"/>
          <w:highlight w:val="none"/>
        </w:rPr>
        <w:t>的现场检测工作。</w:t>
      </w:r>
    </w:p>
    <w:bookmarkEnd w:id="1"/>
    <w:p>
      <w:pPr>
        <w:pStyle w:val="3"/>
        <w:spacing w:before="0" w:after="0" w:line="400" w:lineRule="exact"/>
        <w:rPr>
          <w:rFonts w:hint="eastAsia" w:ascii="宋体" w:hAnsi="宋体" w:eastAsia="宋体" w:cs="宋体"/>
          <w:b/>
          <w:color w:val="auto"/>
          <w:kern w:val="2"/>
          <w:sz w:val="22"/>
          <w:szCs w:val="22"/>
          <w:highlight w:val="none"/>
          <w:lang w:val="en-US" w:eastAsia="zh-CN"/>
        </w:rPr>
      </w:pPr>
      <w:r>
        <w:rPr>
          <w:rFonts w:hint="eastAsia" w:ascii="宋体" w:hAnsi="宋体" w:eastAsia="宋体" w:cs="宋体"/>
          <w:b/>
          <w:color w:val="auto"/>
          <w:kern w:val="2"/>
          <w:sz w:val="22"/>
          <w:szCs w:val="22"/>
          <w:highlight w:val="none"/>
          <w:lang w:val="en-US" w:eastAsia="zh-CN"/>
        </w:rPr>
        <w:t>（六）团队要求：（主要包括项目负责人、项目组成员）</w:t>
      </w:r>
    </w:p>
    <w:p>
      <w:pPr>
        <w:pStyle w:val="9"/>
        <w:spacing w:line="400" w:lineRule="exact"/>
        <w:ind w:firstLine="643"/>
        <w:jc w:val="center"/>
        <w:outlineLvl w:val="2"/>
        <w:rPr>
          <w:rFonts w:hint="eastAsia" w:ascii="宋体" w:hAnsi="宋体" w:eastAsia="宋体" w:cs="宋体"/>
          <w:b/>
          <w:bCs/>
          <w:color w:val="auto"/>
          <w:sz w:val="22"/>
          <w:highlight w:val="none"/>
        </w:rPr>
      </w:pPr>
      <w:bookmarkStart w:id="4" w:name="_Toc476751959"/>
      <w:bookmarkStart w:id="5" w:name="_Toc31023"/>
      <w:bookmarkStart w:id="6" w:name="_Toc25343"/>
      <w:r>
        <w:rPr>
          <w:rFonts w:hint="eastAsia" w:ascii="宋体" w:hAnsi="宋体" w:eastAsia="宋体" w:cs="宋体"/>
          <w:b/>
          <w:bCs/>
          <w:color w:val="auto"/>
          <w:sz w:val="22"/>
          <w:highlight w:val="none"/>
        </w:rPr>
        <w:t>主要人员最低要求</w:t>
      </w:r>
      <w:bookmarkEnd w:id="4"/>
      <w:bookmarkEnd w:id="5"/>
    </w:p>
    <w:bookmarkEnd w:id="6"/>
    <w:tbl>
      <w:tblPr>
        <w:tblStyle w:val="5"/>
        <w:tblW w:w="0" w:type="auto"/>
        <w:jc w:val="center"/>
        <w:tblLayout w:type="fixed"/>
        <w:tblCellMar>
          <w:top w:w="0" w:type="dxa"/>
          <w:left w:w="108" w:type="dxa"/>
          <w:bottom w:w="0" w:type="dxa"/>
          <w:right w:w="108" w:type="dxa"/>
        </w:tblCellMar>
      </w:tblPr>
      <w:tblGrid>
        <w:gridCol w:w="1394"/>
        <w:gridCol w:w="713"/>
        <w:gridCol w:w="6731"/>
        <w:gridCol w:w="766"/>
      </w:tblGrid>
      <w:tr>
        <w:tblPrEx>
          <w:tblCellMar>
            <w:top w:w="0" w:type="dxa"/>
            <w:left w:w="108" w:type="dxa"/>
            <w:bottom w:w="0" w:type="dxa"/>
            <w:right w:w="108" w:type="dxa"/>
          </w:tblCellMar>
        </w:tblPrEx>
        <w:trPr>
          <w:trHeight w:val="360" w:hRule="atLeast"/>
          <w:jc w:val="center"/>
        </w:trPr>
        <w:tc>
          <w:tcPr>
            <w:tcW w:w="1394" w:type="dxa"/>
            <w:tcBorders>
              <w:top w:val="single" w:color="auto" w:sz="12" w:space="0"/>
              <w:left w:val="single" w:color="auto" w:sz="12" w:space="0"/>
              <w:bottom w:val="single" w:color="auto" w:sz="6" w:space="0"/>
              <w:right w:val="single" w:color="auto" w:sz="6" w:space="0"/>
            </w:tcBorders>
            <w:noWrap w:val="0"/>
            <w:vAlign w:val="center"/>
          </w:tcPr>
          <w:p>
            <w:pPr>
              <w:pStyle w:val="10"/>
              <w:spacing w:line="400" w:lineRule="exact"/>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人员</w:t>
            </w:r>
          </w:p>
        </w:tc>
        <w:tc>
          <w:tcPr>
            <w:tcW w:w="713" w:type="dxa"/>
            <w:tcBorders>
              <w:top w:val="single" w:color="auto" w:sz="12" w:space="0"/>
              <w:left w:val="nil"/>
              <w:bottom w:val="single" w:color="auto" w:sz="6" w:space="0"/>
              <w:right w:val="single" w:color="auto" w:sz="6" w:space="0"/>
            </w:tcBorders>
            <w:noWrap w:val="0"/>
            <w:vAlign w:val="center"/>
          </w:tcPr>
          <w:p>
            <w:pPr>
              <w:pStyle w:val="10"/>
              <w:spacing w:line="400" w:lineRule="exact"/>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6731" w:type="dxa"/>
            <w:tcBorders>
              <w:top w:val="single" w:color="auto" w:sz="12" w:space="0"/>
              <w:left w:val="nil"/>
              <w:bottom w:val="single" w:color="auto" w:sz="6" w:space="0"/>
              <w:right w:val="single" w:color="auto" w:sz="4" w:space="0"/>
            </w:tcBorders>
            <w:noWrap w:val="0"/>
            <w:vAlign w:val="center"/>
          </w:tcPr>
          <w:p>
            <w:pPr>
              <w:pStyle w:val="10"/>
              <w:spacing w:line="400" w:lineRule="exact"/>
              <w:ind w:firstLine="48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c>
          <w:tcPr>
            <w:tcW w:w="766" w:type="dxa"/>
            <w:tcBorders>
              <w:top w:val="single" w:color="auto" w:sz="12" w:space="0"/>
              <w:left w:val="nil"/>
              <w:bottom w:val="single" w:color="auto" w:sz="6" w:space="0"/>
              <w:right w:val="single" w:color="auto" w:sz="12" w:space="0"/>
            </w:tcBorders>
            <w:noWrap w:val="0"/>
            <w:vAlign w:val="center"/>
          </w:tcPr>
          <w:p>
            <w:pPr>
              <w:pStyle w:val="10"/>
              <w:spacing w:line="400" w:lineRule="exact"/>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trPr>
          <w:trHeight w:val="567" w:hRule="atLeast"/>
          <w:jc w:val="center"/>
        </w:trPr>
        <w:tc>
          <w:tcPr>
            <w:tcW w:w="1394" w:type="dxa"/>
            <w:tcBorders>
              <w:top w:val="single" w:color="auto" w:sz="6" w:space="0"/>
              <w:left w:val="single" w:color="auto" w:sz="12" w:space="0"/>
              <w:bottom w:val="single" w:color="auto" w:sz="6" w:space="0"/>
              <w:right w:val="single" w:color="auto" w:sz="6" w:space="0"/>
            </w:tcBorders>
            <w:noWrap w:val="0"/>
            <w:vAlign w:val="center"/>
          </w:tcPr>
          <w:p>
            <w:pPr>
              <w:pStyle w:val="9"/>
              <w:spacing w:line="400" w:lineRule="exact"/>
              <w:ind w:firstLine="2"/>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项目负责人</w:t>
            </w:r>
          </w:p>
        </w:tc>
        <w:tc>
          <w:tcPr>
            <w:tcW w:w="713" w:type="dxa"/>
            <w:tcBorders>
              <w:top w:val="single" w:color="auto" w:sz="6" w:space="0"/>
              <w:left w:val="nil"/>
              <w:bottom w:val="single" w:color="auto" w:sz="6" w:space="0"/>
              <w:right w:val="single" w:color="auto" w:sz="6" w:space="0"/>
            </w:tcBorders>
            <w:noWrap w:val="0"/>
            <w:vAlign w:val="center"/>
          </w:tcPr>
          <w:p>
            <w:pPr>
              <w:pStyle w:val="9"/>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6731" w:type="dxa"/>
            <w:tcBorders>
              <w:top w:val="single" w:color="auto" w:sz="6" w:space="0"/>
              <w:left w:val="nil"/>
              <w:bottom w:val="single" w:color="auto" w:sz="6" w:space="0"/>
              <w:right w:val="single" w:color="auto" w:sz="4" w:space="0"/>
            </w:tcBorders>
            <w:noWrap w:val="0"/>
            <w:vAlign w:val="center"/>
          </w:tcPr>
          <w:p>
            <w:pPr>
              <w:pStyle w:val="9"/>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具有工程师及以上技术职称，且有交通运输部门核发的公路水运工程试验检测工程师证书（需含桥梁专业），年龄在55周岁及以下。</w:t>
            </w:r>
          </w:p>
        </w:tc>
        <w:tc>
          <w:tcPr>
            <w:tcW w:w="766" w:type="dxa"/>
            <w:tcBorders>
              <w:top w:val="single" w:color="auto" w:sz="6" w:space="0"/>
              <w:left w:val="nil"/>
              <w:bottom w:val="single" w:color="auto" w:sz="6" w:space="0"/>
              <w:right w:val="single" w:color="auto" w:sz="12" w:space="0"/>
            </w:tcBorders>
            <w:noWrap w:val="0"/>
            <w:vAlign w:val="center"/>
          </w:tcPr>
          <w:p>
            <w:pPr>
              <w:pStyle w:val="10"/>
              <w:spacing w:line="400" w:lineRule="exact"/>
              <w:ind w:firstLine="480"/>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567" w:hRule="atLeast"/>
          <w:jc w:val="center"/>
        </w:trPr>
        <w:tc>
          <w:tcPr>
            <w:tcW w:w="1394" w:type="dxa"/>
            <w:tcBorders>
              <w:top w:val="single" w:color="auto" w:sz="6" w:space="0"/>
              <w:left w:val="single" w:color="auto" w:sz="12" w:space="0"/>
              <w:bottom w:val="single" w:color="auto" w:sz="6" w:space="0"/>
              <w:right w:val="single" w:color="auto" w:sz="6" w:space="0"/>
            </w:tcBorders>
            <w:noWrap w:val="0"/>
            <w:vAlign w:val="center"/>
          </w:tcPr>
          <w:p>
            <w:pPr>
              <w:pStyle w:val="9"/>
              <w:spacing w:line="400" w:lineRule="exact"/>
              <w:ind w:firstLine="2"/>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技术负责人</w:t>
            </w:r>
          </w:p>
        </w:tc>
        <w:tc>
          <w:tcPr>
            <w:tcW w:w="713" w:type="dxa"/>
            <w:tcBorders>
              <w:top w:val="single" w:color="auto" w:sz="6" w:space="0"/>
              <w:left w:val="nil"/>
              <w:bottom w:val="single" w:color="auto" w:sz="6" w:space="0"/>
              <w:right w:val="single" w:color="auto" w:sz="6" w:space="0"/>
            </w:tcBorders>
            <w:noWrap w:val="0"/>
            <w:vAlign w:val="center"/>
          </w:tcPr>
          <w:p>
            <w:pPr>
              <w:pStyle w:val="9"/>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6731" w:type="dxa"/>
            <w:tcBorders>
              <w:top w:val="single" w:color="auto" w:sz="6" w:space="0"/>
              <w:left w:val="nil"/>
              <w:bottom w:val="single" w:color="auto" w:sz="6" w:space="0"/>
              <w:right w:val="single" w:color="auto" w:sz="4" w:space="0"/>
            </w:tcBorders>
            <w:noWrap w:val="0"/>
            <w:vAlign w:val="center"/>
          </w:tcPr>
          <w:p>
            <w:pPr>
              <w:pStyle w:val="9"/>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具有工程师及以上技术职称，且有交通运输部门核发的公路水运试验检测工程师证书（需含桥梁专业），年龄在55周岁及以下。</w:t>
            </w:r>
          </w:p>
        </w:tc>
        <w:tc>
          <w:tcPr>
            <w:tcW w:w="766" w:type="dxa"/>
            <w:tcBorders>
              <w:top w:val="single" w:color="auto" w:sz="6" w:space="0"/>
              <w:left w:val="nil"/>
              <w:bottom w:val="single" w:color="auto" w:sz="6" w:space="0"/>
              <w:right w:val="single" w:color="auto" w:sz="12" w:space="0"/>
            </w:tcBorders>
            <w:noWrap w:val="0"/>
            <w:vAlign w:val="center"/>
          </w:tcPr>
          <w:p>
            <w:pPr>
              <w:pStyle w:val="10"/>
              <w:spacing w:line="400" w:lineRule="exact"/>
              <w:ind w:firstLine="480"/>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567" w:hRule="atLeast"/>
          <w:jc w:val="center"/>
        </w:trPr>
        <w:tc>
          <w:tcPr>
            <w:tcW w:w="1394" w:type="dxa"/>
            <w:tcBorders>
              <w:top w:val="single" w:color="auto" w:sz="6" w:space="0"/>
              <w:left w:val="single" w:color="auto" w:sz="12" w:space="0"/>
              <w:bottom w:val="single" w:color="auto" w:sz="12" w:space="0"/>
              <w:right w:val="single" w:color="auto" w:sz="6" w:space="0"/>
            </w:tcBorders>
            <w:noWrap w:val="0"/>
            <w:vAlign w:val="center"/>
          </w:tcPr>
          <w:p>
            <w:pPr>
              <w:pStyle w:val="9"/>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检测人员</w:t>
            </w:r>
          </w:p>
        </w:tc>
        <w:tc>
          <w:tcPr>
            <w:tcW w:w="713" w:type="dxa"/>
            <w:tcBorders>
              <w:top w:val="single" w:color="auto" w:sz="6" w:space="0"/>
              <w:left w:val="nil"/>
              <w:bottom w:val="single" w:color="auto" w:sz="12" w:space="0"/>
              <w:right w:val="single" w:color="auto" w:sz="6" w:space="0"/>
            </w:tcBorders>
            <w:noWrap w:val="0"/>
            <w:vAlign w:val="center"/>
          </w:tcPr>
          <w:p>
            <w:pPr>
              <w:pStyle w:val="9"/>
              <w:spacing w:line="40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6731" w:type="dxa"/>
            <w:tcBorders>
              <w:top w:val="single" w:color="auto" w:sz="6" w:space="0"/>
              <w:left w:val="nil"/>
              <w:bottom w:val="single" w:color="auto" w:sz="12" w:space="0"/>
              <w:right w:val="single" w:color="auto" w:sz="4" w:space="0"/>
            </w:tcBorders>
            <w:noWrap w:val="0"/>
            <w:vAlign w:val="center"/>
          </w:tcPr>
          <w:p>
            <w:pPr>
              <w:pStyle w:val="9"/>
              <w:spacing w:line="400" w:lineRule="exact"/>
              <w:ind w:firstLine="2" w:firstLineChars="1"/>
              <w:rPr>
                <w:rFonts w:hint="eastAsia" w:ascii="宋体" w:hAnsi="宋体" w:eastAsia="宋体" w:cs="宋体"/>
                <w:color w:val="auto"/>
                <w:sz w:val="22"/>
                <w:highlight w:val="none"/>
              </w:rPr>
            </w:pPr>
            <w:r>
              <w:rPr>
                <w:rFonts w:hint="eastAsia" w:ascii="宋体" w:hAnsi="宋体" w:eastAsia="宋体" w:cs="宋体"/>
                <w:color w:val="auto"/>
                <w:sz w:val="22"/>
                <w:highlight w:val="none"/>
              </w:rPr>
              <w:t>具有公路工程试验检测人员证书（需含桥梁专业），年龄在55周岁及以下。</w:t>
            </w:r>
          </w:p>
        </w:tc>
        <w:tc>
          <w:tcPr>
            <w:tcW w:w="766" w:type="dxa"/>
            <w:tcBorders>
              <w:top w:val="single" w:color="auto" w:sz="6" w:space="0"/>
              <w:left w:val="nil"/>
              <w:bottom w:val="single" w:color="auto" w:sz="12" w:space="0"/>
              <w:right w:val="single" w:color="auto" w:sz="12" w:space="0"/>
            </w:tcBorders>
            <w:noWrap w:val="0"/>
            <w:vAlign w:val="center"/>
          </w:tcPr>
          <w:p>
            <w:pPr>
              <w:pStyle w:val="10"/>
              <w:spacing w:line="400" w:lineRule="exact"/>
              <w:ind w:firstLine="480"/>
              <w:rPr>
                <w:rFonts w:hint="eastAsia" w:ascii="宋体" w:hAnsi="宋体" w:eastAsia="宋体" w:cs="宋体"/>
                <w:color w:val="auto"/>
                <w:sz w:val="22"/>
                <w:szCs w:val="22"/>
                <w:highlight w:val="none"/>
              </w:rPr>
            </w:pPr>
          </w:p>
        </w:tc>
      </w:tr>
    </w:tbl>
    <w:p>
      <w:pPr>
        <w:pStyle w:val="9"/>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注：</w:t>
      </w:r>
    </w:p>
    <w:p>
      <w:pPr>
        <w:pStyle w:val="9"/>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1.持有试验检测证书的人员，其必须在本单位注册且与交通运输部公路水运工程试验检测管理信息系统查询结果一致（供应商应附交通运输部公路水运工程试验检测管理信息系统查询结果截图）。</w:t>
      </w:r>
    </w:p>
    <w:p>
      <w:pPr>
        <w:pStyle w:val="9"/>
        <w:spacing w:line="40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2.主要人员的技术职称、检测资格证书等，以供应商在响应文件中提供的身份证、职称证书、试验检测工程师（员）资格证书的彩色打印件或清晰可辨的复印件为准。</w:t>
      </w:r>
    </w:p>
    <w:p>
      <w:pPr>
        <w:pStyle w:val="9"/>
        <w:spacing w:line="400" w:lineRule="exact"/>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一个人不能同时担任多个职务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职务</w:t>
      </w:r>
      <w:r>
        <w:rPr>
          <w:rFonts w:hint="eastAsia" w:ascii="宋体" w:hAnsi="宋体" w:eastAsia="宋体" w:cs="宋体"/>
          <w:color w:val="auto"/>
          <w:sz w:val="22"/>
          <w:highlight w:val="none"/>
        </w:rPr>
        <w:t>包括项目负责人、技术负责人</w:t>
      </w:r>
      <w:r>
        <w:rPr>
          <w:rFonts w:hint="eastAsia" w:ascii="宋体" w:hAnsi="宋体" w:eastAsia="宋体" w:cs="宋体"/>
          <w:color w:val="auto"/>
          <w:sz w:val="22"/>
          <w:highlight w:val="none"/>
          <w:lang w:eastAsia="zh-CN"/>
        </w:rPr>
        <w:t>）。</w:t>
      </w:r>
    </w:p>
    <w:p>
      <w:pPr>
        <w:snapToGrid w:val="0"/>
        <w:spacing w:line="400" w:lineRule="exac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z w:val="22"/>
          <w:szCs w:val="22"/>
          <w:highlight w:val="none"/>
        </w:rPr>
        <w:t>四、</w:t>
      </w:r>
      <w:r>
        <w:rPr>
          <w:rFonts w:hint="eastAsia" w:ascii="宋体" w:hAnsi="宋体" w:eastAsia="宋体" w:cs="宋体"/>
          <w:b/>
          <w:bCs/>
          <w:color w:val="auto"/>
          <w:spacing w:val="-6"/>
          <w:sz w:val="22"/>
          <w:szCs w:val="22"/>
          <w:highlight w:val="none"/>
        </w:rPr>
        <w:t>其他</w:t>
      </w:r>
    </w:p>
    <w:p>
      <w:pPr>
        <w:spacing w:line="400" w:lineRule="exact"/>
        <w:ind w:firstLine="416"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1.标“▲且加下划线”的有关技术和商务要求为实质性条款，供应商必须做出实质性响应，否则视为无效响应文件。</w:t>
      </w:r>
    </w:p>
    <w:p>
      <w:pPr>
        <w:spacing w:line="400" w:lineRule="exact"/>
        <w:ind w:firstLine="416"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spacing w:val="-6"/>
          <w:sz w:val="22"/>
          <w:szCs w:val="22"/>
          <w:highlight w:val="none"/>
        </w:rPr>
        <w:t>2.除磋商文件中所明确的采购需求规格外，欢迎其他能满足本项目采购需求且性能相当于或高于所明确的服务参加磋商报价。同时在采购需求偏离表中作出详细对比说明</w:t>
      </w:r>
      <w:r>
        <w:rPr>
          <w:rFonts w:hint="eastAsia" w:ascii="宋体" w:hAnsi="宋体" w:eastAsia="宋体" w:cs="宋体"/>
          <w:color w:val="auto"/>
          <w:kern w:val="0"/>
          <w:sz w:val="22"/>
          <w:szCs w:val="22"/>
          <w:highlight w:val="none"/>
        </w:rPr>
        <w:t>。</w:t>
      </w:r>
    </w:p>
    <w:p>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F9896"/>
    <w:multiLevelType w:val="singleLevel"/>
    <w:tmpl w:val="B3EF989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NTQyMDU4ZjViYTgyY2JhMWRhOWMxODQ1Zjg1MTIifQ=="/>
  </w:docVars>
  <w:rsids>
    <w:rsidRoot w:val="00000000"/>
    <w:rsid w:val="54334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9"/>
    <w:pPr>
      <w:keepNext/>
      <w:keepLines/>
      <w:spacing w:before="260" w:after="260" w:line="408" w:lineRule="auto"/>
      <w:outlineLvl w:val="1"/>
    </w:pPr>
    <w:rPr>
      <w:rFonts w:ascii="Arial" w:hAnsi="Arial" w:eastAsia="黑体"/>
      <w:kern w:val="0"/>
      <w:sz w:val="28"/>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400" w:lineRule="atLeast"/>
      <w:ind w:firstLine="510"/>
      <w:textAlignment w:val="baseline"/>
    </w:pPr>
    <w:rPr>
      <w:rFonts w:eastAsia="微软雅黑"/>
      <w:kern w:val="0"/>
      <w:sz w:val="24"/>
    </w:rPr>
  </w:style>
  <w:style w:type="paragraph" w:styleId="4">
    <w:name w:val="annotation text"/>
    <w:basedOn w:val="1"/>
    <w:semiHidden/>
    <w:qFormat/>
    <w:uiPriority w:val="0"/>
    <w:pPr>
      <w:jc w:val="left"/>
    </w:pPr>
  </w:style>
  <w:style w:type="paragraph" w:customStyle="1" w:styleId="7">
    <w:name w:val="列出段落2"/>
    <w:basedOn w:val="1"/>
    <w:autoRedefine/>
    <w:qFormat/>
    <w:uiPriority w:val="0"/>
    <w:pPr>
      <w:ind w:firstLine="420" w:firstLineChars="200"/>
    </w:pPr>
  </w:style>
  <w:style w:type="paragraph" w:customStyle="1" w:styleId="8">
    <w:name w:val="列表段落1"/>
    <w:basedOn w:val="1"/>
    <w:autoRedefine/>
    <w:qFormat/>
    <w:uiPriority w:val="0"/>
    <w:pPr>
      <w:ind w:firstLine="200" w:firstLineChars="200"/>
    </w:pPr>
  </w:style>
  <w:style w:type="paragraph" w:customStyle="1" w:styleId="9">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_0_0"/>
    <w:basedOn w:val="1"/>
    <w:autoRedefine/>
    <w:qFormat/>
    <w:uiPriority w:val="0"/>
    <w:pPr>
      <w:spacing w:line="360" w:lineRule="auto"/>
      <w:ind w:firstLine="1044"/>
      <w:jc w:val="left"/>
    </w:pPr>
    <w:rPr>
      <w:rFonts w:ascii="Times New Roman" w:hAnsi="Times New Roman" w:eastAsia="宋体" w:cs="Times New Roman"/>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cp:lastModifiedBy>
  <dcterms:modified xsi:type="dcterms:W3CDTF">2024-01-16T03:07:45Z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DF28483008454741A905ABE1348B0581_12</vt:lpwstr>
  </property>
</Properties>
</file>