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outlineLvl w:val="0"/>
        <w:rPr>
          <w:rFonts w:hint="eastAsia" w:ascii="宋体" w:hAnsi="宋体" w:cs="宋体"/>
          <w:b/>
          <w:bCs/>
          <w:sz w:val="32"/>
          <w:szCs w:val="32"/>
        </w:rPr>
      </w:pPr>
      <w:r>
        <w:rPr>
          <w:rFonts w:hint="eastAsia" w:ascii="宋体" w:hAnsi="宋体" w:cs="宋体"/>
          <w:b/>
          <w:bCs/>
          <w:sz w:val="32"/>
          <w:szCs w:val="32"/>
        </w:rPr>
        <w:t>采购需求</w:t>
      </w:r>
    </w:p>
    <w:p>
      <w:pPr>
        <w:snapToGrid w:val="0"/>
        <w:spacing w:line="400" w:lineRule="exact"/>
        <w:outlineLvl w:val="1"/>
        <w:rPr>
          <w:rFonts w:hint="eastAsia" w:ascii="宋体" w:hAnsi="宋体" w:cs="宋体"/>
          <w:b/>
          <w:bCs/>
          <w:spacing w:val="-6"/>
          <w:sz w:val="22"/>
          <w:szCs w:val="22"/>
        </w:rPr>
      </w:pPr>
      <w:bookmarkStart w:id="0" w:name="_Toc401"/>
      <w:bookmarkStart w:id="1" w:name="_Toc479839540"/>
      <w:r>
        <w:rPr>
          <w:rFonts w:hint="eastAsia" w:ascii="宋体" w:hAnsi="宋体" w:cs="宋体"/>
          <w:b/>
          <w:bCs/>
          <w:spacing w:val="-6"/>
          <w:sz w:val="22"/>
          <w:szCs w:val="22"/>
        </w:rPr>
        <w:t>一、采购内容及数量</w:t>
      </w:r>
      <w:bookmarkEnd w:id="0"/>
    </w:p>
    <w:tbl>
      <w:tblPr>
        <w:tblStyle w:val="5"/>
        <w:tblW w:w="8964" w:type="dxa"/>
        <w:jc w:val="center"/>
        <w:tblLayout w:type="fixed"/>
        <w:tblCellMar>
          <w:top w:w="0" w:type="dxa"/>
          <w:left w:w="108" w:type="dxa"/>
          <w:bottom w:w="0" w:type="dxa"/>
          <w:right w:w="108" w:type="dxa"/>
        </w:tblCellMar>
      </w:tblPr>
      <w:tblGrid>
        <w:gridCol w:w="950"/>
        <w:gridCol w:w="5985"/>
        <w:gridCol w:w="1216"/>
        <w:gridCol w:w="813"/>
      </w:tblGrid>
      <w:tr>
        <w:tblPrEx>
          <w:tblCellMar>
            <w:top w:w="0" w:type="dxa"/>
            <w:left w:w="108" w:type="dxa"/>
            <w:bottom w:w="0" w:type="dxa"/>
            <w:right w:w="108" w:type="dxa"/>
          </w:tblCellMar>
        </w:tblPrEx>
        <w:trPr>
          <w:trHeight w:val="567" w:hRule="atLeast"/>
          <w:jc w:val="center"/>
        </w:trPr>
        <w:tc>
          <w:tcPr>
            <w:tcW w:w="9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r>
              <w:rPr>
                <w:rFonts w:hint="eastAsia" w:ascii="宋体" w:hAnsi="宋体" w:cs="宋体"/>
                <w:sz w:val="22"/>
                <w:szCs w:val="22"/>
              </w:rPr>
              <w:t>序号</w:t>
            </w:r>
          </w:p>
        </w:tc>
        <w:tc>
          <w:tcPr>
            <w:tcW w:w="59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r>
              <w:rPr>
                <w:rFonts w:hint="eastAsia" w:ascii="宋体" w:hAnsi="宋体" w:cs="宋体"/>
                <w:sz w:val="22"/>
                <w:szCs w:val="22"/>
              </w:rPr>
              <w:t>项目内容</w:t>
            </w:r>
          </w:p>
        </w:tc>
        <w:tc>
          <w:tcPr>
            <w:tcW w:w="1216"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r>
              <w:rPr>
                <w:rFonts w:hint="eastAsia" w:ascii="宋体" w:hAnsi="宋体" w:cs="宋体"/>
                <w:sz w:val="22"/>
                <w:szCs w:val="22"/>
              </w:rPr>
              <w:t>数量</w:t>
            </w:r>
          </w:p>
        </w:tc>
        <w:tc>
          <w:tcPr>
            <w:tcW w:w="813"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567" w:hRule="atLeast"/>
          <w:jc w:val="center"/>
        </w:trPr>
        <w:tc>
          <w:tcPr>
            <w:tcW w:w="9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r>
              <w:rPr>
                <w:rFonts w:hint="eastAsia" w:ascii="宋体" w:hAnsi="宋体" w:cs="宋体"/>
                <w:sz w:val="22"/>
                <w:szCs w:val="22"/>
              </w:rPr>
              <w:t>1</w:t>
            </w:r>
          </w:p>
        </w:tc>
        <w:tc>
          <w:tcPr>
            <w:tcW w:w="5985"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r>
              <w:rPr>
                <w:rFonts w:hint="eastAsia" w:ascii="宋体" w:hAnsi="宋体" w:cs="宋体"/>
                <w:sz w:val="22"/>
                <w:szCs w:val="22"/>
              </w:rPr>
              <w:t>2023年景宁县农村公路桥隧定检、桥梁水下墩探摸检服务桥梁定期检查辅助检测及交通安全维护</w:t>
            </w:r>
          </w:p>
        </w:tc>
        <w:tc>
          <w:tcPr>
            <w:tcW w:w="12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r>
              <w:rPr>
                <w:rFonts w:hint="eastAsia" w:ascii="宋体" w:hAnsi="宋体" w:cs="宋体"/>
                <w:sz w:val="22"/>
                <w:szCs w:val="22"/>
              </w:rPr>
              <w:t>1项</w:t>
            </w:r>
          </w:p>
        </w:tc>
        <w:tc>
          <w:tcPr>
            <w:tcW w:w="81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cs="宋体"/>
                <w:sz w:val="22"/>
                <w:szCs w:val="22"/>
              </w:rPr>
            </w:pPr>
          </w:p>
        </w:tc>
      </w:tr>
    </w:tbl>
    <w:p>
      <w:pPr>
        <w:snapToGrid w:val="0"/>
        <w:spacing w:line="400" w:lineRule="exact"/>
        <w:outlineLvl w:val="1"/>
        <w:rPr>
          <w:rFonts w:hint="eastAsia" w:ascii="宋体" w:hAnsi="宋体" w:cs="宋体"/>
          <w:b/>
          <w:spacing w:val="-6"/>
          <w:sz w:val="22"/>
          <w:szCs w:val="22"/>
        </w:rPr>
      </w:pPr>
      <w:bookmarkStart w:id="2" w:name="_Toc25622"/>
      <w:r>
        <w:rPr>
          <w:rFonts w:hint="eastAsia" w:ascii="宋体" w:hAnsi="宋体" w:cs="宋体"/>
          <w:b/>
          <w:bCs/>
          <w:kern w:val="0"/>
          <w:sz w:val="22"/>
          <w:szCs w:val="22"/>
        </w:rPr>
        <w:t>二、</w:t>
      </w:r>
      <w:r>
        <w:rPr>
          <w:rFonts w:hint="eastAsia" w:ascii="宋体" w:hAnsi="宋体" w:cs="宋体"/>
          <w:b/>
          <w:spacing w:val="-6"/>
          <w:sz w:val="22"/>
          <w:szCs w:val="22"/>
        </w:rPr>
        <w:t>商务要求（技术要求里另有注明的以技术要求为准）</w:t>
      </w:r>
      <w:bookmarkEnd w:id="2"/>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6"/>
        <w:gridCol w:w="81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2"/>
                <w:szCs w:val="22"/>
                <w:u w:val="single"/>
              </w:rPr>
            </w:pPr>
            <w:bookmarkStart w:id="3" w:name="_Toc26570"/>
            <w:r>
              <w:rPr>
                <w:rFonts w:hint="eastAsia" w:ascii="宋体" w:hAnsi="宋体" w:cs="宋体"/>
                <w:b/>
                <w:bCs/>
                <w:sz w:val="22"/>
                <w:szCs w:val="22"/>
              </w:rPr>
              <w:t>付款方式</w:t>
            </w:r>
          </w:p>
        </w:tc>
        <w:tc>
          <w:tcPr>
            <w:tcW w:w="81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u w:val="single"/>
              </w:rPr>
            </w:pPr>
            <w:r>
              <w:rPr>
                <w:rFonts w:hint="eastAsia" w:ascii="宋体" w:hAnsi="宋体" w:cs="宋体"/>
                <w:sz w:val="22"/>
                <w:szCs w:val="22"/>
                <w:u w:val="single"/>
              </w:rPr>
              <w:t>▲服务内容全部完成后，供应商统计工作量及支付金额并上报采购人确认，以实际完成并经采购人确认的金额为准进行结算支付，采购人在收到费用支付申请后7个工作日内予以审批，在批复后14个工作日内向供应商支付已确认的服务费总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2"/>
                <w:szCs w:val="22"/>
                <w:u w:val="single"/>
              </w:rPr>
            </w:pPr>
            <w:r>
              <w:rPr>
                <w:rFonts w:hint="eastAsia" w:ascii="宋体" w:hAnsi="宋体" w:cs="宋体"/>
                <w:b/>
                <w:bCs/>
                <w:sz w:val="22"/>
                <w:szCs w:val="22"/>
              </w:rPr>
              <w:t>履约保证金</w:t>
            </w:r>
          </w:p>
        </w:tc>
        <w:tc>
          <w:tcPr>
            <w:tcW w:w="81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sz w:val="22"/>
                <w:szCs w:val="22"/>
              </w:rPr>
            </w:pPr>
            <w:r>
              <w:rPr>
                <w:rFonts w:hint="eastAsia" w:ascii="宋体" w:hAnsi="宋体" w:cs="宋体"/>
                <w:sz w:val="22"/>
                <w:szCs w:val="22"/>
              </w:rPr>
              <w:t>免收履约保证金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服务期</w:t>
            </w:r>
          </w:p>
        </w:tc>
        <w:tc>
          <w:tcPr>
            <w:tcW w:w="8187" w:type="dxa"/>
            <w:tcBorders>
              <w:top w:val="single" w:color="auto" w:sz="4" w:space="0"/>
              <w:left w:val="single" w:color="auto" w:sz="4" w:space="0"/>
              <w:bottom w:val="single" w:color="auto" w:sz="4" w:space="0"/>
              <w:right w:val="single" w:color="auto" w:sz="4" w:space="0"/>
            </w:tcBorders>
            <w:noWrap w:val="0"/>
            <w:vAlign w:val="center"/>
          </w:tcPr>
          <w:p>
            <w:pPr>
              <w:pStyle w:val="7"/>
              <w:spacing w:line="400" w:lineRule="exact"/>
              <w:ind w:firstLine="0" w:firstLineChars="0"/>
              <w:rPr>
                <w:rFonts w:hint="eastAsia" w:ascii="宋体" w:hAnsi="宋体" w:cs="宋体"/>
                <w:sz w:val="22"/>
                <w:szCs w:val="22"/>
              </w:rPr>
            </w:pPr>
            <w:r>
              <w:rPr>
                <w:rFonts w:hint="eastAsia" w:ascii="宋体" w:hAnsi="宋体" w:cs="宋体"/>
                <w:sz w:val="22"/>
                <w:szCs w:val="22"/>
              </w:rPr>
              <w:t>自合同签订之日起至2023年景宁县农村公路桥隧定检、桥梁水下墩探摸检服务通过交工验收止。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服务地点</w:t>
            </w:r>
          </w:p>
        </w:tc>
        <w:tc>
          <w:tcPr>
            <w:tcW w:w="81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sz w:val="22"/>
                <w:szCs w:val="22"/>
              </w:rPr>
            </w:pPr>
            <w:r>
              <w:rPr>
                <w:rFonts w:hint="eastAsia" w:ascii="宋体" w:hAnsi="宋体" w:cs="宋体"/>
                <w:sz w:val="22"/>
                <w:szCs w:val="22"/>
              </w:rPr>
              <w:t>浙江省交通运输科学研究院指定地点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2"/>
                <w:szCs w:val="22"/>
              </w:rPr>
            </w:pPr>
            <w:r>
              <w:rPr>
                <w:rFonts w:hint="eastAsia" w:ascii="宋体" w:hAnsi="宋体" w:cs="宋体"/>
                <w:b/>
                <w:sz w:val="22"/>
                <w:szCs w:val="22"/>
              </w:rPr>
              <w:t>报价要求</w:t>
            </w:r>
          </w:p>
        </w:tc>
        <w:tc>
          <w:tcPr>
            <w:tcW w:w="81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s="宋体"/>
                <w:sz w:val="22"/>
                <w:szCs w:val="22"/>
              </w:rPr>
            </w:pPr>
            <w:r>
              <w:rPr>
                <w:rFonts w:hint="eastAsia" w:ascii="宋体" w:hAnsi="宋体" w:cs="宋体"/>
                <w:sz w:val="22"/>
                <w:szCs w:val="22"/>
              </w:rPr>
              <w:t>采用人民币报价。</w:t>
            </w:r>
          </w:p>
          <w:p>
            <w:pPr>
              <w:spacing w:line="400" w:lineRule="exact"/>
              <w:jc w:val="left"/>
              <w:rPr>
                <w:rFonts w:hint="eastAsia" w:ascii="宋体" w:hAnsi="宋体" w:cs="宋体"/>
                <w:sz w:val="22"/>
                <w:szCs w:val="22"/>
              </w:rPr>
            </w:pPr>
            <w:r>
              <w:rPr>
                <w:rFonts w:hint="eastAsia" w:ascii="宋体" w:hAnsi="宋体" w:cs="宋体"/>
                <w:sz w:val="22"/>
                <w:szCs w:val="22"/>
              </w:rPr>
              <w:t>本项目报价为全费用单价包干价，报价是包含完成本项目工作任务所发生的一切费用及不可预见费等所需的全部费用，全部费用已包含在报价一览表的总报价中。</w:t>
            </w:r>
          </w:p>
          <w:p>
            <w:pPr>
              <w:spacing w:line="400" w:lineRule="exact"/>
              <w:jc w:val="left"/>
              <w:rPr>
                <w:rFonts w:hint="eastAsia" w:ascii="宋体" w:hAnsi="宋体" w:cs="宋体"/>
                <w:sz w:val="22"/>
                <w:szCs w:val="22"/>
              </w:rPr>
            </w:pPr>
            <w:r>
              <w:rPr>
                <w:rFonts w:hint="eastAsia" w:ascii="宋体" w:hAnsi="宋体" w:cs="宋体"/>
                <w:sz w:val="22"/>
                <w:szCs w:val="22"/>
              </w:rPr>
              <w:t>全部费用包括（但不限于）：为实施和完成合同工程所需人工费（配套的技术员、司机）、机械设备费、企业管理费、规费、税金、利润、运行过程中产生的燃油费、过路费、封道费、保养费、人员食宿费等全部费用，以及合同明示或隐含的所有责任、义务和一般风险。</w:t>
            </w:r>
          </w:p>
          <w:p>
            <w:pPr>
              <w:spacing w:line="400" w:lineRule="exact"/>
              <w:jc w:val="left"/>
              <w:rPr>
                <w:rFonts w:hint="eastAsia" w:ascii="宋体" w:hAnsi="宋体" w:cs="宋体"/>
                <w:sz w:val="22"/>
                <w:szCs w:val="22"/>
              </w:rPr>
            </w:pPr>
            <w:r>
              <w:rPr>
                <w:rFonts w:hint="eastAsia" w:ascii="宋体" w:hAnsi="宋体" w:cs="宋体"/>
                <w:sz w:val="22"/>
                <w:szCs w:val="22"/>
              </w:rPr>
              <w:t xml:space="preserve">供应商应综合考虑本项目的特殊性和不确定性，根据项目总体进度计划和阶段性计划以及采购人的要求合理安排好检测设备、人员进场，必要时应切实加大设备、人力的投入，由此增加的费用视为已包含在投标报价中，采购人不再另行支付，供应商应综合考虑各种相关因素进行报价。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b/>
                <w:bCs/>
                <w:sz w:val="22"/>
                <w:szCs w:val="22"/>
              </w:rPr>
            </w:pPr>
            <w:r>
              <w:rPr>
                <w:rFonts w:hint="eastAsia" w:ascii="宋体" w:hAnsi="宋体" w:cs="宋体"/>
                <w:b/>
                <w:bCs/>
                <w:sz w:val="22"/>
                <w:szCs w:val="22"/>
              </w:rPr>
              <w:t>验收标准</w:t>
            </w:r>
          </w:p>
        </w:tc>
        <w:tc>
          <w:tcPr>
            <w:tcW w:w="8187" w:type="dxa"/>
            <w:tcBorders>
              <w:top w:val="single" w:color="auto" w:sz="4" w:space="0"/>
              <w:left w:val="single" w:color="auto" w:sz="4" w:space="0"/>
              <w:bottom w:val="single" w:color="auto" w:sz="4" w:space="0"/>
              <w:right w:val="single" w:color="auto" w:sz="4" w:space="0"/>
            </w:tcBorders>
            <w:noWrap w:val="0"/>
            <w:vAlign w:val="center"/>
          </w:tcPr>
          <w:p>
            <w:pPr>
              <w:pStyle w:val="4"/>
              <w:widowControl/>
              <w:adjustRightInd w:val="0"/>
              <w:snapToGrid w:val="0"/>
              <w:spacing w:line="400" w:lineRule="exact"/>
              <w:rPr>
                <w:rFonts w:hint="eastAsia" w:ascii="宋体" w:hAnsi="宋体" w:cs="宋体"/>
                <w:sz w:val="22"/>
                <w:szCs w:val="22"/>
              </w:rPr>
            </w:pPr>
            <w:r>
              <w:rPr>
                <w:rFonts w:hint="eastAsia" w:ascii="宋体" w:hAnsi="宋体" w:cs="宋体"/>
                <w:sz w:val="22"/>
                <w:szCs w:val="22"/>
              </w:rPr>
              <w:t>合同履约达到验收条件时，按照采购合同、响应文件、磋商文件等约定的质量、数量、技术指标或者服务要求设验收指标及其标准。未约定的，应当符合国家强制性规定、政策要求、安全标准、行业或企业有关标准等。</w:t>
            </w:r>
          </w:p>
          <w:p>
            <w:pPr>
              <w:pStyle w:val="4"/>
              <w:widowControl/>
              <w:adjustRightInd w:val="0"/>
              <w:snapToGrid w:val="0"/>
              <w:spacing w:line="400" w:lineRule="exact"/>
              <w:rPr>
                <w:rFonts w:hint="eastAsia" w:ascii="宋体" w:hAnsi="宋体" w:cs="宋体"/>
                <w:sz w:val="22"/>
                <w:szCs w:val="22"/>
              </w:rPr>
            </w:pPr>
            <w:r>
              <w:rPr>
                <w:rFonts w:hint="eastAsia" w:ascii="宋体" w:hAnsi="宋体" w:cs="宋体"/>
                <w:sz w:val="22"/>
                <w:szCs w:val="22"/>
              </w:rPr>
              <w:t>以上产生的所有费用由成交供应商承担。</w:t>
            </w:r>
          </w:p>
          <w:p>
            <w:pPr>
              <w:spacing w:line="400" w:lineRule="exact"/>
              <w:jc w:val="left"/>
              <w:rPr>
                <w:rFonts w:hint="eastAsia" w:ascii="宋体" w:hAnsi="宋体" w:cs="宋体"/>
                <w:sz w:val="22"/>
                <w:szCs w:val="22"/>
              </w:rPr>
            </w:pPr>
            <w:r>
              <w:rPr>
                <w:rFonts w:hint="eastAsia" w:ascii="宋体" w:hAnsi="宋体" w:cs="宋体"/>
                <w:sz w:val="22"/>
                <w:szCs w:val="22"/>
              </w:rPr>
              <w:t>注：供应商应于响应文件中提供合同内容的验收标准和检测办法，并在验收中提供采购人认可的相应检测手段，验收标准应符合中国有关的国家、地方、行业的标准，如若中标，经采购人确认后作为验收的依据。</w:t>
            </w:r>
          </w:p>
        </w:tc>
      </w:tr>
    </w:tbl>
    <w:p>
      <w:pPr>
        <w:snapToGrid w:val="0"/>
        <w:spacing w:line="400" w:lineRule="exact"/>
        <w:outlineLvl w:val="1"/>
        <w:rPr>
          <w:rFonts w:hint="eastAsia" w:ascii="宋体" w:hAnsi="宋体" w:cs="宋体"/>
          <w:b/>
          <w:bCs/>
          <w:spacing w:val="-6"/>
          <w:sz w:val="22"/>
          <w:szCs w:val="22"/>
        </w:rPr>
      </w:pPr>
      <w:r>
        <w:rPr>
          <w:rFonts w:hint="eastAsia" w:ascii="宋体" w:hAnsi="宋体" w:cs="宋体"/>
          <w:b/>
          <w:bCs/>
          <w:spacing w:val="-6"/>
          <w:sz w:val="22"/>
          <w:szCs w:val="22"/>
        </w:rPr>
        <w:t>三、技术要求</w:t>
      </w:r>
      <w:bookmarkEnd w:id="1"/>
      <w:bookmarkEnd w:id="3"/>
    </w:p>
    <w:p>
      <w:pPr>
        <w:snapToGrid w:val="0"/>
        <w:spacing w:line="400" w:lineRule="exact"/>
        <w:outlineLvl w:val="1"/>
        <w:rPr>
          <w:rFonts w:hint="eastAsia" w:ascii="宋体" w:hAnsi="宋体" w:cs="宋体"/>
          <w:b/>
          <w:sz w:val="22"/>
          <w:szCs w:val="22"/>
        </w:rPr>
      </w:pPr>
      <w:r>
        <w:rPr>
          <w:rFonts w:hint="eastAsia" w:ascii="宋体" w:hAnsi="宋体" w:cs="宋体"/>
          <w:b/>
          <w:bCs/>
          <w:sz w:val="22"/>
          <w:szCs w:val="22"/>
        </w:rPr>
        <w:t>（一）</w:t>
      </w:r>
      <w:r>
        <w:rPr>
          <w:rFonts w:hint="eastAsia" w:ascii="宋体" w:hAnsi="宋体" w:cs="宋体"/>
          <w:b/>
          <w:sz w:val="22"/>
          <w:szCs w:val="22"/>
        </w:rPr>
        <w:t>项目背景</w:t>
      </w:r>
    </w:p>
    <w:p>
      <w:pPr>
        <w:snapToGrid w:val="0"/>
        <w:spacing w:line="400" w:lineRule="exact"/>
        <w:ind w:firstLine="440" w:firstLineChars="200"/>
        <w:outlineLvl w:val="1"/>
        <w:rPr>
          <w:rFonts w:hint="eastAsia" w:ascii="宋体" w:hAnsi="宋体" w:cs="宋体"/>
          <w:bCs/>
          <w:sz w:val="22"/>
          <w:szCs w:val="22"/>
        </w:rPr>
      </w:pPr>
      <w:r>
        <w:rPr>
          <w:rFonts w:hint="eastAsia" w:ascii="宋体" w:hAnsi="宋体" w:cs="宋体"/>
          <w:bCs/>
          <w:sz w:val="22"/>
          <w:szCs w:val="22"/>
        </w:rPr>
        <w:t>本项目拟采购专业单位为采购人“</w:t>
      </w:r>
      <w:r>
        <w:rPr>
          <w:rFonts w:hint="eastAsia" w:ascii="宋体" w:hAnsi="宋体" w:cs="宋体"/>
          <w:sz w:val="22"/>
          <w:szCs w:val="22"/>
        </w:rPr>
        <w:t>《2023年景宁县农村公路桥隧定检、桥梁水下墩探摸检服务》</w:t>
      </w:r>
      <w:r>
        <w:rPr>
          <w:rFonts w:hint="eastAsia" w:ascii="宋体" w:hAnsi="宋体" w:cs="宋体"/>
          <w:bCs/>
          <w:sz w:val="22"/>
          <w:szCs w:val="22"/>
        </w:rPr>
        <w:t>”提供</w:t>
      </w:r>
      <w:r>
        <w:rPr>
          <w:rFonts w:hint="eastAsia" w:ascii="宋体" w:hAnsi="宋体" w:cs="宋体"/>
          <w:sz w:val="22"/>
          <w:szCs w:val="22"/>
        </w:rPr>
        <w:t>辅助检测及交通安全维护</w:t>
      </w:r>
      <w:r>
        <w:rPr>
          <w:rFonts w:hint="eastAsia" w:ascii="宋体" w:hAnsi="宋体" w:cs="宋体"/>
          <w:bCs/>
          <w:sz w:val="22"/>
          <w:szCs w:val="22"/>
        </w:rPr>
        <w:t>等相关服务。</w:t>
      </w:r>
    </w:p>
    <w:p>
      <w:pPr>
        <w:pStyle w:val="3"/>
        <w:spacing w:line="400" w:lineRule="exact"/>
        <w:ind w:firstLine="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(二)服务内容</w:t>
      </w:r>
    </w:p>
    <w:tbl>
      <w:tblPr>
        <w:tblStyle w:val="5"/>
        <w:tblW w:w="94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3"/>
        <w:gridCol w:w="2366"/>
        <w:gridCol w:w="666"/>
        <w:gridCol w:w="734"/>
        <w:gridCol w:w="1350"/>
        <w:gridCol w:w="3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733"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序号</w:t>
            </w:r>
          </w:p>
        </w:tc>
        <w:tc>
          <w:tcPr>
            <w:tcW w:w="23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服务项目</w:t>
            </w:r>
          </w:p>
        </w:tc>
        <w:tc>
          <w:tcPr>
            <w:tcW w:w="6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单位</w:t>
            </w:r>
          </w:p>
        </w:tc>
        <w:tc>
          <w:tcPr>
            <w:tcW w:w="734" w:type="dxa"/>
            <w:tcBorders>
              <w:right w:val="single" w:color="auto" w:sz="4" w:space="0"/>
            </w:tcBorders>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数量</w:t>
            </w:r>
          </w:p>
        </w:tc>
        <w:tc>
          <w:tcPr>
            <w:tcW w:w="1350" w:type="dxa"/>
            <w:tcBorders>
              <w:left w:val="single" w:color="auto" w:sz="4" w:space="0"/>
            </w:tcBorders>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bCs/>
                <w:sz w:val="22"/>
                <w:szCs w:val="22"/>
              </w:rPr>
              <w:t>全费用单价最高限价（元）</w:t>
            </w:r>
          </w:p>
        </w:tc>
        <w:tc>
          <w:tcPr>
            <w:tcW w:w="3581"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主要工作内容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733"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1</w:t>
            </w:r>
          </w:p>
        </w:tc>
        <w:tc>
          <w:tcPr>
            <w:tcW w:w="23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桥梁定期检查（大桥）</w:t>
            </w:r>
            <w:r>
              <w:rPr>
                <w:rFonts w:hint="eastAsia" w:ascii="宋体" w:hAnsi="宋体" w:cs="宋体"/>
                <w:sz w:val="22"/>
                <w:szCs w:val="22"/>
              </w:rPr>
              <w:t>辅助检测</w:t>
            </w:r>
          </w:p>
        </w:tc>
        <w:tc>
          <w:tcPr>
            <w:tcW w:w="6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米</w:t>
            </w:r>
          </w:p>
        </w:tc>
        <w:tc>
          <w:tcPr>
            <w:tcW w:w="734" w:type="dxa"/>
            <w:tcBorders>
              <w:right w:val="single" w:color="auto" w:sz="4" w:space="0"/>
            </w:tcBorders>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lang w:val="zh-CN" w:bidi="zh-CN"/>
              </w:rPr>
              <w:t>5220</w:t>
            </w:r>
          </w:p>
        </w:tc>
        <w:tc>
          <w:tcPr>
            <w:tcW w:w="1350" w:type="dxa"/>
            <w:tcBorders>
              <w:left w:val="single" w:color="auto" w:sz="4" w:space="0"/>
            </w:tcBorders>
            <w:noWrap w:val="0"/>
            <w:vAlign w:val="center"/>
          </w:tcPr>
          <w:p>
            <w:pPr>
              <w:widowControl/>
              <w:spacing w:line="400" w:lineRule="exact"/>
              <w:jc w:val="center"/>
              <w:rPr>
                <w:rFonts w:ascii="宋体" w:hAnsi="宋体" w:cs="宋体"/>
                <w:kern w:val="0"/>
                <w:sz w:val="22"/>
                <w:szCs w:val="22"/>
                <w:lang w:bidi="zh-CN"/>
              </w:rPr>
            </w:pPr>
            <w:r>
              <w:rPr>
                <w:rFonts w:hint="eastAsia" w:ascii="宋体" w:hAnsi="宋体" w:cs="宋体"/>
                <w:kern w:val="0"/>
                <w:sz w:val="22"/>
                <w:szCs w:val="22"/>
                <w:lang w:bidi="zh-CN"/>
              </w:rPr>
              <w:t>20</w:t>
            </w:r>
          </w:p>
        </w:tc>
        <w:tc>
          <w:tcPr>
            <w:tcW w:w="3581" w:type="dxa"/>
            <w:vMerge w:val="restart"/>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sz w:val="22"/>
                <w:szCs w:val="22"/>
              </w:rPr>
              <w:t>包含</w:t>
            </w:r>
            <w:r>
              <w:rPr>
                <w:rFonts w:hint="eastAsia" w:ascii="宋体" w:hAnsi="宋体" w:cs="宋体"/>
                <w:kern w:val="0"/>
                <w:sz w:val="22"/>
                <w:szCs w:val="22"/>
              </w:rPr>
              <w:t>跨河检测的船只租赁、桥捡车、</w:t>
            </w:r>
            <w:r>
              <w:rPr>
                <w:rFonts w:hint="eastAsia" w:ascii="宋体" w:hAnsi="宋体" w:cs="宋体"/>
                <w:sz w:val="22"/>
                <w:szCs w:val="22"/>
              </w:rPr>
              <w:t>浮筒</w:t>
            </w:r>
            <w:r>
              <w:rPr>
                <w:rFonts w:hint="eastAsia" w:ascii="宋体" w:hAnsi="宋体" w:cs="宋体"/>
                <w:kern w:val="0"/>
                <w:sz w:val="22"/>
                <w:szCs w:val="22"/>
              </w:rPr>
              <w:t>以及现场病害数据记录、搬梯子等工作。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733"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2</w:t>
            </w:r>
          </w:p>
        </w:tc>
        <w:tc>
          <w:tcPr>
            <w:tcW w:w="23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桥梁定期检查（小桥）</w:t>
            </w:r>
            <w:r>
              <w:rPr>
                <w:rFonts w:hint="eastAsia" w:ascii="宋体" w:hAnsi="宋体" w:cs="宋体"/>
                <w:sz w:val="22"/>
                <w:szCs w:val="22"/>
              </w:rPr>
              <w:t>辅助检测</w:t>
            </w:r>
          </w:p>
        </w:tc>
        <w:tc>
          <w:tcPr>
            <w:tcW w:w="6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座</w:t>
            </w:r>
          </w:p>
        </w:tc>
        <w:tc>
          <w:tcPr>
            <w:tcW w:w="734" w:type="dxa"/>
            <w:tcBorders>
              <w:right w:val="single" w:color="auto" w:sz="4" w:space="0"/>
            </w:tcBorders>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lang w:val="zh-CN" w:bidi="zh-CN"/>
              </w:rPr>
              <w:t>52</w:t>
            </w:r>
          </w:p>
        </w:tc>
        <w:tc>
          <w:tcPr>
            <w:tcW w:w="1350" w:type="dxa"/>
            <w:tcBorders>
              <w:left w:val="single" w:color="auto" w:sz="4" w:space="0"/>
            </w:tcBorders>
            <w:noWrap w:val="0"/>
            <w:vAlign w:val="center"/>
          </w:tcPr>
          <w:p>
            <w:pPr>
              <w:widowControl/>
              <w:spacing w:line="400" w:lineRule="exact"/>
              <w:jc w:val="center"/>
              <w:rPr>
                <w:rFonts w:ascii="宋体" w:hAnsi="宋体" w:cs="宋体"/>
                <w:kern w:val="0"/>
                <w:sz w:val="22"/>
                <w:szCs w:val="22"/>
                <w:lang w:bidi="zh-CN"/>
              </w:rPr>
            </w:pPr>
            <w:r>
              <w:rPr>
                <w:rFonts w:hint="eastAsia" w:ascii="宋体" w:hAnsi="宋体" w:cs="宋体"/>
                <w:kern w:val="0"/>
                <w:sz w:val="22"/>
                <w:szCs w:val="22"/>
                <w:lang w:bidi="zh-CN"/>
              </w:rPr>
              <w:t>900</w:t>
            </w:r>
          </w:p>
        </w:tc>
        <w:tc>
          <w:tcPr>
            <w:tcW w:w="3581" w:type="dxa"/>
            <w:vMerge w:val="continue"/>
            <w:noWrap w:val="0"/>
            <w:vAlign w:val="center"/>
          </w:tcPr>
          <w:p>
            <w:pPr>
              <w:widowControl/>
              <w:spacing w:line="400" w:lineRule="exact"/>
              <w:jc w:val="center"/>
              <w:rPr>
                <w:rFonts w:hint="eastAsia" w:ascii="宋体" w:hAnsi="宋体" w:cs="宋体"/>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733"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3</w:t>
            </w:r>
          </w:p>
        </w:tc>
        <w:tc>
          <w:tcPr>
            <w:tcW w:w="23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桥隧定期检查交通安全维护（农村公路）</w:t>
            </w:r>
          </w:p>
        </w:tc>
        <w:tc>
          <w:tcPr>
            <w:tcW w:w="666"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台班</w:t>
            </w:r>
          </w:p>
        </w:tc>
        <w:tc>
          <w:tcPr>
            <w:tcW w:w="734" w:type="dxa"/>
            <w:tcBorders>
              <w:right w:val="single" w:color="auto" w:sz="4" w:space="0"/>
            </w:tcBorders>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lang w:val="zh-CN" w:bidi="zh-CN"/>
              </w:rPr>
              <w:t>30</w:t>
            </w:r>
          </w:p>
        </w:tc>
        <w:tc>
          <w:tcPr>
            <w:tcW w:w="1350" w:type="dxa"/>
            <w:tcBorders>
              <w:left w:val="single" w:color="auto" w:sz="4" w:space="0"/>
            </w:tcBorders>
            <w:noWrap w:val="0"/>
            <w:vAlign w:val="center"/>
          </w:tcPr>
          <w:p>
            <w:pPr>
              <w:widowControl/>
              <w:spacing w:line="400" w:lineRule="exact"/>
              <w:jc w:val="center"/>
              <w:rPr>
                <w:rFonts w:ascii="宋体" w:hAnsi="宋体" w:cs="宋体"/>
                <w:kern w:val="0"/>
                <w:sz w:val="22"/>
                <w:szCs w:val="22"/>
                <w:lang w:bidi="zh-CN"/>
              </w:rPr>
            </w:pPr>
            <w:r>
              <w:rPr>
                <w:rFonts w:hint="eastAsia" w:ascii="宋体" w:hAnsi="宋体" w:cs="宋体"/>
                <w:kern w:val="0"/>
                <w:sz w:val="22"/>
                <w:szCs w:val="22"/>
                <w:lang w:bidi="zh-CN"/>
              </w:rPr>
              <w:t>2000</w:t>
            </w:r>
          </w:p>
        </w:tc>
        <w:tc>
          <w:tcPr>
            <w:tcW w:w="3581" w:type="dxa"/>
            <w:noWrap w:val="0"/>
            <w:vAlign w:val="center"/>
          </w:tcPr>
          <w:p>
            <w:pPr>
              <w:widowControl/>
              <w:spacing w:line="400" w:lineRule="exact"/>
              <w:jc w:val="center"/>
              <w:rPr>
                <w:rFonts w:hint="eastAsia" w:ascii="宋体" w:hAnsi="宋体" w:cs="宋体"/>
                <w:kern w:val="0"/>
                <w:sz w:val="22"/>
                <w:szCs w:val="22"/>
              </w:rPr>
            </w:pPr>
            <w:r>
              <w:rPr>
                <w:rFonts w:hint="eastAsia" w:ascii="宋体" w:hAnsi="宋体" w:cs="宋体"/>
                <w:sz w:val="22"/>
                <w:szCs w:val="22"/>
              </w:rPr>
              <w:t>交通安全维护数量按8小时1台班。主要工作为临时封道、指挥交通等安全维护工作。</w:t>
            </w:r>
          </w:p>
        </w:tc>
      </w:tr>
    </w:tbl>
    <w:p>
      <w:pPr>
        <w:spacing w:line="400" w:lineRule="exact"/>
        <w:rPr>
          <w:rFonts w:hint="eastAsia" w:ascii="宋体" w:hAnsi="宋体" w:cs="宋体"/>
          <w:b/>
          <w:sz w:val="22"/>
          <w:szCs w:val="22"/>
        </w:rPr>
      </w:pPr>
      <w:r>
        <w:rPr>
          <w:rFonts w:hint="eastAsia" w:ascii="宋体" w:hAnsi="宋体" w:cs="宋体"/>
          <w:b/>
          <w:sz w:val="22"/>
          <w:szCs w:val="22"/>
        </w:rPr>
        <w:t>（三）服务要求</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3.1供应商应负责项目检测期间的临时交通组织，拟采用“半幅封闭、交替通行”的方式，在已通车公路桥梁隧道进行封道时，必须采取一切措施减少对车辆通行的影响，做到通车、施工两不误。供应商应针对路段的施工特点，针对性设计提出交通组织方案及施工维护方案进行动态优化，编制各项保证车辆通行和安全生产应急预案和完善的保通行措施，报采购人及相关职能部门批准，并认真组织实施，供应商因此增加的费用应认为已包括在投标价之中，采购人不另行支付。</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施工方案和措施应包括：</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a.供应商应牢固树立“安全第一、确保通行、大局为重”的理念，当施工与通行相冲突时，应当无条件服从道路车辆通行的要求；</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b.成立由项目负责人为组长的维护、管理组织领导小组，同时安排专人，作为负责正常道路维护和交通管理工作；</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c.落实交通组织及施工等各项措施，根据本项目的实际情况合理分段、分幅安排施工，要控制施工长度，维持足够宽度，确保车辆能顺利交会，车辆平稳通过；</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d.供应商应配备完善的交通管制、交通分流和各种诱导标志，制定完善的防止施工材料掉落措施，指定专人维护交通管理和秩序；</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e.加强与交警、路政等部门的联系，争取交警、地方参与，建立交通管理制度；</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f.为切实加强重大节日期间的安全生产工作，防止各类事故的发生，供应商应认真做好节日期间交通组织维护以及突发事件的应急救援工作，服从采购人和上级部门的安排，配合做好节假日期间和谐稳定工作，同时必要时应无偿提供人力、设备以及材料等方面的支持配合，供应商因此增加的费用应认为已包括在投标价之中，采购人不另行支付；</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g.供应商应配合服从采购人及上级部门做好各项应急突发事件的防护等各项任务，服从采购人和上级部门的安排，认真做好各项配合工作，同时无偿提供人力、设备以及材料等方面的支持配合，供应商因此增加的费用应认为已包括在投标价之中，采购人不另行支付。</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3.2供应商应提供项目实施所需要的设施设备（包含但不限于浮筒、桥检车等）及人员。</w:t>
      </w:r>
    </w:p>
    <w:p>
      <w:pPr>
        <w:pStyle w:val="8"/>
        <w:snapToGrid w:val="0"/>
        <w:spacing w:line="400" w:lineRule="exact"/>
        <w:ind w:firstLine="440"/>
        <w:rPr>
          <w:rFonts w:hint="eastAsia" w:ascii="宋体" w:hAnsi="宋体" w:cs="宋体"/>
          <w:bCs/>
          <w:sz w:val="22"/>
          <w:szCs w:val="22"/>
          <w:u w:val="single"/>
        </w:rPr>
      </w:pPr>
      <w:r>
        <w:rPr>
          <w:rFonts w:hint="eastAsia" w:ascii="宋体" w:hAnsi="宋体" w:cs="宋体"/>
          <w:bCs/>
          <w:sz w:val="22"/>
          <w:szCs w:val="22"/>
          <w:u w:val="single"/>
        </w:rPr>
        <w:t>▲3.3供应商应针对现场工作人员购买人身综合意外险等相关险种，保额不低于100万元：需提供投保证明材料或中标后为相关人员投保的承诺。</w:t>
      </w:r>
    </w:p>
    <w:p>
      <w:pPr>
        <w:pStyle w:val="8"/>
        <w:snapToGrid w:val="0"/>
        <w:spacing w:line="400" w:lineRule="exact"/>
        <w:ind w:firstLine="440"/>
        <w:rPr>
          <w:rFonts w:hint="eastAsia" w:ascii="宋体" w:hAnsi="宋体" w:cs="宋体"/>
          <w:bCs/>
          <w:sz w:val="22"/>
          <w:szCs w:val="22"/>
        </w:rPr>
      </w:pPr>
      <w:r>
        <w:rPr>
          <w:rFonts w:hint="eastAsia" w:ascii="宋体" w:hAnsi="宋体" w:cs="宋体"/>
          <w:bCs/>
          <w:sz w:val="22"/>
          <w:szCs w:val="22"/>
        </w:rPr>
        <w:t>3.4 供应商提供的桥检车车辆均应配有持有相应驾驶证件的驾驶员及设备操作员和相关保险。</w:t>
      </w:r>
    </w:p>
    <w:p>
      <w:pPr>
        <w:pStyle w:val="8"/>
        <w:snapToGrid w:val="0"/>
        <w:spacing w:line="400" w:lineRule="exact"/>
        <w:ind w:firstLine="440"/>
        <w:rPr>
          <w:rFonts w:hint="eastAsia" w:ascii="宋体" w:hAnsi="宋体" w:cs="宋体"/>
          <w:bCs/>
          <w:sz w:val="22"/>
          <w:szCs w:val="22"/>
          <w:u w:val="single"/>
        </w:rPr>
      </w:pPr>
      <w:r>
        <w:rPr>
          <w:rFonts w:hint="eastAsia" w:ascii="宋体" w:hAnsi="宋体" w:cs="宋体"/>
          <w:bCs/>
          <w:sz w:val="22"/>
          <w:szCs w:val="22"/>
          <w:u w:val="single"/>
        </w:rPr>
        <w:t>▲3.5由于供应商措施不力，导致阻车、人员伤亡、事故频发或损坏现有公路，影响交通安全和运行，引起索赔，赔偿、诉讼费用及工程拖延或施工费用增加时，应由供应商承担一切责任和费用，需提供承诺函。</w:t>
      </w:r>
    </w:p>
    <w:p>
      <w:pPr>
        <w:snapToGrid w:val="0"/>
        <w:spacing w:line="400" w:lineRule="exact"/>
        <w:rPr>
          <w:rFonts w:hint="eastAsia" w:ascii="宋体" w:hAnsi="宋体" w:cs="宋体"/>
          <w:b/>
          <w:bCs/>
          <w:sz w:val="22"/>
          <w:szCs w:val="22"/>
        </w:rPr>
      </w:pPr>
      <w:r>
        <w:rPr>
          <w:rFonts w:hint="eastAsia" w:ascii="宋体" w:hAnsi="宋体" w:cs="宋体"/>
          <w:b/>
          <w:bCs/>
          <w:sz w:val="22"/>
          <w:szCs w:val="22"/>
        </w:rPr>
        <w:t>（四）相关法规、管理条例与技术标准、行业规范</w:t>
      </w:r>
    </w:p>
    <w:p>
      <w:pPr>
        <w:spacing w:line="400" w:lineRule="exact"/>
        <w:ind w:firstLine="416" w:firstLineChars="200"/>
        <w:rPr>
          <w:rFonts w:hint="eastAsia" w:ascii="宋体" w:hAnsi="宋体" w:cs="宋体"/>
          <w:bCs/>
          <w:spacing w:val="-6"/>
          <w:sz w:val="22"/>
          <w:szCs w:val="22"/>
        </w:rPr>
      </w:pPr>
      <w:r>
        <w:rPr>
          <w:rFonts w:hint="eastAsia" w:ascii="宋体" w:hAnsi="宋体" w:cs="宋体"/>
          <w:bCs/>
          <w:spacing w:val="-6"/>
          <w:sz w:val="22"/>
          <w:szCs w:val="22"/>
        </w:rPr>
        <w:t>（1）国家规定的标准和规范，有新标准按新标准执行；</w:t>
      </w:r>
    </w:p>
    <w:p>
      <w:pPr>
        <w:spacing w:line="400" w:lineRule="exact"/>
        <w:ind w:firstLine="416" w:firstLineChars="200"/>
        <w:rPr>
          <w:rFonts w:hint="eastAsia" w:ascii="宋体" w:hAnsi="宋体" w:cs="宋体"/>
          <w:bCs/>
          <w:spacing w:val="-6"/>
          <w:sz w:val="22"/>
          <w:szCs w:val="22"/>
        </w:rPr>
      </w:pPr>
      <w:r>
        <w:rPr>
          <w:rFonts w:hint="eastAsia" w:ascii="宋体" w:hAnsi="宋体" w:cs="宋体"/>
          <w:bCs/>
          <w:spacing w:val="-6"/>
          <w:sz w:val="22"/>
          <w:szCs w:val="22"/>
        </w:rPr>
        <w:t>（2）行业标准及规范，有新标准按新标准执行；</w:t>
      </w:r>
    </w:p>
    <w:p>
      <w:pPr>
        <w:spacing w:line="400" w:lineRule="exact"/>
        <w:ind w:firstLine="416" w:firstLineChars="200"/>
        <w:rPr>
          <w:rFonts w:hint="eastAsia" w:ascii="宋体" w:hAnsi="宋体" w:cs="宋体"/>
          <w:bCs/>
          <w:spacing w:val="-6"/>
          <w:sz w:val="22"/>
          <w:szCs w:val="22"/>
        </w:rPr>
      </w:pPr>
      <w:r>
        <w:rPr>
          <w:rFonts w:hint="eastAsia" w:ascii="宋体" w:hAnsi="宋体" w:cs="宋体"/>
          <w:bCs/>
          <w:spacing w:val="-6"/>
          <w:sz w:val="22"/>
          <w:szCs w:val="22"/>
        </w:rPr>
        <w:t>（3）其他相关标准。</w:t>
      </w:r>
    </w:p>
    <w:p>
      <w:pPr>
        <w:pStyle w:val="2"/>
        <w:spacing w:before="0" w:after="0" w:line="400" w:lineRule="exact"/>
        <w:rPr>
          <w:rFonts w:hint="eastAsia" w:ascii="宋体" w:hAnsi="宋体" w:eastAsia="宋体" w:cs="宋体"/>
          <w:b/>
          <w:bCs/>
          <w:sz w:val="22"/>
          <w:szCs w:val="22"/>
        </w:rPr>
      </w:pPr>
      <w:r>
        <w:rPr>
          <w:rFonts w:hint="eastAsia" w:ascii="宋体" w:hAnsi="宋体" w:eastAsia="宋体" w:cs="宋体"/>
          <w:b/>
          <w:bCs/>
          <w:sz w:val="22"/>
          <w:szCs w:val="22"/>
        </w:rPr>
        <w:t>（五）成果要求：</w:t>
      </w:r>
    </w:p>
    <w:p>
      <w:pPr>
        <w:spacing w:line="400" w:lineRule="exact"/>
        <w:ind w:firstLine="292" w:firstLineChars="133"/>
        <w:rPr>
          <w:rFonts w:hint="eastAsia" w:ascii="宋体" w:hAnsi="宋体" w:cs="宋体"/>
          <w:sz w:val="22"/>
          <w:szCs w:val="22"/>
        </w:rPr>
      </w:pPr>
      <w:r>
        <w:rPr>
          <w:rFonts w:hint="eastAsia" w:ascii="宋体" w:hAnsi="宋体" w:cs="宋体"/>
          <w:sz w:val="22"/>
          <w:szCs w:val="22"/>
        </w:rPr>
        <w:t>协助采购人完成《2023年景宁县农村公路桥隧定检、桥梁水下墩探摸检服务》项目的现场检测工作。</w:t>
      </w:r>
    </w:p>
    <w:p>
      <w:pPr>
        <w:pStyle w:val="2"/>
        <w:spacing w:before="0" w:after="0" w:line="400" w:lineRule="exact"/>
        <w:rPr>
          <w:rFonts w:hint="eastAsia" w:ascii="宋体" w:hAnsi="宋体" w:eastAsia="宋体" w:cs="宋体"/>
          <w:b/>
          <w:bCs/>
          <w:sz w:val="22"/>
          <w:szCs w:val="22"/>
        </w:rPr>
      </w:pPr>
      <w:r>
        <w:rPr>
          <w:rFonts w:hint="eastAsia" w:ascii="宋体" w:hAnsi="宋体" w:eastAsia="宋体" w:cs="宋体"/>
          <w:b/>
          <w:bCs/>
          <w:sz w:val="22"/>
          <w:szCs w:val="22"/>
        </w:rPr>
        <w:t>（六）团队要求：（主要包括项目负责人、项目组成员）</w:t>
      </w:r>
    </w:p>
    <w:p>
      <w:pPr>
        <w:pStyle w:val="9"/>
        <w:spacing w:line="400" w:lineRule="exact"/>
        <w:ind w:firstLine="643"/>
        <w:jc w:val="center"/>
        <w:outlineLvl w:val="2"/>
        <w:rPr>
          <w:rFonts w:hint="eastAsia" w:ascii="宋体" w:hAnsi="宋体" w:cs="宋体"/>
          <w:sz w:val="22"/>
        </w:rPr>
      </w:pPr>
      <w:bookmarkStart w:id="4" w:name="_Toc476751959"/>
      <w:bookmarkStart w:id="5" w:name="_Toc31023"/>
      <w:bookmarkStart w:id="6" w:name="_Toc25343"/>
      <w:r>
        <w:rPr>
          <w:rFonts w:hint="eastAsia" w:ascii="宋体" w:hAnsi="宋体" w:cs="宋体"/>
          <w:sz w:val="22"/>
        </w:rPr>
        <w:t>主要人员最低要求</w:t>
      </w:r>
      <w:bookmarkEnd w:id="4"/>
      <w:bookmarkEnd w:id="5"/>
    </w:p>
    <w:bookmarkEnd w:id="6"/>
    <w:tbl>
      <w:tblPr>
        <w:tblStyle w:val="5"/>
        <w:tblW w:w="9779" w:type="dxa"/>
        <w:jc w:val="center"/>
        <w:tblLayout w:type="fixed"/>
        <w:tblCellMar>
          <w:top w:w="0" w:type="dxa"/>
          <w:left w:w="108" w:type="dxa"/>
          <w:bottom w:w="0" w:type="dxa"/>
          <w:right w:w="108" w:type="dxa"/>
        </w:tblCellMar>
      </w:tblPr>
      <w:tblGrid>
        <w:gridCol w:w="1434"/>
        <w:gridCol w:w="879"/>
        <w:gridCol w:w="6750"/>
        <w:gridCol w:w="716"/>
      </w:tblGrid>
      <w:tr>
        <w:tblPrEx>
          <w:tblCellMar>
            <w:top w:w="0" w:type="dxa"/>
            <w:left w:w="108" w:type="dxa"/>
            <w:bottom w:w="0" w:type="dxa"/>
            <w:right w:w="108" w:type="dxa"/>
          </w:tblCellMar>
        </w:tblPrEx>
        <w:trPr>
          <w:trHeight w:val="360" w:hRule="atLeast"/>
          <w:jc w:val="center"/>
        </w:trPr>
        <w:tc>
          <w:tcPr>
            <w:tcW w:w="1434" w:type="dxa"/>
            <w:tcBorders>
              <w:top w:val="single" w:color="auto" w:sz="12" w:space="0"/>
              <w:left w:val="single" w:color="auto" w:sz="12" w:space="0"/>
              <w:bottom w:val="single" w:color="auto" w:sz="6" w:space="0"/>
              <w:right w:val="single" w:color="auto" w:sz="6" w:space="0"/>
            </w:tcBorders>
            <w:noWrap w:val="0"/>
            <w:vAlign w:val="center"/>
          </w:tcPr>
          <w:p>
            <w:pPr>
              <w:pStyle w:val="10"/>
              <w:spacing w:line="400" w:lineRule="exact"/>
              <w:ind w:firstLine="0"/>
              <w:jc w:val="center"/>
              <w:rPr>
                <w:rFonts w:hint="eastAsia" w:ascii="宋体" w:hAnsi="宋体" w:cs="宋体"/>
                <w:sz w:val="22"/>
                <w:szCs w:val="22"/>
              </w:rPr>
            </w:pPr>
            <w:r>
              <w:rPr>
                <w:rFonts w:hint="eastAsia" w:ascii="宋体" w:hAnsi="宋体" w:cs="宋体"/>
                <w:sz w:val="22"/>
                <w:szCs w:val="22"/>
              </w:rPr>
              <w:t>人员</w:t>
            </w:r>
          </w:p>
        </w:tc>
        <w:tc>
          <w:tcPr>
            <w:tcW w:w="879" w:type="dxa"/>
            <w:tcBorders>
              <w:top w:val="single" w:color="auto" w:sz="12" w:space="0"/>
              <w:left w:val="nil"/>
              <w:bottom w:val="single" w:color="auto" w:sz="6" w:space="0"/>
              <w:right w:val="single" w:color="auto" w:sz="6" w:space="0"/>
            </w:tcBorders>
            <w:noWrap w:val="0"/>
            <w:vAlign w:val="center"/>
          </w:tcPr>
          <w:p>
            <w:pPr>
              <w:pStyle w:val="10"/>
              <w:spacing w:line="400" w:lineRule="exact"/>
              <w:ind w:firstLine="0"/>
              <w:jc w:val="center"/>
              <w:rPr>
                <w:rFonts w:hint="eastAsia" w:ascii="宋体" w:hAnsi="宋体" w:cs="宋体"/>
                <w:sz w:val="22"/>
                <w:szCs w:val="22"/>
              </w:rPr>
            </w:pPr>
            <w:r>
              <w:rPr>
                <w:rFonts w:hint="eastAsia" w:ascii="宋体" w:hAnsi="宋体" w:cs="宋体"/>
                <w:sz w:val="22"/>
                <w:szCs w:val="22"/>
              </w:rPr>
              <w:t>数量</w:t>
            </w:r>
          </w:p>
        </w:tc>
        <w:tc>
          <w:tcPr>
            <w:tcW w:w="6750" w:type="dxa"/>
            <w:tcBorders>
              <w:top w:val="single" w:color="auto" w:sz="12" w:space="0"/>
              <w:left w:val="nil"/>
              <w:bottom w:val="single" w:color="auto" w:sz="6" w:space="0"/>
              <w:right w:val="single" w:color="auto" w:sz="4" w:space="0"/>
            </w:tcBorders>
            <w:noWrap w:val="0"/>
            <w:vAlign w:val="center"/>
          </w:tcPr>
          <w:p>
            <w:pPr>
              <w:pStyle w:val="10"/>
              <w:spacing w:line="400" w:lineRule="exact"/>
              <w:ind w:firstLine="480"/>
              <w:jc w:val="center"/>
              <w:rPr>
                <w:rFonts w:hint="eastAsia" w:ascii="宋体" w:hAnsi="宋体" w:cs="宋体"/>
                <w:sz w:val="22"/>
                <w:szCs w:val="22"/>
              </w:rPr>
            </w:pPr>
            <w:r>
              <w:rPr>
                <w:rFonts w:hint="eastAsia" w:ascii="宋体" w:hAnsi="宋体" w:cs="宋体"/>
                <w:sz w:val="22"/>
                <w:szCs w:val="22"/>
              </w:rPr>
              <w:t>资格要求</w:t>
            </w:r>
          </w:p>
        </w:tc>
        <w:tc>
          <w:tcPr>
            <w:tcW w:w="716" w:type="dxa"/>
            <w:tcBorders>
              <w:top w:val="single" w:color="auto" w:sz="12" w:space="0"/>
              <w:left w:val="nil"/>
              <w:bottom w:val="single" w:color="auto" w:sz="6" w:space="0"/>
              <w:right w:val="single" w:color="auto" w:sz="12" w:space="0"/>
            </w:tcBorders>
            <w:noWrap w:val="0"/>
            <w:vAlign w:val="center"/>
          </w:tcPr>
          <w:p>
            <w:pPr>
              <w:pStyle w:val="10"/>
              <w:spacing w:line="400" w:lineRule="exact"/>
              <w:ind w:firstLine="0"/>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567" w:hRule="atLeast"/>
          <w:jc w:val="center"/>
        </w:trPr>
        <w:tc>
          <w:tcPr>
            <w:tcW w:w="1434" w:type="dxa"/>
            <w:tcBorders>
              <w:top w:val="single" w:color="auto" w:sz="6" w:space="0"/>
              <w:left w:val="single" w:color="auto" w:sz="12" w:space="0"/>
              <w:bottom w:val="single" w:color="auto" w:sz="6" w:space="0"/>
              <w:right w:val="single" w:color="auto" w:sz="6" w:space="0"/>
            </w:tcBorders>
            <w:noWrap w:val="0"/>
            <w:vAlign w:val="center"/>
          </w:tcPr>
          <w:p>
            <w:pPr>
              <w:pStyle w:val="9"/>
              <w:spacing w:line="400" w:lineRule="exact"/>
              <w:ind w:firstLine="2"/>
              <w:jc w:val="center"/>
              <w:rPr>
                <w:rFonts w:hint="eastAsia" w:ascii="宋体" w:hAnsi="宋体" w:cs="宋体"/>
                <w:sz w:val="22"/>
              </w:rPr>
            </w:pPr>
            <w:r>
              <w:rPr>
                <w:rFonts w:hint="eastAsia" w:ascii="宋体" w:hAnsi="宋体" w:cs="宋体"/>
                <w:sz w:val="22"/>
              </w:rPr>
              <w:t>项目负责人</w:t>
            </w:r>
          </w:p>
        </w:tc>
        <w:tc>
          <w:tcPr>
            <w:tcW w:w="879" w:type="dxa"/>
            <w:tcBorders>
              <w:top w:val="single" w:color="auto" w:sz="6" w:space="0"/>
              <w:left w:val="nil"/>
              <w:bottom w:val="single" w:color="auto" w:sz="6" w:space="0"/>
              <w:right w:val="single" w:color="auto" w:sz="6" w:space="0"/>
            </w:tcBorders>
            <w:noWrap w:val="0"/>
            <w:vAlign w:val="center"/>
          </w:tcPr>
          <w:p>
            <w:pPr>
              <w:pStyle w:val="9"/>
              <w:spacing w:line="400" w:lineRule="exact"/>
              <w:jc w:val="center"/>
              <w:rPr>
                <w:rFonts w:hint="eastAsia" w:ascii="宋体" w:hAnsi="宋体" w:cs="宋体"/>
                <w:sz w:val="22"/>
              </w:rPr>
            </w:pPr>
            <w:r>
              <w:rPr>
                <w:rFonts w:hint="eastAsia" w:ascii="宋体" w:hAnsi="宋体" w:cs="宋体"/>
                <w:sz w:val="22"/>
              </w:rPr>
              <w:t>1</w:t>
            </w:r>
          </w:p>
        </w:tc>
        <w:tc>
          <w:tcPr>
            <w:tcW w:w="6750" w:type="dxa"/>
            <w:tcBorders>
              <w:top w:val="single" w:color="auto" w:sz="6" w:space="0"/>
              <w:left w:val="nil"/>
              <w:bottom w:val="single" w:color="auto" w:sz="6" w:space="0"/>
              <w:right w:val="single" w:color="auto" w:sz="4" w:space="0"/>
            </w:tcBorders>
            <w:noWrap w:val="0"/>
            <w:vAlign w:val="center"/>
          </w:tcPr>
          <w:p>
            <w:pPr>
              <w:pStyle w:val="9"/>
              <w:spacing w:line="400" w:lineRule="exact"/>
              <w:rPr>
                <w:rFonts w:hint="eastAsia" w:ascii="宋体" w:hAnsi="宋体" w:cs="宋体"/>
                <w:sz w:val="22"/>
              </w:rPr>
            </w:pPr>
            <w:r>
              <w:rPr>
                <w:rFonts w:hint="eastAsia" w:ascii="宋体" w:hAnsi="宋体" w:cs="宋体"/>
                <w:sz w:val="22"/>
              </w:rPr>
              <w:t>具有工程师及以上技术职称，且有交通运输部门核发的公路水运工程试验检测工程师证书（需含桥梁专业），年龄在55周岁及以下。</w:t>
            </w:r>
          </w:p>
        </w:tc>
        <w:tc>
          <w:tcPr>
            <w:tcW w:w="716" w:type="dxa"/>
            <w:tcBorders>
              <w:top w:val="single" w:color="auto" w:sz="6" w:space="0"/>
              <w:left w:val="nil"/>
              <w:bottom w:val="single" w:color="auto" w:sz="6" w:space="0"/>
              <w:right w:val="single" w:color="auto" w:sz="12" w:space="0"/>
            </w:tcBorders>
            <w:noWrap w:val="0"/>
            <w:vAlign w:val="center"/>
          </w:tcPr>
          <w:p>
            <w:pPr>
              <w:pStyle w:val="10"/>
              <w:spacing w:line="400" w:lineRule="exact"/>
              <w:ind w:firstLine="480"/>
              <w:jc w:val="center"/>
              <w:rPr>
                <w:rFonts w:hint="eastAsia" w:ascii="宋体" w:hAnsi="宋体" w:cs="宋体"/>
                <w:sz w:val="22"/>
                <w:szCs w:val="22"/>
              </w:rPr>
            </w:pPr>
          </w:p>
        </w:tc>
      </w:tr>
      <w:tr>
        <w:tblPrEx>
          <w:tblCellMar>
            <w:top w:w="0" w:type="dxa"/>
            <w:left w:w="108" w:type="dxa"/>
            <w:bottom w:w="0" w:type="dxa"/>
            <w:right w:w="108" w:type="dxa"/>
          </w:tblCellMar>
        </w:tblPrEx>
        <w:trPr>
          <w:trHeight w:val="567" w:hRule="atLeast"/>
          <w:jc w:val="center"/>
        </w:trPr>
        <w:tc>
          <w:tcPr>
            <w:tcW w:w="1434" w:type="dxa"/>
            <w:tcBorders>
              <w:top w:val="single" w:color="auto" w:sz="6" w:space="0"/>
              <w:left w:val="single" w:color="auto" w:sz="12" w:space="0"/>
              <w:bottom w:val="single" w:color="auto" w:sz="6" w:space="0"/>
              <w:right w:val="single" w:color="auto" w:sz="6" w:space="0"/>
            </w:tcBorders>
            <w:noWrap w:val="0"/>
            <w:vAlign w:val="center"/>
          </w:tcPr>
          <w:p>
            <w:pPr>
              <w:pStyle w:val="9"/>
              <w:spacing w:line="400" w:lineRule="exact"/>
              <w:ind w:firstLine="2"/>
              <w:jc w:val="center"/>
              <w:rPr>
                <w:rFonts w:hint="eastAsia" w:ascii="宋体" w:hAnsi="宋体" w:cs="宋体"/>
                <w:sz w:val="22"/>
              </w:rPr>
            </w:pPr>
            <w:r>
              <w:rPr>
                <w:rFonts w:hint="eastAsia" w:ascii="宋体" w:hAnsi="宋体" w:cs="宋体"/>
                <w:sz w:val="22"/>
              </w:rPr>
              <w:t>技术负责人</w:t>
            </w:r>
          </w:p>
        </w:tc>
        <w:tc>
          <w:tcPr>
            <w:tcW w:w="879" w:type="dxa"/>
            <w:tcBorders>
              <w:top w:val="single" w:color="auto" w:sz="6" w:space="0"/>
              <w:left w:val="nil"/>
              <w:bottom w:val="single" w:color="auto" w:sz="6" w:space="0"/>
              <w:right w:val="single" w:color="auto" w:sz="6" w:space="0"/>
            </w:tcBorders>
            <w:noWrap w:val="0"/>
            <w:vAlign w:val="center"/>
          </w:tcPr>
          <w:p>
            <w:pPr>
              <w:pStyle w:val="9"/>
              <w:spacing w:line="400" w:lineRule="exact"/>
              <w:jc w:val="center"/>
              <w:rPr>
                <w:rFonts w:hint="eastAsia" w:ascii="宋体" w:hAnsi="宋体" w:cs="宋体"/>
                <w:sz w:val="22"/>
              </w:rPr>
            </w:pPr>
            <w:r>
              <w:rPr>
                <w:rFonts w:hint="eastAsia" w:ascii="宋体" w:hAnsi="宋体" w:cs="宋体"/>
                <w:sz w:val="22"/>
              </w:rPr>
              <w:t>1</w:t>
            </w:r>
          </w:p>
        </w:tc>
        <w:tc>
          <w:tcPr>
            <w:tcW w:w="6750" w:type="dxa"/>
            <w:tcBorders>
              <w:top w:val="single" w:color="auto" w:sz="6" w:space="0"/>
              <w:left w:val="nil"/>
              <w:bottom w:val="single" w:color="auto" w:sz="6" w:space="0"/>
              <w:right w:val="single" w:color="auto" w:sz="4" w:space="0"/>
            </w:tcBorders>
            <w:noWrap w:val="0"/>
            <w:vAlign w:val="center"/>
          </w:tcPr>
          <w:p>
            <w:pPr>
              <w:pStyle w:val="9"/>
              <w:spacing w:line="400" w:lineRule="exact"/>
              <w:rPr>
                <w:rFonts w:hint="eastAsia" w:ascii="宋体" w:hAnsi="宋体" w:cs="宋体"/>
                <w:sz w:val="22"/>
              </w:rPr>
            </w:pPr>
            <w:r>
              <w:rPr>
                <w:rFonts w:hint="eastAsia" w:ascii="宋体" w:hAnsi="宋体" w:cs="宋体"/>
                <w:sz w:val="22"/>
              </w:rPr>
              <w:t>具有工程师及以上技术职称，且有交通运输部门核发的公路水运试验检测工程师证书（需含桥梁专业），年龄在55周岁及以下。</w:t>
            </w:r>
          </w:p>
        </w:tc>
        <w:tc>
          <w:tcPr>
            <w:tcW w:w="716" w:type="dxa"/>
            <w:tcBorders>
              <w:top w:val="single" w:color="auto" w:sz="6" w:space="0"/>
              <w:left w:val="nil"/>
              <w:bottom w:val="single" w:color="auto" w:sz="6" w:space="0"/>
              <w:right w:val="single" w:color="auto" w:sz="12" w:space="0"/>
            </w:tcBorders>
            <w:noWrap w:val="0"/>
            <w:vAlign w:val="center"/>
          </w:tcPr>
          <w:p>
            <w:pPr>
              <w:pStyle w:val="10"/>
              <w:spacing w:line="400" w:lineRule="exact"/>
              <w:ind w:firstLine="480"/>
              <w:jc w:val="center"/>
              <w:rPr>
                <w:rFonts w:hint="eastAsia" w:ascii="宋体" w:hAnsi="宋体" w:cs="宋体"/>
                <w:sz w:val="22"/>
                <w:szCs w:val="22"/>
              </w:rPr>
            </w:pPr>
          </w:p>
        </w:tc>
      </w:tr>
      <w:tr>
        <w:tblPrEx>
          <w:tblCellMar>
            <w:top w:w="0" w:type="dxa"/>
            <w:left w:w="108" w:type="dxa"/>
            <w:bottom w:w="0" w:type="dxa"/>
            <w:right w:w="108" w:type="dxa"/>
          </w:tblCellMar>
        </w:tblPrEx>
        <w:trPr>
          <w:trHeight w:val="567" w:hRule="atLeast"/>
          <w:jc w:val="center"/>
        </w:trPr>
        <w:tc>
          <w:tcPr>
            <w:tcW w:w="1434" w:type="dxa"/>
            <w:tcBorders>
              <w:top w:val="single" w:color="auto" w:sz="6" w:space="0"/>
              <w:left w:val="single" w:color="auto" w:sz="12" w:space="0"/>
              <w:bottom w:val="single" w:color="auto" w:sz="12" w:space="0"/>
              <w:right w:val="single" w:color="auto" w:sz="6" w:space="0"/>
            </w:tcBorders>
            <w:noWrap w:val="0"/>
            <w:vAlign w:val="center"/>
          </w:tcPr>
          <w:p>
            <w:pPr>
              <w:pStyle w:val="9"/>
              <w:spacing w:line="400" w:lineRule="exact"/>
              <w:jc w:val="center"/>
              <w:rPr>
                <w:rFonts w:hint="eastAsia" w:ascii="宋体" w:hAnsi="宋体" w:cs="宋体"/>
                <w:sz w:val="22"/>
              </w:rPr>
            </w:pPr>
            <w:r>
              <w:rPr>
                <w:rFonts w:hint="eastAsia" w:ascii="宋体" w:hAnsi="宋体" w:cs="宋体"/>
                <w:sz w:val="22"/>
              </w:rPr>
              <w:t>检测人员</w:t>
            </w:r>
          </w:p>
        </w:tc>
        <w:tc>
          <w:tcPr>
            <w:tcW w:w="879" w:type="dxa"/>
            <w:tcBorders>
              <w:top w:val="single" w:color="auto" w:sz="6" w:space="0"/>
              <w:left w:val="nil"/>
              <w:bottom w:val="single" w:color="auto" w:sz="12" w:space="0"/>
              <w:right w:val="single" w:color="auto" w:sz="6" w:space="0"/>
            </w:tcBorders>
            <w:noWrap w:val="0"/>
            <w:vAlign w:val="center"/>
          </w:tcPr>
          <w:p>
            <w:pPr>
              <w:pStyle w:val="9"/>
              <w:spacing w:line="400" w:lineRule="exact"/>
              <w:jc w:val="center"/>
              <w:rPr>
                <w:rFonts w:hint="eastAsia" w:ascii="宋体" w:hAnsi="宋体" w:cs="宋体"/>
                <w:sz w:val="22"/>
              </w:rPr>
            </w:pPr>
            <w:r>
              <w:rPr>
                <w:rFonts w:hint="eastAsia" w:ascii="宋体" w:hAnsi="宋体" w:cs="宋体"/>
                <w:sz w:val="22"/>
              </w:rPr>
              <w:t>2</w:t>
            </w:r>
          </w:p>
        </w:tc>
        <w:tc>
          <w:tcPr>
            <w:tcW w:w="6750" w:type="dxa"/>
            <w:tcBorders>
              <w:top w:val="single" w:color="auto" w:sz="6" w:space="0"/>
              <w:left w:val="nil"/>
              <w:bottom w:val="single" w:color="auto" w:sz="12" w:space="0"/>
              <w:right w:val="single" w:color="auto" w:sz="4" w:space="0"/>
            </w:tcBorders>
            <w:noWrap w:val="0"/>
            <w:vAlign w:val="center"/>
          </w:tcPr>
          <w:p>
            <w:pPr>
              <w:pStyle w:val="9"/>
              <w:spacing w:line="400" w:lineRule="exact"/>
              <w:ind w:firstLine="2" w:firstLineChars="1"/>
              <w:rPr>
                <w:rFonts w:hint="eastAsia" w:ascii="宋体" w:hAnsi="宋体" w:cs="宋体"/>
                <w:sz w:val="22"/>
              </w:rPr>
            </w:pPr>
            <w:r>
              <w:rPr>
                <w:rFonts w:hint="eastAsia" w:ascii="宋体" w:hAnsi="宋体" w:cs="宋体"/>
                <w:sz w:val="22"/>
              </w:rPr>
              <w:t>具有公路工程试验检测人员证书（需含桥梁专业），年龄在55周岁及以下。</w:t>
            </w:r>
          </w:p>
        </w:tc>
        <w:tc>
          <w:tcPr>
            <w:tcW w:w="716" w:type="dxa"/>
            <w:tcBorders>
              <w:top w:val="single" w:color="auto" w:sz="6" w:space="0"/>
              <w:left w:val="nil"/>
              <w:bottom w:val="single" w:color="auto" w:sz="12" w:space="0"/>
              <w:right w:val="single" w:color="auto" w:sz="12" w:space="0"/>
            </w:tcBorders>
            <w:noWrap w:val="0"/>
            <w:vAlign w:val="center"/>
          </w:tcPr>
          <w:p>
            <w:pPr>
              <w:pStyle w:val="10"/>
              <w:spacing w:line="400" w:lineRule="exact"/>
              <w:ind w:firstLine="480"/>
              <w:rPr>
                <w:rFonts w:hint="eastAsia" w:ascii="宋体" w:hAnsi="宋体" w:cs="宋体"/>
                <w:sz w:val="22"/>
                <w:szCs w:val="22"/>
              </w:rPr>
            </w:pPr>
          </w:p>
        </w:tc>
      </w:tr>
    </w:tbl>
    <w:p>
      <w:pPr>
        <w:pStyle w:val="9"/>
        <w:spacing w:line="400" w:lineRule="exact"/>
        <w:rPr>
          <w:rFonts w:hint="eastAsia" w:ascii="宋体" w:hAnsi="宋体" w:cs="宋体"/>
          <w:sz w:val="22"/>
        </w:rPr>
      </w:pPr>
      <w:r>
        <w:rPr>
          <w:rFonts w:hint="eastAsia" w:ascii="宋体" w:hAnsi="宋体" w:cs="宋体"/>
          <w:sz w:val="22"/>
        </w:rPr>
        <w:t>注：1.持有试验检测证书的人员，其必须在本单位注册且与交通运输部公路水运工程试验检测管理信息系统查询结果一致（供应商应附交通运输部公路水运工程试验检测管理信息系统查询结果截图）。</w:t>
      </w:r>
    </w:p>
    <w:p>
      <w:pPr>
        <w:spacing w:line="400" w:lineRule="exact"/>
        <w:ind w:firstLine="420"/>
        <w:rPr>
          <w:rFonts w:hint="eastAsia" w:ascii="宋体" w:hAnsi="宋体" w:cs="宋体"/>
          <w:sz w:val="22"/>
          <w:szCs w:val="22"/>
        </w:rPr>
      </w:pPr>
      <w:r>
        <w:rPr>
          <w:rFonts w:hint="eastAsia" w:ascii="宋体" w:hAnsi="宋体" w:cs="宋体"/>
          <w:sz w:val="22"/>
          <w:szCs w:val="22"/>
        </w:rPr>
        <w:t>2.主要人员的技术职称、检测资格证书等，以供应商在响应文件中提供的身份证、职称证书、试验检测工程师（员）资格证书的彩色打印件或清晰可辨的复印件为准。</w:t>
      </w:r>
    </w:p>
    <w:p>
      <w:pPr>
        <w:pStyle w:val="9"/>
        <w:spacing w:line="400" w:lineRule="exact"/>
        <w:ind w:firstLine="440" w:firstLineChars="200"/>
        <w:rPr>
          <w:rFonts w:hint="eastAsia" w:ascii="宋体" w:hAnsi="宋体" w:cs="宋体"/>
          <w:sz w:val="22"/>
        </w:rPr>
      </w:pPr>
      <w:r>
        <w:rPr>
          <w:rFonts w:hint="eastAsia" w:ascii="宋体" w:hAnsi="宋体" w:cs="宋体"/>
          <w:sz w:val="22"/>
        </w:rPr>
        <w:t>3.一个人不能同时担任多个职务（职务包括项目负责人、技术负责人和检测人员）。</w:t>
      </w:r>
    </w:p>
    <w:p>
      <w:pPr>
        <w:snapToGrid w:val="0"/>
        <w:spacing w:line="400" w:lineRule="exact"/>
        <w:rPr>
          <w:rFonts w:hint="eastAsia" w:ascii="宋体" w:hAnsi="宋体" w:cs="宋体"/>
          <w:b/>
          <w:bCs/>
          <w:spacing w:val="-6"/>
          <w:sz w:val="22"/>
          <w:szCs w:val="22"/>
        </w:rPr>
      </w:pPr>
      <w:r>
        <w:rPr>
          <w:rFonts w:hint="eastAsia" w:ascii="宋体" w:hAnsi="宋体" w:cs="宋体"/>
          <w:b/>
          <w:bCs/>
          <w:sz w:val="22"/>
          <w:szCs w:val="22"/>
        </w:rPr>
        <w:t>四、</w:t>
      </w:r>
      <w:r>
        <w:rPr>
          <w:rFonts w:hint="eastAsia" w:ascii="宋体" w:hAnsi="宋体" w:cs="宋体"/>
          <w:b/>
          <w:bCs/>
          <w:spacing w:val="-6"/>
          <w:sz w:val="22"/>
          <w:szCs w:val="22"/>
        </w:rPr>
        <w:t>其他</w:t>
      </w:r>
    </w:p>
    <w:p>
      <w:pPr>
        <w:spacing w:line="400" w:lineRule="exact"/>
        <w:ind w:firstLine="416" w:firstLineChars="200"/>
        <w:rPr>
          <w:rFonts w:hint="eastAsia" w:ascii="宋体" w:hAnsi="宋体" w:cs="宋体"/>
          <w:bCs/>
          <w:spacing w:val="-6"/>
          <w:sz w:val="22"/>
          <w:szCs w:val="22"/>
        </w:rPr>
      </w:pPr>
      <w:r>
        <w:rPr>
          <w:rFonts w:hint="eastAsia" w:ascii="宋体" w:hAnsi="宋体" w:cs="宋体"/>
          <w:bCs/>
          <w:spacing w:val="-6"/>
          <w:sz w:val="22"/>
          <w:szCs w:val="22"/>
        </w:rPr>
        <w:t>1.标“▲且加下划线”的有关技术和商务要求为实质性条款，供应商必须做出实质性响应，否则视为无效响应文件。</w:t>
      </w:r>
    </w:p>
    <w:p>
      <w:pPr>
        <w:spacing w:line="400" w:lineRule="exact"/>
        <w:ind w:firstLine="416" w:firstLineChars="200"/>
      </w:pPr>
      <w:r>
        <w:rPr>
          <w:rFonts w:hint="eastAsia" w:ascii="宋体" w:hAnsi="宋体" w:cs="宋体"/>
          <w:bCs/>
          <w:spacing w:val="-6"/>
          <w:sz w:val="22"/>
          <w:szCs w:val="22"/>
        </w:rPr>
        <w:t>2.除磋商文件中所明确的采购需求规格外，欢迎其他能满足本项目采购需求且性能相当于或高于所明确的服务参加磋商报价。同时在采购需求偏离表中作出详细对比说明</w:t>
      </w:r>
      <w:r>
        <w:rPr>
          <w:rFonts w:hint="eastAsia" w:ascii="宋体" w:hAnsi="宋体" w:cs="宋体"/>
          <w:bCs/>
          <w:kern w:val="0"/>
          <w:sz w:val="22"/>
          <w:szCs w:val="22"/>
        </w:rPr>
        <w:t>。</w:t>
      </w:r>
      <w:bookmarkStart w:id="7" w:name="_GoBack"/>
      <w:bookmarkEnd w:id="7"/>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000000"/>
    <w:rsid w:val="744D2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08" w:lineRule="auto"/>
      <w:outlineLvl w:val="1"/>
    </w:pPr>
    <w:rPr>
      <w:rFonts w:ascii="Arial" w:hAnsi="Arial" w:eastAsia="黑体"/>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400" w:lineRule="atLeast"/>
      <w:ind w:firstLine="510"/>
      <w:textAlignment w:val="baseline"/>
    </w:pPr>
    <w:rPr>
      <w:rFonts w:eastAsia="微软雅黑"/>
      <w:kern w:val="0"/>
      <w:sz w:val="24"/>
    </w:rPr>
  </w:style>
  <w:style w:type="paragraph" w:styleId="4">
    <w:name w:val="annotation text"/>
    <w:basedOn w:val="1"/>
    <w:semiHidden/>
    <w:qFormat/>
    <w:uiPriority w:val="0"/>
    <w:pPr>
      <w:jc w:val="left"/>
    </w:pPr>
  </w:style>
  <w:style w:type="paragraph" w:customStyle="1" w:styleId="7">
    <w:name w:val="列出段落2"/>
    <w:basedOn w:val="1"/>
    <w:autoRedefine/>
    <w:qFormat/>
    <w:uiPriority w:val="0"/>
    <w:pPr>
      <w:ind w:firstLine="420" w:firstLineChars="200"/>
    </w:pPr>
  </w:style>
  <w:style w:type="paragraph" w:customStyle="1" w:styleId="8">
    <w:name w:val="列表段落1"/>
    <w:basedOn w:val="1"/>
    <w:autoRedefine/>
    <w:qFormat/>
    <w:uiPriority w:val="0"/>
    <w:pPr>
      <w:ind w:firstLine="200" w:firstLineChars="200"/>
    </w:pPr>
  </w:style>
  <w:style w:type="paragraph" w:customStyle="1" w:styleId="9">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0_0"/>
    <w:basedOn w:val="1"/>
    <w:autoRedefine/>
    <w:qFormat/>
    <w:uiPriority w:val="0"/>
    <w:pPr>
      <w:spacing w:line="360" w:lineRule="auto"/>
      <w:ind w:firstLine="1044"/>
      <w:jc w:val="left"/>
    </w:pPr>
    <w:rPr>
      <w:rFonts w:ascii="Times New Roman" w:hAnsi="Times New Roman" w:eastAsia="宋体" w:cs="Times New Roman"/>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p:lastModifiedBy>
  <dcterms:modified xsi:type="dcterms:W3CDTF">2024-01-22T07:02:12Z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C948C504783E4646BD61C16CED45E2FA_12</vt:lpwstr>
  </property>
</Properties>
</file>