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采购需求</w:t>
      </w:r>
    </w:p>
    <w:p>
      <w:pPr>
        <w:spacing w:line="360" w:lineRule="exact"/>
        <w:rPr>
          <w:rFonts w:ascii="宋体" w:hAnsi="宋体" w:cs="宋体"/>
          <w:b/>
          <w:bCs/>
          <w:color w:val="000000" w:themeColor="text1"/>
          <w:spacing w:val="-6"/>
          <w:sz w:val="22"/>
          <w:highlight w:val="none"/>
          <w14:textFill>
            <w14:solidFill>
              <w14:schemeClr w14:val="tx1"/>
            </w14:solidFill>
          </w14:textFill>
        </w:rPr>
      </w:pPr>
      <w:r>
        <w:rPr>
          <w:rFonts w:hint="eastAsia" w:ascii="宋体" w:hAnsi="宋体" w:cs="宋体"/>
          <w:b/>
          <w:bCs/>
          <w:color w:val="000000" w:themeColor="text1"/>
          <w:spacing w:val="-6"/>
          <w:sz w:val="22"/>
          <w:highlight w:val="none"/>
          <w14:textFill>
            <w14:solidFill>
              <w14:schemeClr w14:val="tx1"/>
            </w14:solidFill>
          </w14:textFill>
        </w:rPr>
        <w:t>一、采购内容及数量</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3484"/>
        <w:gridCol w:w="1418"/>
        <w:gridCol w:w="1721"/>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8"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序号</w:t>
            </w:r>
          </w:p>
        </w:tc>
        <w:tc>
          <w:tcPr>
            <w:tcW w:w="3484"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项目内容</w:t>
            </w:r>
          </w:p>
        </w:tc>
        <w:tc>
          <w:tcPr>
            <w:tcW w:w="141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数量</w:t>
            </w:r>
          </w:p>
        </w:tc>
        <w:tc>
          <w:tcPr>
            <w:tcW w:w="1721"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预算金额(元)</w:t>
            </w:r>
          </w:p>
        </w:tc>
        <w:tc>
          <w:tcPr>
            <w:tcW w:w="2093"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3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p>
        </w:tc>
        <w:tc>
          <w:tcPr>
            <w:tcW w:w="3484"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w:t>
            </w:r>
            <w:r>
              <w:rPr>
                <w:rFonts w:hint="eastAsia" w:ascii="宋体" w:hAnsi="宋体" w:cs="宋体"/>
                <w:color w:val="000000" w:themeColor="text1"/>
                <w:kern w:val="0"/>
                <w:sz w:val="22"/>
                <w:highlight w:val="none"/>
                <w:lang w:val="zh-CN"/>
                <w14:textFill>
                  <w14:solidFill>
                    <w14:schemeClr w14:val="tx1"/>
                  </w14:solidFill>
                </w14:textFill>
              </w:rPr>
              <w:t xml:space="preserve">会议室LED显示屏系统 </w:t>
            </w:r>
          </w:p>
        </w:tc>
        <w:tc>
          <w:tcPr>
            <w:tcW w:w="141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1批</w:t>
            </w:r>
          </w:p>
        </w:tc>
        <w:tc>
          <w:tcPr>
            <w:tcW w:w="1721" w:type="dxa"/>
            <w:tcBorders>
              <w:tl2br w:val="nil"/>
              <w:tr2bl w:val="nil"/>
            </w:tcBorders>
            <w:tcMar>
              <w:top w:w="0" w:type="dxa"/>
              <w:left w:w="108" w:type="dxa"/>
              <w:bottom w:w="0" w:type="dxa"/>
              <w:right w:w="108" w:type="dxa"/>
            </w:tcMar>
            <w:vAlign w:val="center"/>
          </w:tcPr>
          <w:p>
            <w:pPr>
              <w:spacing w:line="340" w:lineRule="exact"/>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175000</w:t>
            </w:r>
          </w:p>
        </w:tc>
        <w:tc>
          <w:tcPr>
            <w:tcW w:w="2093" w:type="dxa"/>
            <w:tcBorders>
              <w:tl2br w:val="nil"/>
              <w:tr2bl w:val="nil"/>
            </w:tcBorders>
            <w:tcMar>
              <w:top w:w="0" w:type="dxa"/>
              <w:left w:w="108" w:type="dxa"/>
              <w:bottom w:w="0" w:type="dxa"/>
              <w:right w:w="108" w:type="dxa"/>
            </w:tcMar>
            <w:vAlign w:val="center"/>
          </w:tcPr>
          <w:p>
            <w:pPr>
              <w:spacing w:line="370" w:lineRule="exact"/>
              <w:jc w:val="lef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xml:space="preserve"> </w:t>
            </w:r>
          </w:p>
        </w:tc>
      </w:tr>
    </w:tbl>
    <w:p>
      <w:pPr>
        <w:spacing w:line="360" w:lineRule="exact"/>
        <w:outlineLvl w:val="0"/>
        <w:rPr>
          <w:rFonts w:ascii="宋体" w:hAnsi="宋体" w:cs="宋体"/>
          <w:b/>
          <w:color w:val="000000" w:themeColor="text1"/>
          <w:spacing w:val="-6"/>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二、</w:t>
      </w:r>
      <w:r>
        <w:rPr>
          <w:rFonts w:hint="eastAsia" w:ascii="宋体" w:hAnsi="宋体" w:cs="宋体"/>
          <w:b/>
          <w:color w:val="000000" w:themeColor="text1"/>
          <w:spacing w:val="-6"/>
          <w:sz w:val="22"/>
          <w:highlight w:val="none"/>
          <w14:textFill>
            <w14:solidFill>
              <w14:schemeClr w14:val="tx1"/>
            </w14:solidFill>
          </w14:textFill>
        </w:rPr>
        <w:t>商务要求（技术要求里另有注明的以技术要求为准）</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color w:val="000000" w:themeColor="text1"/>
                <w:sz w:val="22"/>
                <w:highlight w:val="none"/>
                <w:u w:val="single"/>
                <w14:textFill>
                  <w14:solidFill>
                    <w14:schemeClr w14:val="tx1"/>
                  </w14:solidFill>
                </w14:textFill>
              </w:rPr>
            </w:pPr>
            <w:r>
              <w:rPr>
                <w:rFonts w:hint="eastAsia" w:ascii="宋体" w:hAnsi="宋体" w:cs="宋体"/>
                <w:b/>
                <w:bCs/>
                <w:color w:val="000000" w:themeColor="text1"/>
                <w:sz w:val="22"/>
                <w:highlight w:val="none"/>
                <w:u w:val="single"/>
                <w14:textFill>
                  <w14:solidFill>
                    <w14:schemeClr w14:val="tx1"/>
                  </w14:solidFill>
                </w14:textFill>
              </w:rPr>
              <w:t>▲履约保证金及付款条件</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sz w:val="22"/>
                <w:highlight w:val="none"/>
                <w:u w:val="single"/>
                <w14:textFill>
                  <w14:solidFill>
                    <w14:schemeClr w14:val="tx1"/>
                  </w14:solidFill>
                </w14:textFill>
              </w:rPr>
            </w:pPr>
            <w:r>
              <w:rPr>
                <w:rFonts w:hint="eastAsia" w:ascii="宋体" w:hAnsi="宋体" w:cs="宋体"/>
                <w:color w:val="000000" w:themeColor="text1"/>
                <w:sz w:val="22"/>
                <w:highlight w:val="none"/>
                <w:u w:val="single"/>
                <w14:textFill>
                  <w14:solidFill>
                    <w14:schemeClr w14:val="tx1"/>
                  </w14:solidFill>
                </w14:textFill>
              </w:rPr>
              <w:t>履约保证金：乙方在合同签订后7个工作日内，向甲方提交合同总金额1%履约保证金（接受银行转账、支票、汇票、本票、履约保函等多种非现金形式），履约保证金自项目验收合格之日起7个工作日内无息退还。</w:t>
            </w:r>
          </w:p>
          <w:p>
            <w:pPr>
              <w:spacing w:line="360" w:lineRule="auto"/>
              <w:jc w:val="left"/>
              <w:rPr>
                <w:rFonts w:ascii="宋体" w:hAnsi="宋体" w:cs="宋体"/>
                <w:bCs/>
                <w:color w:val="000000" w:themeColor="text1"/>
                <w:sz w:val="22"/>
                <w:highlight w:val="none"/>
                <w:u w:val="single"/>
                <w14:textFill>
                  <w14:solidFill>
                    <w14:schemeClr w14:val="tx1"/>
                  </w14:solidFill>
                </w14:textFill>
              </w:rPr>
            </w:pPr>
            <w:r>
              <w:rPr>
                <w:rFonts w:hint="eastAsia" w:ascii="宋体" w:hAnsi="宋体" w:cs="宋体"/>
                <w:color w:val="000000" w:themeColor="text1"/>
                <w:sz w:val="22"/>
                <w:highlight w:val="none"/>
                <w:u w:val="single"/>
                <w14:textFill>
                  <w14:solidFill>
                    <w14:schemeClr w14:val="tx1"/>
                  </w14:solidFill>
                </w14:textFill>
              </w:rPr>
              <w:t>付款条件：合同生效以及具备实施条件后7个工作日内，甲方向乙方支付合同总额的40%作为预付款；项目建设完成待项目整体验收通过，无质量问题甲方按程序支付合同余款并无息退还履约保证金。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交付时间</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整体项目须在合同签订后</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sz w:val="22"/>
                <w:highlight w:val="none"/>
                <w:u w:val="single"/>
                <w:lang w:val="en-US" w:eastAsia="zh-CN"/>
                <w14:textFill>
                  <w14:solidFill>
                    <w14:schemeClr w14:val="tx1"/>
                  </w14:solidFill>
                </w14:textFill>
              </w:rPr>
              <w:t>10</w:t>
            </w:r>
            <w:r>
              <w:rPr>
                <w:rFonts w:hint="eastAsia" w:ascii="宋体" w:hAnsi="宋体" w:cs="宋体"/>
                <w:color w:val="000000" w:themeColor="text1"/>
                <w:sz w:val="22"/>
                <w:highlight w:val="none"/>
                <w14:textFill>
                  <w14:solidFill>
                    <w14:schemeClr w14:val="tx1"/>
                  </w14:solidFill>
                </w14:textFill>
              </w:rPr>
              <w:t>天内安装完工。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交付地点</w:t>
            </w:r>
          </w:p>
        </w:tc>
        <w:tc>
          <w:tcPr>
            <w:tcW w:w="8080" w:type="dxa"/>
            <w:tcBorders>
              <w:top w:val="single" w:color="auto" w:sz="4" w:space="0"/>
              <w:left w:val="single" w:color="auto" w:sz="4" w:space="0"/>
              <w:bottom w:val="single" w:color="auto" w:sz="4" w:space="0"/>
              <w:right w:val="single" w:color="auto" w:sz="4" w:space="0"/>
            </w:tcBorders>
            <w:vAlign w:val="center"/>
          </w:tcPr>
          <w:p>
            <w:pPr>
              <w:pStyle w:val="3"/>
              <w:spacing w:line="360" w:lineRule="exact"/>
              <w:rPr>
                <w:rFonts w:hint="eastAsia" w:ascii="宋体" w:hAnsi="宋体" w:eastAsia="宋体" w:cs="宋体"/>
                <w:bCs/>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温州安之驿科技产业发展有限责任公司</w:t>
            </w:r>
            <w:r>
              <w:rPr>
                <w:rFonts w:hint="eastAsia" w:ascii="宋体" w:hAnsi="宋体" w:cs="宋体"/>
                <w:color w:val="000000" w:themeColor="text1"/>
                <w:sz w:val="22"/>
                <w:highlight w:val="none"/>
                <w14:textFill>
                  <w14:solidFill>
                    <w14:schemeClr w14:val="tx1"/>
                  </w14:solidFill>
                </w14:textFill>
              </w:rPr>
              <w:t>指定地点</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安防学院桔子酒店</w:t>
            </w:r>
            <w:r>
              <w:rPr>
                <w:rFonts w:hint="eastAsia" w:ascii="宋体" w:hAnsi="宋体" w:cs="宋体"/>
                <w:color w:val="000000" w:themeColor="text1"/>
                <w:sz w:val="22"/>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质保期</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color w:val="000000" w:themeColor="text1"/>
                <w:kern w:val="0"/>
                <w:sz w:val="22"/>
                <w:highlight w:val="none"/>
                <w:lang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自验收合格之日起提供至少</w:t>
            </w:r>
            <w:r>
              <w:rPr>
                <w:rFonts w:hint="eastAsia" w:ascii="宋体" w:hAnsi="宋体" w:cs="宋体"/>
                <w:color w:val="000000" w:themeColor="text1"/>
                <w:sz w:val="22"/>
                <w:highlight w:val="none"/>
                <w:lang w:val="en-US" w:eastAsia="zh-CN"/>
                <w14:textFill>
                  <w14:solidFill>
                    <w14:schemeClr w14:val="tx1"/>
                  </w14:solidFill>
                </w14:textFill>
              </w:rPr>
              <w:t>3</w:t>
            </w:r>
            <w:r>
              <w:rPr>
                <w:rFonts w:hint="eastAsia" w:ascii="宋体" w:hAnsi="宋体" w:cs="宋体"/>
                <w:color w:val="000000" w:themeColor="text1"/>
                <w:sz w:val="22"/>
                <w:highlight w:val="none"/>
                <w14:textFill>
                  <w14:solidFill>
                    <w14:schemeClr w14:val="tx1"/>
                  </w14:solidFill>
                </w14:textFill>
              </w:rPr>
              <w:t>年</w:t>
            </w:r>
            <w:r>
              <w:rPr>
                <w:rFonts w:hint="eastAsia" w:ascii="宋体" w:hAnsi="宋体" w:cs="宋体"/>
                <w:color w:val="000000" w:themeColor="text1"/>
                <w:sz w:val="22"/>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验收标准</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所供设备在现场进行到货验收时，投标人派员参加并与买方一起开箱检验，按供货清单验收，若有缺少或损坏，投标人应立即补足或更换全新同规格产品，并承担相关费用直至使买方满意为止。设备的存放点由买方负责提供（费用由投标人承担），但投标人应预先提出设备的保管存放要求。</w:t>
            </w:r>
          </w:p>
          <w:p>
            <w:pPr>
              <w:spacing w:line="380" w:lineRule="exact"/>
              <w:jc w:val="lef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2</w:t>
            </w:r>
            <w:r>
              <w:rPr>
                <w:rFonts w:hint="eastAsia" w:ascii="宋体" w:hAnsi="宋体" w:cs="宋体"/>
                <w:color w:val="000000" w:themeColor="text1"/>
                <w:sz w:val="22"/>
                <w:highlight w:val="none"/>
                <w14:textFill>
                  <w14:solidFill>
                    <w14:schemeClr w14:val="tx1"/>
                  </w14:solidFill>
                </w14:textFill>
              </w:rPr>
              <w:t>.设备经过试运行后达到并符合合同要求，其中故障和隐患均已排除或解决，并使买方满意，所有的技术资料和图纸均已向买方提交并被接受，验收视为合格，双方签署验收证书后，设备才视为接受。若因投标人产品质量或安装技术问题导致验收不合格，投标人应及时予以处理，直至验收合格，期间发生的一切相关费用由投标人承担，买方保留向投标人索赔的权利。</w:t>
            </w:r>
          </w:p>
          <w:p>
            <w:pPr>
              <w:spacing w:line="380" w:lineRule="exact"/>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3</w:t>
            </w:r>
            <w:r>
              <w:rPr>
                <w:rFonts w:hint="eastAsia" w:ascii="宋体" w:hAnsi="宋体" w:cs="宋体"/>
                <w:color w:val="000000" w:themeColor="text1"/>
                <w:sz w:val="22"/>
                <w:highlight w:val="none"/>
                <w14:textFill>
                  <w14:solidFill>
                    <w14:schemeClr w14:val="tx1"/>
                  </w14:solidFill>
                </w14:textFill>
              </w:rPr>
              <w:t>.投标人在设备到货、安装、调试和验收期间应采取严格的安全措施，承担由于自身原因所造成的事故责任及其发生的一切费用。</w:t>
            </w:r>
          </w:p>
        </w:tc>
      </w:tr>
    </w:tbl>
    <w:p>
      <w:pPr>
        <w:spacing w:line="360" w:lineRule="exact"/>
        <w:outlineLvl w:val="0"/>
        <w:rPr>
          <w:rFonts w:ascii="宋体" w:hAnsi="宋体" w:cs="宋体"/>
          <w:b/>
          <w:color w:val="000000" w:themeColor="text1"/>
          <w:spacing w:val="-6"/>
          <w:sz w:val="22"/>
          <w:highlight w:val="none"/>
          <w14:textFill>
            <w14:solidFill>
              <w14:schemeClr w14:val="tx1"/>
            </w14:solidFill>
          </w14:textFill>
        </w:rPr>
      </w:pPr>
    </w:p>
    <w:p>
      <w:pPr>
        <w:numPr>
          <w:ilvl w:val="0"/>
          <w:numId w:val="1"/>
        </w:numPr>
        <w:spacing w:line="360" w:lineRule="exact"/>
        <w:ind w:left="0" w:leftChars="0" w:firstLine="0" w:firstLineChars="0"/>
        <w:rPr>
          <w:rFonts w:hint="eastAsia" w:ascii="宋体" w:hAnsi="宋体" w:cs="宋体"/>
          <w:b/>
          <w:bCs/>
          <w:color w:val="000000" w:themeColor="text1"/>
          <w:spacing w:val="-6"/>
          <w:sz w:val="22"/>
          <w:highlight w:val="none"/>
          <w14:textFill>
            <w14:solidFill>
              <w14:schemeClr w14:val="tx1"/>
            </w14:solidFill>
          </w14:textFill>
        </w:rPr>
      </w:pPr>
      <w:r>
        <w:rPr>
          <w:rFonts w:hint="eastAsia" w:ascii="宋体" w:hAnsi="宋体" w:cs="宋体"/>
          <w:b/>
          <w:bCs/>
          <w:color w:val="000000" w:themeColor="text1"/>
          <w:spacing w:val="-6"/>
          <w:sz w:val="22"/>
          <w:highlight w:val="none"/>
          <w14:textFill>
            <w14:solidFill>
              <w14:schemeClr w14:val="tx1"/>
            </w14:solidFill>
          </w14:textFill>
        </w:rPr>
        <w:t>技术要求</w:t>
      </w:r>
    </w:p>
    <w:p>
      <w:pPr>
        <w:tabs>
          <w:tab w:val="left" w:pos="1365"/>
        </w:tabs>
        <w:spacing w:line="288"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安防学院桔子酒店</w:t>
      </w:r>
      <w:r>
        <w:rPr>
          <w:rFonts w:hint="eastAsia" w:ascii="宋体" w:hAnsi="宋体" w:eastAsia="宋体" w:cs="宋体"/>
          <w:color w:val="000000" w:themeColor="text1"/>
          <w:sz w:val="22"/>
          <w:szCs w:val="22"/>
          <w:highlight w:val="none"/>
          <w:lang w:val="en-US" w:eastAsia="zh-CN"/>
          <w14:textFill>
            <w14:solidFill>
              <w14:schemeClr w14:val="tx1"/>
            </w14:solidFill>
          </w14:textFill>
        </w:rPr>
        <w:t>智能会议系统</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显示屏尺寸：长 6.08 m*高 2.24m</w:t>
      </w:r>
    </w:p>
    <w:tbl>
      <w:tblPr>
        <w:tblStyle w:val="4"/>
        <w:tblW w:w="8712" w:type="dxa"/>
        <w:jc w:val="center"/>
        <w:tblLayout w:type="autofit"/>
        <w:tblCellMar>
          <w:top w:w="0" w:type="dxa"/>
          <w:left w:w="0" w:type="dxa"/>
          <w:bottom w:w="0" w:type="dxa"/>
          <w:right w:w="0" w:type="dxa"/>
        </w:tblCellMar>
      </w:tblPr>
      <w:tblGrid>
        <w:gridCol w:w="423"/>
        <w:gridCol w:w="1070"/>
        <w:gridCol w:w="459"/>
        <w:gridCol w:w="678"/>
        <w:gridCol w:w="6082"/>
      </w:tblGrid>
      <w:tr>
        <w:tblPrEx>
          <w:tblCellMar>
            <w:top w:w="0" w:type="dxa"/>
            <w:left w:w="0" w:type="dxa"/>
            <w:bottom w:w="0" w:type="dxa"/>
            <w:right w:w="0" w:type="dxa"/>
          </w:tblCellMar>
        </w:tblPrEx>
        <w:trPr>
          <w:trHeight w:val="713" w:hRule="atLeast"/>
          <w:jc w:val="center"/>
        </w:trPr>
        <w:tc>
          <w:tcPr>
            <w:tcW w:w="42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Style w:val="6"/>
              <w:tabs>
                <w:tab w:val="center" w:pos="4250"/>
              </w:tabs>
              <w:ind w:firstLine="0" w:firstLineChars="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44"/>
                <w:sz w:val="22"/>
                <w:szCs w:val="22"/>
                <w:highlight w:val="none"/>
                <w:lang w:eastAsia="zh-CN"/>
                <w14:textFill>
                  <w14:solidFill>
                    <w14:schemeClr w14:val="tx1"/>
                  </w14:solidFill>
                </w14:textFill>
              </w:rPr>
              <w:t>序号</w:t>
            </w:r>
            <w:r>
              <w:rPr>
                <w:rFonts w:hint="eastAsia" w:ascii="宋体" w:hAnsi="宋体" w:eastAsia="宋体" w:cs="宋体"/>
                <w:b/>
                <w:bCs/>
                <w:color w:val="000000" w:themeColor="text1"/>
                <w:kern w:val="44"/>
                <w:sz w:val="22"/>
                <w:szCs w:val="22"/>
                <w:highlight w:val="none"/>
                <w:lang w:eastAsia="zh-CN"/>
                <w14:textFill>
                  <w14:solidFill>
                    <w14:schemeClr w14:val="tx1"/>
                  </w14:solidFill>
                </w14:textFill>
              </w:rPr>
              <w:tab/>
            </w:r>
            <w:r>
              <w:rPr>
                <w:rFonts w:hint="eastAsia" w:ascii="宋体" w:hAnsi="宋体" w:eastAsia="宋体" w:cs="宋体"/>
                <w:b/>
                <w:color w:val="000000" w:themeColor="text1"/>
                <w:sz w:val="22"/>
                <w:szCs w:val="22"/>
                <w:highlight w:val="none"/>
                <w:lang w:bidi="ar"/>
                <w14:textFill>
                  <w14:solidFill>
                    <w14:schemeClr w14:val="tx1"/>
                  </w14:solidFill>
                </w14:textFill>
              </w:rPr>
              <w:t>序号</w:t>
            </w:r>
          </w:p>
        </w:tc>
        <w:tc>
          <w:tcPr>
            <w:tcW w:w="107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bidi="ar"/>
                <w14:textFill>
                  <w14:solidFill>
                    <w14:schemeClr w14:val="tx1"/>
                  </w14:solidFill>
                </w14:textFill>
              </w:rPr>
              <w:t>产品名称</w:t>
            </w:r>
          </w:p>
        </w:tc>
        <w:tc>
          <w:tcPr>
            <w:tcW w:w="45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bidi="ar"/>
                <w14:textFill>
                  <w14:solidFill>
                    <w14:schemeClr w14:val="tx1"/>
                  </w14:solidFill>
                </w14:textFill>
              </w:rPr>
              <w:t>单位</w:t>
            </w:r>
          </w:p>
        </w:tc>
        <w:tc>
          <w:tcPr>
            <w:tcW w:w="67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bidi="ar"/>
                <w14:textFill>
                  <w14:solidFill>
                    <w14:schemeClr w14:val="tx1"/>
                  </w14:solidFill>
                </w14:textFill>
              </w:rPr>
              <w:t>数量</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bidi="ar"/>
                <w14:textFill>
                  <w14:solidFill>
                    <w14:schemeClr w14:val="tx1"/>
                  </w14:solidFill>
                </w14:textFill>
              </w:rPr>
              <w:t>技术参数</w:t>
            </w:r>
          </w:p>
        </w:tc>
      </w:tr>
      <w:tr>
        <w:tblPrEx>
          <w:tblCellMar>
            <w:top w:w="0" w:type="dxa"/>
            <w:left w:w="0" w:type="dxa"/>
            <w:bottom w:w="0" w:type="dxa"/>
            <w:right w:w="0" w:type="dxa"/>
          </w:tblCellMar>
        </w:tblPrEx>
        <w:trPr>
          <w:trHeight w:val="90"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室内全彩显示屏</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核心产品</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平方</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▲1、像数间距：≤1.86mm；单元板尺寸：320mm* 160mm；</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提供相关证明材料</w:t>
            </w:r>
            <w:r>
              <w:rPr>
                <w:rFonts w:hint="eastAsia" w:ascii="宋体" w:hAnsi="宋体" w:cs="宋体"/>
                <w:color w:val="000000" w:themeColor="text1"/>
                <w:sz w:val="22"/>
                <w:szCs w:val="22"/>
                <w:highlight w:val="none"/>
                <w:u w:val="single"/>
                <w:lang w:eastAsia="zh-CN"/>
                <w14:textFill>
                  <w14:solidFill>
                    <w14:schemeClr w14:val="tx1"/>
                  </w14:solidFill>
                </w14:textFill>
              </w:rPr>
              <w:t>）</w:t>
            </w:r>
          </w:p>
          <w:p>
            <w:pPr>
              <w:spacing w:line="440" w:lineRule="exact"/>
              <w:jc w:val="lef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▲2、投标产品具有整屏平整度≤0.0</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u w:val="single"/>
                <w14:textFill>
                  <w14:solidFill>
                    <w14:schemeClr w14:val="tx1"/>
                  </w14:solidFill>
                </w14:textFill>
              </w:rPr>
              <w:t>mm；模组间拼缝≤0.2mm；刷新率≥3840Hz</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提供相关证明材料</w:t>
            </w:r>
            <w:r>
              <w:rPr>
                <w:rFonts w:hint="eastAsia" w:ascii="宋体" w:hAnsi="宋体" w:cs="宋体"/>
                <w:color w:val="000000" w:themeColor="text1"/>
                <w:sz w:val="22"/>
                <w:szCs w:val="22"/>
                <w:highlight w:val="none"/>
                <w:u w:val="single"/>
                <w:lang w:eastAsia="zh-CN"/>
                <w14:textFill>
                  <w14:solidFill>
                    <w14:schemeClr w14:val="tx1"/>
                  </w14:solidFill>
                </w14:textFill>
              </w:rPr>
              <w:t>）</w:t>
            </w:r>
          </w:p>
          <w:p>
            <w:pPr>
              <w:pStyle w:val="7"/>
              <w:rPr>
                <w:rFonts w:hint="eastAsia" w:ascii="宋体" w:hAnsi="宋体" w:eastAsia="宋体" w:cs="宋体"/>
                <w:bCs w:val="0"/>
                <w:color w:val="000000" w:themeColor="text1"/>
                <w:spacing w:val="0"/>
                <w:kern w:val="2"/>
                <w:sz w:val="22"/>
                <w:szCs w:val="22"/>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3</w:t>
            </w:r>
            <w:r>
              <w:rPr>
                <w:rFonts w:hint="eastAsia" w:ascii="宋体" w:hAnsi="宋体" w:eastAsia="宋体" w:cs="宋体"/>
                <w:bCs w:val="0"/>
                <w:color w:val="000000" w:themeColor="text1"/>
                <w:spacing w:val="0"/>
                <w:kern w:val="2"/>
                <w:sz w:val="22"/>
                <w:szCs w:val="22"/>
                <w:highlight w:val="none"/>
                <w:u w:val="none"/>
                <w:lang w:val="en-US" w:eastAsia="zh-CN" w:bidi="ar-SA"/>
                <w14:textFill>
                  <w14:solidFill>
                    <w14:schemeClr w14:val="tx1"/>
                  </w14:solidFill>
                </w14:textFill>
              </w:rPr>
              <w:t>、投标产品水平左右视角≥170°、垂直上下视角≥170°； 亮度均匀性≥99%</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、PCB 采用 FR-4材质，灯驱合一，电路采用多层设计，符合多层电路板沉金工艺设计，具有消隐，节能处理，EMC处理保证单模块的稳定性和抗氧化性</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、表面处理:可支持灯板表面进行AOB处理，有致密性纳米涂层，有效隔绝水汽，对灯珠形成有效防护，可支持喷墨工艺，且低反射率的 LED 灯板</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、色彩:16Bit,281万亿色</w:t>
            </w:r>
            <w:r>
              <w:rPr>
                <w:rFonts w:hint="eastAsia" w:ascii="宋体" w:hAnsi="宋体" w:eastAsia="宋体" w:cs="宋体"/>
                <w:color w:val="000000" w:themeColor="text1"/>
                <w:sz w:val="22"/>
                <w:szCs w:val="22"/>
                <w:highlight w:val="none"/>
                <w:lang w:val="en-US" w:eastAsia="zh-CN"/>
                <w14:textFill>
                  <w14:solidFill>
                    <w14:schemeClr w14:val="tx1"/>
                  </w14:solidFill>
                </w14:textFill>
              </w:rPr>
              <w:t>及以上</w:t>
            </w:r>
            <w:r>
              <w:rPr>
                <w:rFonts w:hint="eastAsia" w:ascii="宋体" w:hAnsi="宋体" w:eastAsia="宋体" w:cs="宋体"/>
                <w:color w:val="000000" w:themeColor="text1"/>
                <w:sz w:val="22"/>
                <w:szCs w:val="22"/>
                <w:highlight w:val="none"/>
                <w14:textFill>
                  <w14:solidFill>
                    <w14:schemeClr w14:val="tx1"/>
                  </w14:solidFill>
                </w14:textFill>
              </w:rPr>
              <w:t>，色域覆盖率100%,NTSC色域覆盖率≥120%上，YLV（PAL)色域覆盖率≥170%，支持BT.2020,DCI.P3,BT.709,sRGB等多种色域转换</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、亮度与视角关系：中央亮度为100cd/㎡白场时，水平视角80°时亮度衰减率≤10%,垂直视角60°时亮度衰减率≤10%</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、噪声：前、后、左、右噪声均不超过2.0dB</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、峰值功耗：≤610w/㎡；典型功耗：≤310w/㎡；供电电压≤DC4.2～5V；电流增益调节级别≥7位</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color w:val="000000" w:themeColor="text1"/>
                <w:sz w:val="22"/>
                <w:szCs w:val="22"/>
                <w:highlight w:val="none"/>
                <w14:textFill>
                  <w14:solidFill>
                    <w14:schemeClr w14:val="tx1"/>
                  </w14:solidFill>
                </w14:textFill>
              </w:rPr>
              <w:t>、静电放电抗扰度试验，试验条件：接触放电：±6KV，空气放电：±8KV,试验后，设备功能正常</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、投标产品具有抗振动测试频率10~55Hz，振幅0.35mm，3个轴向，每一轴向循环50次，每次时间5min，试验后产品无异常（投标时提供具有CNAS标识的检测报告证明）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 xml:space="preserve">、屏体正面为哑黑处理，反光率≤2%；衰减率（长期工作）&lt;17%；盲点率：≤0.0001，无常亮点；每个灯珠的波长误差值在化±1.5cm 内，每个灯芯的亮度误差在10％以内  </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、冲击试验：对产品进行150m/s²,11ms,6个面各三次冲击试验，试验后产品无异常</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、抗紫外线辐射：辐照强度；0.76W/㎡@340nm温度：60℃。冷凝温度：50℃，24循环、288h试验后，样品外观无异常。</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、设备在正常工作条件下，连续卫作168h，不应出现电、机械或操作系统的故障；机械强度≥25MP；拉伸强度≥50MP；缺口冲击强度≥7KJ/㎡，符合标准。（投标时提供具有CNAS标识的检测报告证明）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、射频电磁场辐射抗扰度实验：试验条件：3W/m,1kHv调制信号，射频电磁场辐射，80%调制度，试验后，设备功能正常（投标时提供具有CNAS标识的检测报告证明）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、脉冲群测试：依据GB/T 17618-2015规定，进行脉冲群测试，电源端口4kv,试验后，设备功能正常（投标时提供具有CNAS标识的检测报告证明）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18</w:t>
            </w:r>
            <w:r>
              <w:rPr>
                <w:rFonts w:hint="eastAsia" w:ascii="宋体" w:hAnsi="宋体" w:eastAsia="宋体" w:cs="宋体"/>
                <w:color w:val="000000" w:themeColor="text1"/>
                <w:sz w:val="22"/>
                <w:szCs w:val="22"/>
                <w:highlight w:val="none"/>
                <w14:textFill>
                  <w14:solidFill>
                    <w14:schemeClr w14:val="tx1"/>
                  </w14:solidFill>
                </w14:textFill>
              </w:rPr>
              <w:t>、驱动方式：恒流驱动，动态扫描，同步控制，点对点显示。具有显示模式调节功能亮度0-600cd/㎡可调，256级无灰度损失调节，可通定时器或传感器调节；色温2000K-17000K连续可调；色温为6500K时，100%、75%、50%、25％四档电平白场调节色温误差＜150K，亮度、灰度、色温可有手动、自动、软件三种调节方式具有调节亮、暗线功能。（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19</w:t>
            </w:r>
            <w:r>
              <w:rPr>
                <w:rFonts w:hint="eastAsia" w:ascii="宋体" w:hAnsi="宋体" w:eastAsia="宋体" w:cs="宋体"/>
                <w:color w:val="000000" w:themeColor="text1"/>
                <w:sz w:val="22"/>
                <w:szCs w:val="22"/>
                <w:highlight w:val="none"/>
                <w14:textFill>
                  <w14:solidFill>
                    <w14:schemeClr w14:val="tx1"/>
                  </w14:solidFill>
                </w14:textFill>
              </w:rPr>
              <w:t>、PB 焊盘采用 OSP 工艺处理，充分保证单模块安装的稳定性和抗氧化性， GB / T 5169.16-2017《电工电子产品着火危险试验第16部分：试验火焰5OW水平与垂直火焰试验方法》对样品进行防火测试。产品整机阻燃防护等级达到 V-0级。产品选用的 PCB 阻燃防护等级达到 V-0级。</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color w:val="000000" w:themeColor="text1"/>
                <w:sz w:val="22"/>
                <w:szCs w:val="22"/>
                <w:highlight w:val="none"/>
                <w14:textFill>
                  <w14:solidFill>
                    <w14:schemeClr w14:val="tx1"/>
                  </w14:solidFill>
                </w14:textFill>
              </w:rPr>
              <w:t>、投标产品满足温升要求：按照GB4943.1-2011《信息技术设备安全第一部分：通用要求》进行升温测试，最大亮度白色连续工作2小时，模组表面温升小于20℃</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21支持单点检测逐点校正功能，单点亮度校正,单点颜色校正;支持多bin色度校正，校正数据存储在模组里,采用色彩管理系统，在LED控制系统对视频解码后，添加二次过滤显示算法，对显示屏每一个发光二极管进行逐点14位颜色校正。</w:t>
            </w:r>
          </w:p>
        </w:tc>
      </w:tr>
      <w:tr>
        <w:tblPrEx>
          <w:tblCellMar>
            <w:top w:w="0" w:type="dxa"/>
            <w:left w:w="0" w:type="dxa"/>
            <w:bottom w:w="0" w:type="dxa"/>
            <w:right w:w="0" w:type="dxa"/>
          </w:tblCellMar>
        </w:tblPrEx>
        <w:trPr>
          <w:trHeight w:val="463"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接收卡</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39</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1.支持逐点亮色度校正，可以对每个灯点的亮度和色度进项校正，有效消除色差，使整屏的亮度和速度达到高度均匀一致，提高显示屏的画质。</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.快速亮暗线调节在调试软件上进行快速亮暗线调节，快速解决因箱体及模组拼接造成的显示屏亮暗线，调节过程中即时生效，简单易用。</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.可以将指定图片设置为显示屏的开机、网线断开或无视频源信号时的画面或者最后一帧画面。</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.可以监测自身的温度和电压，无需其他外设，在软件上可以查看接收卡的温度和电压。</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.检测发送设备与接收卡间或接收卡与接收卡间的网络通讯质量，记录错误包数，协助排除网络通讯隐患。</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.支持5pin液晶模块，用于显示接收卡的温度、电压、单次运行时间和总运行时间。</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.支持千兆网，可通过网线直接连接到PC端进行调试和显示，无需发送卡</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.投标时提供实现屏幕拼接的系统及方法的相关证明材料</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 xml:space="preserve">.投标时提供多屏控制的图像显示系统、方法及多屏控制装置的相关证明材料 </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14:textFill>
                  <w14:solidFill>
                    <w14:schemeClr w14:val="tx1"/>
                  </w14:solidFill>
                </w14:textFill>
              </w:rPr>
              <w:t>.支持各种PWM芯片、逐点检测芯片及通用芯片；支持任意抽点，实现各种异形屏拼接。</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.支持色彩变换技术，使人脸肤色更真实；支持任意倍增技术，手机拍摄无扫描线。（投标时提供具有CNAS标识的检测报告证明）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.为保证产品的稳定性及可靠性，需在检验环境温度21℃-26摄氏度，湿度（%RH）:62-71,大气压力（kPa）：100.2-101.8</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.设备在正常工作条件下，连续工作168h，不应出现电、机械或操作系统的故障。（投标时提供具有CNAS标识的检测报告证明）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.产品放入60℃±2℃，90%RH±3%RH环境中，通电连续工作48小时，试验过程中能正常工作，外观无明显变形，损伤。</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.为保证系统的兼容性及稳定性控制系统需与LED显示屏为同一品牌，投标时提供证明文件</w:t>
            </w:r>
          </w:p>
        </w:tc>
      </w:tr>
      <w:tr>
        <w:tblPrEx>
          <w:tblCellMar>
            <w:top w:w="0" w:type="dxa"/>
            <w:left w:w="0" w:type="dxa"/>
            <w:bottom w:w="0" w:type="dxa"/>
            <w:right w:w="0" w:type="dxa"/>
          </w:tblCellMar>
        </w:tblPrEx>
        <w:trPr>
          <w:trHeight w:val="537"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电源</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46</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可靠性高，负载能力强，符合3C要求，100%满负载老化试验，空气自然对流冷却保护功能具有：短路/过载</w:t>
            </w:r>
          </w:p>
        </w:tc>
      </w:tr>
      <w:tr>
        <w:tblPrEx>
          <w:tblCellMar>
            <w:top w:w="0" w:type="dxa"/>
            <w:left w:w="0" w:type="dxa"/>
            <w:bottom w:w="0" w:type="dxa"/>
            <w:right w:w="0" w:type="dxa"/>
          </w:tblCellMar>
        </w:tblPrEx>
        <w:trPr>
          <w:trHeight w:val="945"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视频处理器</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1.无需电脑，支持通过设备旋转按钮快捷配屏和高级配屏功能点亮屏体，简单操作即可完成屏体配置。</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2.支持设备默认开启自动信源搜索功能。</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3.为增强产品实用性，设备需通过面板数字按键，可快速准确定义窗口大小位置等坐标信息。</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4.支持屏体参数调整，例如亮度、Gamma等。</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5.为保证系统的兼容性和稳定性，发送卡和视频处理器为二合一产品。</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6.设备前面板配备液晶面板，可实时显示设备型号，ip地址，窗口和信号源的分辨率及状态信息，输出网口的状态，屏幕大小，帧屏信息，设备同步模式展示，USB连接或网线连接状态，屏体亮度。</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主界面下，按下旋钮进入菜单操作界面。菜单操作界面下，旋转旋钮旋转菜单，按下旋钮选定当前菜单或者进入子菜单。选定带有参数的菜单后可以通过旋转旋钮调节参数，调节完成后需要再次按下旋钮进行确认。</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8.无需电脑，FREEZE画面冻结按键可以快捷冻结画面。</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9.投标人需要提供视频分析设备的算法配置方法和系统的相关证明材料，以证明其具备提供该系统的能力和技术实力。</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10.支持逐点亮度校正，可以对每个灯点的亮度和色度进行校正，有效消除色彩，使整屏的亮度色度达到高度均匀一致，提高显示屏的画质。</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★11.支持配置显示屏的传输方式和方向；支持配置控制器的映射位置和大小；支持保存和加载控制系统参数；支持周期刷新显示屏控制系统的工作状态。（投标时提供具有CNAS标识的检测报告证明）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12.支持LED校正、亮度智能调节、色温调节、Gamma调节、授权管理。</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13.产品机内交流配电系统单元符合TN配电系统在90V 50Hz至264V 60Hz之间仍可正常工作，保证设备在异常断电情况下正常运行。</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14.产品输入输出端子在接触温度检测的限值至少为70℃。</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15.设备在正常工作条件下，联系工作168h，不应出现电、机械或操作系统的故障。</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16.产品放入60℃±2℃，90%±3%HR环境中，通电连续工作48小时或放置48小时，试验过程中能正常工作，外观无明显变形，损伤。</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★17.为保证系统的兼容性及稳定性控制系统需与LED显示屏为同一品牌，投标时提供证明文件</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18.投标时提供超高分辨率显示系统及显示控制方法的相关证明材料</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★19.投标人需要提供多点温度测量系统的相关证明材料，以证明其具备提供该系统的</w:t>
            </w:r>
            <w:r>
              <w:rPr>
                <w:rFonts w:hint="eastAsia" w:ascii="宋体" w:hAnsi="宋体" w:eastAsia="宋体" w:cs="宋体"/>
                <w:color w:val="000000" w:themeColor="text1"/>
                <w:sz w:val="22"/>
                <w:szCs w:val="22"/>
                <w:highlight w:val="none"/>
                <w:lang w:val="en-US" w:eastAsia="zh-CN"/>
                <w14:textFill>
                  <w14:solidFill>
                    <w14:schemeClr w14:val="tx1"/>
                  </w14:solidFill>
                </w14:textFill>
              </w:rPr>
              <w:t>技术功能</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20.投标人需要提供视频分析设备的算法配置方法和系统的相关证明材料，以证明其具备提供该系统的技术要求。</w:t>
            </w:r>
          </w:p>
        </w:tc>
      </w:tr>
      <w:tr>
        <w:tblPrEx>
          <w:tblCellMar>
            <w:top w:w="0" w:type="dxa"/>
            <w:left w:w="0" w:type="dxa"/>
            <w:bottom w:w="0" w:type="dxa"/>
            <w:right w:w="0" w:type="dxa"/>
          </w:tblCellMar>
        </w:tblPrEx>
        <w:trPr>
          <w:trHeight w:val="945"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框架及安装服务</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套</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定制结构、框架，满足屏体安装使用需求，用材符合国家标准；外框、包边根据采购人实际使用环境进行定制，保证整体装饰美观大方；</w:t>
            </w:r>
          </w:p>
        </w:tc>
      </w:tr>
      <w:tr>
        <w:tblPrEx>
          <w:tblCellMar>
            <w:top w:w="0" w:type="dxa"/>
            <w:left w:w="0" w:type="dxa"/>
            <w:bottom w:w="0" w:type="dxa"/>
            <w:right w:w="0" w:type="dxa"/>
          </w:tblCellMar>
        </w:tblPrEx>
        <w:trPr>
          <w:trHeight w:val="866"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智能控制系统</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套</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1 </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1、产品要求：</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10kw 带PLC功能，</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2、为了方便对LED显示屏的使用，进一步提高系统的智能化管理和动力电源的集成度与稳定性，采用“显示屏智能上电系统”。</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3、通过该系统可以实现对LED显示屏的远程有线控制上电，实现定时开关屏体，方便用户的使用。</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4、同时，屏体采用“分步加电”的上电方式，既要避免大负载对电网瞬间的冲击，又要有效地保护显示屏体的工作组件，延长屏体的使用寿命。</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实现</w:t>
            </w:r>
            <w:r>
              <w:rPr>
                <w:rFonts w:hint="eastAsia" w:ascii="宋体" w:hAnsi="宋体" w:eastAsia="宋体" w:cs="宋体"/>
                <w:color w:val="000000" w:themeColor="text1"/>
                <w:sz w:val="22"/>
                <w:szCs w:val="22"/>
                <w:highlight w:val="none"/>
                <w:lang w:val="en-US" w:eastAsia="zh-CN"/>
                <w14:textFill>
                  <w14:solidFill>
                    <w14:schemeClr w14:val="tx1"/>
                  </w14:solidFill>
                </w14:textFill>
              </w:rPr>
              <w:t>功能如下：</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LED屏远程开关，定时开关，在节假日等时间可以远程关闭设备电源；</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可以采用平板电脑进行内容选择和对指定内容播放、停止、暂停、声音大小，静音等控制（包括了控制网关，控制模块等设备及软件UI设计，情景设计)</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945"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智能演讲台</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1、尺寸：580*500*1080-1340mm（长.宽.高），一体化设计，</w:t>
            </w:r>
            <w:r>
              <w:rPr>
                <w:rFonts w:hint="eastAsia" w:ascii="宋体" w:hAnsi="宋体" w:eastAsia="宋体" w:cs="宋体"/>
                <w:color w:val="000000" w:themeColor="text1"/>
                <w:sz w:val="22"/>
                <w:szCs w:val="22"/>
                <w:highlight w:val="none"/>
                <w14:textFill>
                  <w14:solidFill>
                    <w14:schemeClr w14:val="tx1"/>
                  </w14:solidFill>
                </w14:textFill>
              </w:rPr>
              <w:t>包含主</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副双屏一体机，</w:t>
            </w:r>
            <w:r>
              <w:rPr>
                <w:rFonts w:hint="eastAsia" w:ascii="宋体" w:hAnsi="宋体" w:eastAsia="宋体" w:cs="宋体"/>
                <w:color w:val="000000" w:themeColor="text1"/>
                <w:sz w:val="22"/>
                <w:szCs w:val="22"/>
                <w:highlight w:val="none"/>
                <w:lang w:val="en-US" w:eastAsia="zh-CN"/>
                <w14:textFill>
                  <w14:solidFill>
                    <w14:schemeClr w14:val="tx1"/>
                  </w14:solidFill>
                </w14:textFill>
              </w:rPr>
              <w:t>OPS电脑，升降</w:t>
            </w:r>
            <w:r>
              <w:rPr>
                <w:rFonts w:hint="eastAsia" w:ascii="宋体" w:hAnsi="宋体" w:eastAsia="宋体" w:cs="宋体"/>
                <w:color w:val="000000" w:themeColor="text1"/>
                <w:sz w:val="22"/>
                <w:szCs w:val="22"/>
                <w:highlight w:val="none"/>
                <w14:textFill>
                  <w14:solidFill>
                    <w14:schemeClr w14:val="tx1"/>
                  </w14:solidFill>
                </w14:textFill>
              </w:rPr>
              <w:t>控制于一体；</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2、柱体采用优质铝合金材质，底座钣金材质一体成型，整体设计</w:t>
            </w:r>
            <w:r>
              <w:rPr>
                <w:rFonts w:hint="eastAsia" w:ascii="宋体" w:hAnsi="宋体" w:eastAsia="宋体" w:cs="宋体"/>
                <w:color w:val="000000" w:themeColor="text1"/>
                <w:sz w:val="22"/>
                <w:szCs w:val="22"/>
                <w:highlight w:val="none"/>
                <w14:textFill>
                  <w14:solidFill>
                    <w14:schemeClr w14:val="tx1"/>
                  </w14:solidFill>
                </w14:textFill>
              </w:rPr>
              <w:t>简洁美观；</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讲台</w:t>
            </w:r>
            <w:r>
              <w:rPr>
                <w:rFonts w:hint="eastAsia" w:ascii="宋体" w:hAnsi="宋体" w:eastAsia="宋体" w:cs="宋体"/>
                <w:color w:val="000000" w:themeColor="text1"/>
                <w:sz w:val="22"/>
                <w:szCs w:val="22"/>
                <w:highlight w:val="none"/>
                <w:lang w:eastAsia="zh-CN"/>
                <w14:textFill>
                  <w14:solidFill>
                    <w14:schemeClr w14:val="tx1"/>
                  </w14:solidFill>
                </w14:textFill>
              </w:rPr>
              <w:t>采用医疗静音标准电动</w:t>
            </w:r>
            <w:r>
              <w:rPr>
                <w:rFonts w:hint="eastAsia" w:ascii="宋体" w:hAnsi="宋体" w:eastAsia="宋体" w:cs="宋体"/>
                <w:color w:val="000000" w:themeColor="text1"/>
                <w:sz w:val="22"/>
                <w:szCs w:val="22"/>
                <w:highlight w:val="none"/>
                <w14:textFill>
                  <w14:solidFill>
                    <w14:schemeClr w14:val="tx1"/>
                  </w14:solidFill>
                </w14:textFill>
              </w:rPr>
              <w:t>升降柱</w:t>
            </w:r>
            <w:r>
              <w:rPr>
                <w:rFonts w:hint="eastAsia" w:ascii="宋体" w:hAnsi="宋体" w:eastAsia="宋体" w:cs="宋体"/>
                <w:color w:val="000000" w:themeColor="text1"/>
                <w:sz w:val="22"/>
                <w:szCs w:val="22"/>
                <w:highlight w:val="none"/>
                <w:lang w:eastAsia="zh-CN"/>
                <w14:textFill>
                  <w14:solidFill>
                    <w14:schemeClr w14:val="tx1"/>
                  </w14:solidFill>
                </w14:textFill>
              </w:rPr>
              <w:t>，可</w:t>
            </w:r>
            <w:r>
              <w:rPr>
                <w:rFonts w:hint="eastAsia" w:ascii="宋体" w:hAnsi="宋体" w:eastAsia="宋体" w:cs="宋体"/>
                <w:color w:val="000000" w:themeColor="text1"/>
                <w:sz w:val="22"/>
                <w:szCs w:val="22"/>
                <w:highlight w:val="none"/>
                <w14:textFill>
                  <w14:solidFill>
                    <w14:schemeClr w14:val="tx1"/>
                  </w14:solidFill>
                </w14:textFill>
              </w:rPr>
              <w:t>根据身高电动调节高度</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无噪音</w:t>
            </w:r>
            <w:r>
              <w:rPr>
                <w:rFonts w:hint="eastAsia" w:ascii="宋体" w:hAnsi="宋体" w:eastAsia="宋体" w:cs="宋体"/>
                <w:color w:val="000000" w:themeColor="text1"/>
                <w:sz w:val="22"/>
                <w:szCs w:val="22"/>
                <w:highlight w:val="none"/>
                <w:lang w:eastAsia="zh-CN"/>
                <w14:textFill>
                  <w14:solidFill>
                    <w14:schemeClr w14:val="tx1"/>
                  </w14:solidFill>
                </w14:textFill>
              </w:rPr>
              <w:t>，触摸</w:t>
            </w:r>
            <w:r>
              <w:rPr>
                <w:rFonts w:hint="eastAsia" w:ascii="宋体" w:hAnsi="宋体" w:eastAsia="宋体" w:cs="宋体"/>
                <w:color w:val="000000" w:themeColor="text1"/>
                <w:sz w:val="22"/>
                <w:szCs w:val="22"/>
                <w:highlight w:val="none"/>
                <w14:textFill>
                  <w14:solidFill>
                    <w14:schemeClr w14:val="tx1"/>
                  </w14:solidFill>
                </w14:textFill>
              </w:rPr>
              <w:t>按键式调节</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调节行程</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lang w:val="en-US"/>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0mm</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显示器具备</w:t>
            </w:r>
            <w:r>
              <w:rPr>
                <w:rFonts w:hint="eastAsia" w:ascii="宋体" w:hAnsi="宋体" w:eastAsia="宋体" w:cs="宋体"/>
                <w:color w:val="000000" w:themeColor="text1"/>
                <w:sz w:val="22"/>
                <w:szCs w:val="22"/>
                <w:highlight w:val="none"/>
                <w14:textFill>
                  <w14:solidFill>
                    <w14:schemeClr w14:val="tx1"/>
                  </w14:solidFill>
                </w14:textFill>
              </w:rPr>
              <w:t>0</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-30</w:t>
            </w:r>
            <w:r>
              <w:rPr>
                <w:rFonts w:hint="eastAsia" w:ascii="宋体" w:hAnsi="宋体" w:eastAsia="宋体" w:cs="宋体"/>
                <w:color w:val="000000" w:themeColor="text1"/>
                <w:sz w:val="22"/>
                <w:szCs w:val="22"/>
                <w:highlight w:val="none"/>
                <w:lang w:val="en-US" w:eastAsia="zh-CN"/>
                <w14:textFill>
                  <w14:solidFill>
                    <w14:schemeClr w14:val="tx1"/>
                  </w14:solidFill>
                </w14:textFill>
              </w:rPr>
              <w:t>°电动角</w:t>
            </w:r>
            <w:r>
              <w:rPr>
                <w:rFonts w:hint="eastAsia" w:ascii="宋体" w:hAnsi="宋体" w:eastAsia="宋体" w:cs="宋体"/>
                <w:color w:val="000000" w:themeColor="text1"/>
                <w:sz w:val="22"/>
                <w:szCs w:val="22"/>
                <w:highlight w:val="none"/>
                <w14:textFill>
                  <w14:solidFill>
                    <w14:schemeClr w14:val="tx1"/>
                  </w14:solidFill>
                </w14:textFill>
              </w:rPr>
              <w:t>度</w:t>
            </w:r>
            <w:r>
              <w:rPr>
                <w:rFonts w:hint="eastAsia" w:ascii="宋体" w:hAnsi="宋体" w:eastAsia="宋体" w:cs="宋体"/>
                <w:color w:val="000000" w:themeColor="text1"/>
                <w:sz w:val="22"/>
                <w:szCs w:val="22"/>
                <w:highlight w:val="none"/>
                <w:lang w:val="en-US" w:eastAsia="zh-CN"/>
                <w14:textFill>
                  <w14:solidFill>
                    <w14:schemeClr w14:val="tx1"/>
                  </w14:solidFill>
                </w14:textFill>
              </w:rPr>
              <w:t>调节，满足不同使用</w:t>
            </w:r>
            <w:r>
              <w:rPr>
                <w:rFonts w:hint="eastAsia" w:ascii="宋体" w:hAnsi="宋体" w:eastAsia="宋体" w:cs="宋体"/>
                <w:color w:val="000000" w:themeColor="text1"/>
                <w:sz w:val="22"/>
                <w:szCs w:val="22"/>
                <w:highlight w:val="none"/>
                <w14:textFill>
                  <w14:solidFill>
                    <w14:schemeClr w14:val="tx1"/>
                  </w14:solidFill>
                </w14:textFill>
              </w:rPr>
              <w:t>需求</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4、讲台上方采用一体化双屏显示设计，主书写屏及控制屏上下排布，双屏之间夹角160度， 屏幕采用一整块防眩光全钢化防爆玻璃面板，厚度≥3mm，</w:t>
            </w:r>
            <w:r>
              <w:rPr>
                <w:rFonts w:hint="eastAsia" w:ascii="宋体" w:hAnsi="宋体" w:eastAsia="宋体" w:cs="宋体"/>
                <w:color w:val="000000" w:themeColor="text1"/>
                <w:sz w:val="22"/>
                <w:szCs w:val="22"/>
                <w:highlight w:val="none"/>
                <w14:textFill>
                  <w14:solidFill>
                    <w14:schemeClr w14:val="tx1"/>
                  </w14:solidFill>
                </w14:textFill>
              </w:rPr>
              <w:t>防指纹、防反光处理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铝合金边框</w:t>
            </w:r>
            <w:r>
              <w:rPr>
                <w:rFonts w:hint="eastAsia" w:ascii="宋体" w:hAnsi="宋体" w:eastAsia="宋体" w:cs="宋体"/>
                <w:color w:val="000000" w:themeColor="text1"/>
                <w:sz w:val="22"/>
                <w:szCs w:val="22"/>
                <w:highlight w:val="none"/>
                <w14:textFill>
                  <w14:solidFill>
                    <w14:schemeClr w14:val="tx1"/>
                  </w14:solidFill>
                </w14:textFill>
              </w:rPr>
              <w:t>无缝隙全贴合技术</w:t>
            </w:r>
            <w:r>
              <w:rPr>
                <w:rFonts w:hint="eastAsia" w:ascii="宋体" w:hAnsi="宋体" w:eastAsia="宋体" w:cs="宋体"/>
                <w:color w:val="000000" w:themeColor="text1"/>
                <w:sz w:val="22"/>
                <w:szCs w:val="22"/>
                <w:highlight w:val="none"/>
                <w:lang w:val="en-US" w:eastAsia="zh-CN"/>
                <w14:textFill>
                  <w14:solidFill>
                    <w14:schemeClr w14:val="tx1"/>
                  </w14:solidFill>
                </w14:textFill>
              </w:rPr>
              <w:t>设计美观；双屏下方设置≥23.8英寸电容触摸屏幕为主屏幕，支持至少十点同时触摸，显示比例16:9，物理分辨率1920*1080；上方设置≥19.1寸安卓系统液晶触控面板为副屏幕，物理分辨率1920*360，显示比例16:3；屏幕最大亮度≥250cd/m²，对比度≥1000:1；</w:t>
            </w:r>
            <w:r>
              <w:rPr>
                <w:rFonts w:hint="eastAsia" w:ascii="宋体" w:hAnsi="宋体" w:eastAsia="宋体" w:cs="宋体"/>
                <w:color w:val="000000" w:themeColor="text1"/>
                <w:sz w:val="22"/>
                <w:szCs w:val="22"/>
                <w:highlight w:val="none"/>
                <w14:textFill>
                  <w14:solidFill>
                    <w14:schemeClr w14:val="tx1"/>
                  </w14:solidFill>
                </w14:textFill>
              </w:rPr>
              <w:t>书写屏要求支持电容和主动式电容笔触控方式，可以用手指触控操作，也可以使用专用笔触控及书写</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配套一支无源主动式电容笔</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支持笔尖书写，按键擦除应用，一笔两用</w:t>
            </w:r>
            <w:r>
              <w:rPr>
                <w:rFonts w:hint="eastAsia" w:ascii="宋体" w:hAnsi="宋体" w:eastAsia="宋体" w:cs="宋体"/>
                <w:color w:val="000000" w:themeColor="text1"/>
                <w:sz w:val="22"/>
                <w:szCs w:val="22"/>
                <w:highlight w:val="none"/>
                <w:lang w:eastAsia="zh-CN"/>
                <w14:textFill>
                  <w14:solidFill>
                    <w14:schemeClr w14:val="tx1"/>
                  </w14:solidFill>
                </w14:textFill>
              </w:rPr>
              <w:t>，并</w:t>
            </w:r>
            <w:r>
              <w:rPr>
                <w:rFonts w:hint="eastAsia" w:ascii="宋体" w:hAnsi="宋体" w:eastAsia="宋体" w:cs="宋体"/>
                <w:color w:val="000000" w:themeColor="text1"/>
                <w:sz w:val="22"/>
                <w:szCs w:val="22"/>
                <w:highlight w:val="none"/>
                <w:lang w:val="en-US" w:eastAsia="zh-CN"/>
                <w14:textFill>
                  <w14:solidFill>
                    <w14:schemeClr w14:val="tx1"/>
                  </w14:solidFill>
                </w14:textFill>
              </w:rPr>
              <w:t>配</w:t>
            </w:r>
            <w:r>
              <w:rPr>
                <w:rFonts w:hint="eastAsia" w:ascii="宋体" w:hAnsi="宋体" w:eastAsia="宋体" w:cs="宋体"/>
                <w:color w:val="000000" w:themeColor="text1"/>
                <w:sz w:val="22"/>
                <w:szCs w:val="22"/>
                <w:highlight w:val="none"/>
                <w14:textFill>
                  <w14:solidFill>
                    <w14:schemeClr w14:val="tx1"/>
                  </w14:solidFill>
                </w14:textFill>
              </w:rPr>
              <w:t>有</w:t>
            </w:r>
            <w:r>
              <w:rPr>
                <w:rFonts w:hint="eastAsia" w:ascii="宋体" w:hAnsi="宋体" w:eastAsia="宋体" w:cs="宋体"/>
                <w:color w:val="000000" w:themeColor="text1"/>
                <w:sz w:val="22"/>
                <w:szCs w:val="22"/>
                <w:highlight w:val="none"/>
                <w:lang w:eastAsia="zh-CN"/>
                <w14:textFill>
                  <w14:solidFill>
                    <w14:schemeClr w14:val="tx1"/>
                  </w14:solidFill>
                </w14:textFill>
              </w:rPr>
              <w:t>专用</w:t>
            </w:r>
            <w:r>
              <w:rPr>
                <w:rFonts w:hint="eastAsia" w:ascii="宋体" w:hAnsi="宋体" w:eastAsia="宋体" w:cs="宋体"/>
                <w:color w:val="000000" w:themeColor="text1"/>
                <w:sz w:val="22"/>
                <w:szCs w:val="22"/>
                <w:highlight w:val="none"/>
                <w14:textFill>
                  <w14:solidFill>
                    <w14:schemeClr w14:val="tx1"/>
                  </w14:solidFill>
                </w14:textFill>
              </w:rPr>
              <w:t>笔架</w:t>
            </w:r>
            <w:r>
              <w:rPr>
                <w:rFonts w:hint="eastAsia" w:ascii="宋体" w:hAnsi="宋体" w:eastAsia="宋体" w:cs="宋体"/>
                <w:color w:val="000000" w:themeColor="text1"/>
                <w:sz w:val="22"/>
                <w:szCs w:val="22"/>
                <w:highlight w:val="none"/>
                <w:lang w:eastAsia="zh-CN"/>
                <w14:textFill>
                  <w14:solidFill>
                    <w14:schemeClr w14:val="tx1"/>
                  </w14:solidFill>
                </w14:textFill>
              </w:rPr>
              <w:t>，方便存放</w:t>
            </w:r>
            <w:r>
              <w:rPr>
                <w:rFonts w:hint="eastAsia" w:ascii="宋体" w:hAnsi="宋体" w:eastAsia="宋体" w:cs="宋体"/>
                <w:color w:val="000000" w:themeColor="text1"/>
                <w:sz w:val="22"/>
                <w:szCs w:val="22"/>
                <w:highlight w:val="none"/>
                <w14:textFill>
                  <w14:solidFill>
                    <w14:schemeClr w14:val="tx1"/>
                  </w14:solidFill>
                </w14:textFill>
              </w:rPr>
              <w:t>；</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eastAsia="zh-CN"/>
                <w14:textFill>
                  <w14:solidFill>
                    <w14:schemeClr w14:val="tx1"/>
                  </w14:solidFill>
                </w14:textFill>
              </w:rPr>
              <w:t>副屏为</w:t>
            </w:r>
            <w:r>
              <w:rPr>
                <w:rFonts w:hint="eastAsia" w:ascii="宋体" w:hAnsi="宋体" w:eastAsia="宋体" w:cs="宋体"/>
                <w:color w:val="000000" w:themeColor="text1"/>
                <w:sz w:val="22"/>
                <w:szCs w:val="22"/>
                <w:highlight w:val="none"/>
                <w:lang w:val="en-US" w:eastAsia="zh-CN"/>
                <w14:textFill>
                  <w14:solidFill>
                    <w14:schemeClr w14:val="tx1"/>
                  </w14:solidFill>
                </w14:textFill>
              </w:rPr>
              <w:t>19.1寸</w:t>
            </w:r>
            <w:r>
              <w:rPr>
                <w:rFonts w:hint="eastAsia" w:ascii="宋体" w:hAnsi="宋体" w:eastAsia="宋体" w:cs="宋体"/>
                <w:color w:val="000000" w:themeColor="text1"/>
                <w:sz w:val="22"/>
                <w:szCs w:val="22"/>
                <w:highlight w:val="none"/>
                <w14:textFill>
                  <w14:solidFill>
                    <w14:schemeClr w14:val="tx1"/>
                  </w14:solidFill>
                </w14:textFill>
              </w:rPr>
              <w:t>安卓触摸面板，具有电脑第二触摸屏</w:t>
            </w:r>
            <w:r>
              <w:rPr>
                <w:rFonts w:hint="eastAsia" w:ascii="宋体" w:hAnsi="宋体" w:eastAsia="宋体" w:cs="宋体"/>
                <w:color w:val="000000" w:themeColor="text1"/>
                <w:sz w:val="22"/>
                <w:szCs w:val="22"/>
                <w:highlight w:val="none"/>
                <w:lang w:eastAsia="zh-CN"/>
                <w14:textFill>
                  <w14:solidFill>
                    <w14:schemeClr w14:val="tx1"/>
                  </w14:solidFill>
                </w14:textFill>
              </w:rPr>
              <w:t>、显示屏</w:t>
            </w:r>
            <w:r>
              <w:rPr>
                <w:rFonts w:hint="eastAsia" w:ascii="宋体" w:hAnsi="宋体" w:eastAsia="宋体" w:cs="宋体"/>
                <w:color w:val="000000" w:themeColor="text1"/>
                <w:sz w:val="22"/>
                <w:szCs w:val="22"/>
                <w:highlight w:val="none"/>
                <w14:textFill>
                  <w14:solidFill>
                    <w14:schemeClr w14:val="tx1"/>
                  </w14:solidFill>
                </w14:textFill>
              </w:rPr>
              <w:t>功能，又</w:t>
            </w:r>
            <w:r>
              <w:rPr>
                <w:rFonts w:hint="eastAsia" w:ascii="宋体" w:hAnsi="宋体" w:eastAsia="宋体" w:cs="宋体"/>
                <w:color w:val="000000" w:themeColor="text1"/>
                <w:sz w:val="22"/>
                <w:szCs w:val="22"/>
                <w:highlight w:val="none"/>
                <w:lang w:val="en-US" w:eastAsia="zh-CN"/>
                <w14:textFill>
                  <w14:solidFill>
                    <w14:schemeClr w14:val="tx1"/>
                  </w14:solidFill>
                </w14:textFill>
              </w:rPr>
              <w:t>具备</w:t>
            </w:r>
            <w:r>
              <w:rPr>
                <w:rFonts w:hint="eastAsia" w:ascii="宋体" w:hAnsi="宋体" w:eastAsia="宋体" w:cs="宋体"/>
                <w:color w:val="000000" w:themeColor="text1"/>
                <w:sz w:val="22"/>
                <w:szCs w:val="22"/>
                <w:highlight w:val="none"/>
                <w14:textFill>
                  <w14:solidFill>
                    <w14:schemeClr w14:val="tx1"/>
                  </w14:solidFill>
                </w14:textFill>
              </w:rPr>
              <w:t>中控控制面板</w:t>
            </w:r>
            <w:r>
              <w:rPr>
                <w:rFonts w:hint="eastAsia" w:ascii="宋体" w:hAnsi="宋体" w:eastAsia="宋体" w:cs="宋体"/>
                <w:color w:val="000000" w:themeColor="text1"/>
                <w:sz w:val="22"/>
                <w:szCs w:val="22"/>
                <w:highlight w:val="none"/>
                <w:lang w:eastAsia="zh-CN"/>
                <w14:textFill>
                  <w14:solidFill>
                    <w14:schemeClr w14:val="tx1"/>
                  </w14:solidFill>
                </w14:textFill>
              </w:rPr>
              <w:t>功能；</w:t>
            </w:r>
            <w:r>
              <w:rPr>
                <w:rFonts w:hint="eastAsia" w:ascii="宋体" w:hAnsi="宋体" w:eastAsia="宋体" w:cs="宋体"/>
                <w:color w:val="000000" w:themeColor="text1"/>
                <w:sz w:val="22"/>
                <w:szCs w:val="22"/>
                <w:highlight w:val="none"/>
                <w14:textFill>
                  <w14:solidFill>
                    <w14:schemeClr w14:val="tx1"/>
                  </w14:solidFill>
                </w14:textFill>
              </w:rPr>
              <w:t>控制讲台升降调节、</w:t>
            </w:r>
            <w:r>
              <w:rPr>
                <w:rFonts w:hint="eastAsia" w:ascii="宋体" w:hAnsi="宋体" w:eastAsia="宋体" w:cs="宋体"/>
                <w:color w:val="000000" w:themeColor="text1"/>
                <w:sz w:val="22"/>
                <w:szCs w:val="22"/>
                <w:highlight w:val="none"/>
                <w:lang w:val="en-US" w:eastAsia="zh-CN"/>
                <w14:textFill>
                  <w14:solidFill>
                    <w14:schemeClr w14:val="tx1"/>
                  </w14:solidFill>
                </w14:textFill>
              </w:rPr>
              <w:t>显示器</w:t>
            </w:r>
            <w:r>
              <w:rPr>
                <w:rFonts w:hint="eastAsia" w:ascii="宋体" w:hAnsi="宋体" w:eastAsia="宋体" w:cs="宋体"/>
                <w:color w:val="000000" w:themeColor="text1"/>
                <w:sz w:val="22"/>
                <w:szCs w:val="22"/>
                <w:highlight w:val="none"/>
                <w14:textFill>
                  <w14:solidFill>
                    <w14:schemeClr w14:val="tx1"/>
                  </w14:solidFill>
                </w14:textFill>
              </w:rPr>
              <w:t>角度调节，</w:t>
            </w:r>
            <w:r>
              <w:rPr>
                <w:rFonts w:hint="eastAsia" w:ascii="宋体" w:hAnsi="宋体" w:eastAsia="宋体" w:cs="宋体"/>
                <w:color w:val="000000" w:themeColor="text1"/>
                <w:sz w:val="22"/>
                <w:szCs w:val="22"/>
                <w:highlight w:val="none"/>
                <w:lang w:eastAsia="zh-CN"/>
                <w14:textFill>
                  <w14:solidFill>
                    <w14:schemeClr w14:val="tx1"/>
                  </w14:solidFill>
                </w14:textFill>
              </w:rPr>
              <w:t>屏幕批注，</w:t>
            </w:r>
            <w:r>
              <w:rPr>
                <w:rFonts w:hint="eastAsia" w:ascii="宋体" w:hAnsi="宋体" w:eastAsia="宋体" w:cs="宋体"/>
                <w:color w:val="000000" w:themeColor="text1"/>
                <w:sz w:val="22"/>
                <w:szCs w:val="22"/>
                <w:highlight w:val="none"/>
                <w:lang w:val="en-US" w:eastAsia="zh-CN"/>
                <w14:textFill>
                  <w14:solidFill>
                    <w14:schemeClr w14:val="tx1"/>
                  </w14:solidFill>
                </w14:textFill>
              </w:rPr>
              <w:t>聚光</w:t>
            </w:r>
            <w:r>
              <w:rPr>
                <w:rFonts w:hint="eastAsia" w:ascii="宋体" w:hAnsi="宋体" w:eastAsia="宋体" w:cs="宋体"/>
                <w:color w:val="000000" w:themeColor="text1"/>
                <w:sz w:val="22"/>
                <w:szCs w:val="22"/>
                <w:highlight w:val="none"/>
                <w14:textFill>
                  <w14:solidFill>
                    <w14:schemeClr w14:val="tx1"/>
                  </w14:solidFill>
                </w14:textFill>
              </w:rPr>
              <w:t>灯</w:t>
            </w:r>
            <w:r>
              <w:rPr>
                <w:rFonts w:hint="eastAsia" w:ascii="宋体" w:hAnsi="宋体" w:eastAsia="宋体" w:cs="宋体"/>
                <w:color w:val="000000" w:themeColor="text1"/>
                <w:sz w:val="22"/>
                <w:szCs w:val="22"/>
                <w:highlight w:val="none"/>
                <w:lang w:eastAsia="zh-CN"/>
                <w14:textFill>
                  <w14:solidFill>
                    <w14:schemeClr w14:val="tx1"/>
                  </w14:solidFill>
                </w14:textFill>
              </w:rPr>
              <w:t>，倒计时，</w:t>
            </w:r>
            <w:r>
              <w:rPr>
                <w:rFonts w:hint="eastAsia" w:ascii="宋体" w:hAnsi="宋体" w:eastAsia="宋体" w:cs="宋体"/>
                <w:color w:val="000000" w:themeColor="text1"/>
                <w:sz w:val="22"/>
                <w:szCs w:val="22"/>
                <w:highlight w:val="none"/>
                <w14:textFill>
                  <w14:solidFill>
                    <w14:schemeClr w14:val="tx1"/>
                  </w14:solidFill>
                </w14:textFill>
              </w:rPr>
              <w:t>可扩展灯光、窗帘、空调、大屏等物联网管控功能；</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lang w:eastAsia="zh-CN"/>
                <w14:textFill>
                  <w14:solidFill>
                    <w14:schemeClr w14:val="tx1"/>
                  </w14:solidFill>
                </w14:textFill>
              </w:rPr>
              <w:t>一体机</w:t>
            </w:r>
            <w:r>
              <w:rPr>
                <w:rFonts w:hint="eastAsia" w:ascii="宋体" w:hAnsi="宋体" w:eastAsia="宋体" w:cs="宋体"/>
                <w:color w:val="000000" w:themeColor="text1"/>
                <w:sz w:val="22"/>
                <w:szCs w:val="22"/>
                <w:highlight w:val="none"/>
                <w14:textFill>
                  <w14:solidFill>
                    <w14:schemeClr w14:val="tx1"/>
                  </w14:solidFill>
                </w14:textFill>
              </w:rPr>
              <w:t>内置电脑主机，Intel 酷睿i</w:t>
            </w:r>
            <w:r>
              <w:rPr>
                <w:rFonts w:hint="eastAsia" w:ascii="宋体" w:hAnsi="宋体" w:eastAsia="宋体" w:cs="宋体"/>
                <w:color w:val="000000" w:themeColor="text1"/>
                <w:sz w:val="22"/>
                <w:szCs w:val="22"/>
                <w:highlight w:val="none"/>
                <w:lang w:val="en-US" w:eastAsia="zh-CN"/>
                <w14:textFill>
                  <w14:solidFill>
                    <w14:schemeClr w14:val="tx1"/>
                  </w14:solidFill>
                </w14:textFill>
              </w:rPr>
              <w:t>5 11代处理器；8</w:t>
            </w:r>
            <w:r>
              <w:rPr>
                <w:rFonts w:hint="eastAsia" w:ascii="宋体" w:hAnsi="宋体" w:eastAsia="宋体" w:cs="宋体"/>
                <w:color w:val="000000" w:themeColor="text1"/>
                <w:sz w:val="22"/>
                <w:szCs w:val="22"/>
                <w:highlight w:val="none"/>
                <w14:textFill>
                  <w14:solidFill>
                    <w14:schemeClr w14:val="tx1"/>
                  </w14:solidFill>
                </w14:textFill>
              </w:rPr>
              <w:t>G DDR</w:t>
            </w:r>
            <w:r>
              <w:rPr>
                <w:rFonts w:hint="eastAsia" w:ascii="宋体" w:hAnsi="宋体" w:eastAsia="宋体" w:cs="宋体"/>
                <w:color w:val="000000" w:themeColor="text1"/>
                <w:sz w:val="22"/>
                <w:szCs w:val="22"/>
                <w:highlight w:val="none"/>
                <w:lang w:val="en-US" w:eastAsia="zh-CN"/>
                <w14:textFill>
                  <w14:solidFill>
                    <w14:schemeClr w14:val="tx1"/>
                  </w14:solidFill>
                </w14:textFill>
              </w:rPr>
              <w:t>4内存，512G固态硬盘，集成显卡；</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7、配</w:t>
            </w:r>
            <w:r>
              <w:rPr>
                <w:rFonts w:hint="eastAsia" w:ascii="宋体" w:hAnsi="宋体" w:eastAsia="宋体" w:cs="宋体"/>
                <w:color w:val="000000" w:themeColor="text1"/>
                <w:sz w:val="22"/>
                <w:szCs w:val="22"/>
                <w:highlight w:val="none"/>
                <w14:textFill>
                  <w14:solidFill>
                    <w14:schemeClr w14:val="tx1"/>
                  </w14:solidFill>
                </w14:textFill>
              </w:rPr>
              <w:t>有1路</w:t>
            </w:r>
            <w:r>
              <w:rPr>
                <w:rFonts w:hint="eastAsia" w:ascii="宋体" w:hAnsi="宋体" w:eastAsia="宋体" w:cs="宋体"/>
                <w:color w:val="000000" w:themeColor="text1"/>
                <w:sz w:val="22"/>
                <w:szCs w:val="22"/>
                <w:highlight w:val="none"/>
                <w:lang w:eastAsia="zh-CN"/>
                <w14:textFill>
                  <w14:solidFill>
                    <w14:schemeClr w14:val="tx1"/>
                  </w14:solidFill>
                </w14:textFill>
              </w:rPr>
              <w:t>鹅颈麦卡农座</w:t>
            </w:r>
            <w:r>
              <w:rPr>
                <w:rFonts w:hint="eastAsia" w:ascii="宋体" w:hAnsi="宋体" w:eastAsia="宋体" w:cs="宋体"/>
                <w:color w:val="000000" w:themeColor="text1"/>
                <w:sz w:val="22"/>
                <w:szCs w:val="22"/>
                <w:highlight w:val="none"/>
                <w14:textFill>
                  <w14:solidFill>
                    <w14:schemeClr w14:val="tx1"/>
                  </w14:solidFill>
                </w14:textFill>
              </w:rPr>
              <w:t>接口</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路</w:t>
            </w:r>
            <w:r>
              <w:rPr>
                <w:rFonts w:hint="eastAsia" w:ascii="宋体" w:hAnsi="宋体" w:eastAsia="宋体" w:cs="宋体"/>
                <w:color w:val="000000" w:themeColor="text1"/>
                <w:sz w:val="22"/>
                <w:szCs w:val="22"/>
                <w:highlight w:val="none"/>
                <w14:textFill>
                  <w14:solidFill>
                    <w14:schemeClr w14:val="tx1"/>
                  </w14:solidFill>
                </w14:textFill>
              </w:rPr>
              <w:t>USB3.0接口</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路</w:t>
            </w:r>
            <w:r>
              <w:rPr>
                <w:rFonts w:hint="eastAsia" w:ascii="宋体" w:hAnsi="宋体" w:eastAsia="宋体" w:cs="宋体"/>
                <w:color w:val="000000" w:themeColor="text1"/>
                <w:sz w:val="22"/>
                <w:szCs w:val="22"/>
                <w:highlight w:val="none"/>
                <w14:textFill>
                  <w14:solidFill>
                    <w14:schemeClr w14:val="tx1"/>
                  </w14:solidFill>
                </w14:textFill>
              </w:rPr>
              <w:t>Type-C快充口</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支持60W快充</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内置IC读卡器；</w:t>
            </w:r>
          </w:p>
          <w:p>
            <w:pPr>
              <w:pStyle w:val="9"/>
              <w:numPr>
                <w:ilvl w:val="0"/>
                <w:numId w:val="0"/>
              </w:numPr>
              <w:ind w:leftChars="0"/>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多屏混合异显：摆脱传统的“复制”、“扩展”等简单的屏幕扩展功能，实现灵活的展示屏控制功能，双主屏中一个屏作为发言者内容排演屏，帮助发言者梳理发言内容，预演发言步骤、修改发言资源等，另一个主屏作为展示屏的同步屏，实现发言者所见即聆听者所见，帮助发言人全面把控演讲画面；</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9、拖入放映：可直接将文件、视频、ppt、网址等直接拖入到指定区域，通过极其简单的控制逻辑控制同步主屏和展示屏的显示内容；</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10、屏幕批注：可直接在同步主屏上批注内容，发言者和观众画面同步，做到所见即所得，帮助发言人做到对投放内容的精细讲解和对画面的精准把控；</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11、配备pptShow软件：显示ppt的当前页下一页和备注，观众只可看到当前页内容，可以查看所有页，动画，一键切换；</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12、聚光灯：遮罩其他区域，展示画面的特定范围，帮助发言人引导观众注意力，把握演讲进度；</w:t>
            </w:r>
          </w:p>
          <w:p>
            <w:pPr>
              <w:adjustRightInd w:val="0"/>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13、为保证兼容性及稳定性，一体机需与触控双屏系统为同一品牌生产厂家。</w:t>
            </w:r>
          </w:p>
        </w:tc>
      </w:tr>
      <w:tr>
        <w:tblPrEx>
          <w:tblCellMar>
            <w:top w:w="0" w:type="dxa"/>
            <w:left w:w="0" w:type="dxa"/>
            <w:bottom w:w="0" w:type="dxa"/>
            <w:right w:w="0" w:type="dxa"/>
          </w:tblCellMar>
        </w:tblPrEx>
        <w:trPr>
          <w:trHeight w:val="945"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会议终端</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2"/>
              </w:num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采用10.1门牌设计，支持触控</w:t>
            </w:r>
          </w:p>
          <w:p>
            <w:pPr>
              <w:numPr>
                <w:ilvl w:val="0"/>
                <w:numId w:val="2"/>
              </w:num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亮度不低于280cd/m²；内置系统不低于安卓8.0，</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3、具备摄像头以及NFC读取接口，支持刷卡与人脸识别</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4、整机支持POE供电，适合于快速安装部署场景</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5、会议</w:t>
            </w:r>
            <w:r>
              <w:rPr>
                <w:rFonts w:hint="eastAsia" w:ascii="宋体" w:hAnsi="宋体" w:eastAsia="宋体" w:cs="宋体"/>
                <w:color w:val="000000" w:themeColor="text1"/>
                <w:sz w:val="22"/>
                <w:szCs w:val="22"/>
                <w:highlight w:val="none"/>
                <w14:textFill>
                  <w14:solidFill>
                    <w14:schemeClr w14:val="tx1"/>
                  </w14:solidFill>
                </w14:textFill>
              </w:rPr>
              <w:t>议</w:t>
            </w:r>
            <w:r>
              <w:rPr>
                <w:rFonts w:hint="eastAsia" w:ascii="宋体" w:hAnsi="宋体" w:eastAsia="宋体" w:cs="宋体"/>
                <w:color w:val="000000" w:themeColor="text1"/>
                <w:sz w:val="22"/>
                <w:szCs w:val="22"/>
                <w:highlight w:val="none"/>
                <w:lang w:val="en-US" w:eastAsia="zh-CN"/>
                <w14:textFill>
                  <w14:solidFill>
                    <w14:schemeClr w14:val="tx1"/>
                  </w14:solidFill>
                </w14:textFill>
              </w:rPr>
              <w:t>预约</w:t>
            </w:r>
            <w:r>
              <w:rPr>
                <w:rFonts w:hint="eastAsia" w:ascii="宋体" w:hAnsi="宋体" w:eastAsia="宋体" w:cs="宋体"/>
                <w:color w:val="000000" w:themeColor="text1"/>
                <w:sz w:val="22"/>
                <w:szCs w:val="22"/>
                <w:highlight w:val="none"/>
                <w14:textFill>
                  <w14:solidFill>
                    <w14:schemeClr w14:val="tx1"/>
                  </w14:solidFill>
                </w14:textFill>
              </w:rPr>
              <w:t>信息</w:t>
            </w:r>
            <w:r>
              <w:rPr>
                <w:rFonts w:hint="eastAsia" w:ascii="宋体" w:hAnsi="宋体" w:eastAsia="宋体" w:cs="宋体"/>
                <w:color w:val="000000" w:themeColor="text1"/>
                <w:sz w:val="22"/>
                <w:szCs w:val="22"/>
                <w:highlight w:val="none"/>
                <w:lang w:val="en-US" w:eastAsia="zh-CN"/>
                <w14:textFill>
                  <w14:solidFill>
                    <w14:schemeClr w14:val="tx1"/>
                  </w14:solidFill>
                </w14:textFill>
              </w:rPr>
              <w:t>支持</w:t>
            </w:r>
            <w:r>
              <w:rPr>
                <w:rFonts w:hint="eastAsia" w:ascii="宋体" w:hAnsi="宋体" w:eastAsia="宋体" w:cs="宋体"/>
                <w:color w:val="000000" w:themeColor="text1"/>
                <w:sz w:val="22"/>
                <w:szCs w:val="22"/>
                <w:highlight w:val="none"/>
                <w14:textFill>
                  <w14:solidFill>
                    <w14:schemeClr w14:val="tx1"/>
                  </w14:solidFill>
                </w14:textFill>
              </w:rPr>
              <w:t>关联</w:t>
            </w:r>
            <w:r>
              <w:rPr>
                <w:rFonts w:hint="eastAsia" w:ascii="宋体" w:hAnsi="宋体" w:eastAsia="宋体" w:cs="宋体"/>
                <w:color w:val="000000" w:themeColor="text1"/>
                <w:sz w:val="22"/>
                <w:szCs w:val="22"/>
                <w:highlight w:val="none"/>
                <w:lang w:val="en-US" w:eastAsia="zh-CN"/>
                <w14:textFill>
                  <w14:solidFill>
                    <w14:schemeClr w14:val="tx1"/>
                  </w14:solidFill>
                </w14:textFill>
              </w:rPr>
              <w:t>会议门牌等设备，实现会议门牌实时显示会议信息</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支持查看会议室预约信息，</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并根据会议室状态、架构等进行筛选</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7、支持会议预约审批功能， 支持添加审批流程添加审批人、可预约人，并支持设定审批规则</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8、支持通过邮件、短信、公众号等发送会议通知</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9、支持设定会议门牌，并提供≥4种模板供选择</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10、支持会议门牌支持显示会议主题、会议时间、会议签 到码等信息</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11、支持设定会议门牌壁纸， 提供名画供客户选择且支持自定义壁纸</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12、支持预览会议数据， 显示会议时长、平均会议时长等信息</w:t>
            </w:r>
          </w:p>
        </w:tc>
      </w:tr>
      <w:tr>
        <w:tblPrEx>
          <w:tblCellMar>
            <w:top w:w="0" w:type="dxa"/>
            <w:left w:w="0" w:type="dxa"/>
            <w:bottom w:w="0" w:type="dxa"/>
            <w:right w:w="0" w:type="dxa"/>
          </w:tblCellMar>
        </w:tblPrEx>
        <w:trPr>
          <w:trHeight w:val="945" w:hRule="atLeast"/>
          <w:jc w:val="center"/>
        </w:trPr>
        <w:tc>
          <w:tcPr>
            <w:tcW w:w="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传屏终端</w:t>
            </w:r>
          </w:p>
        </w:tc>
        <w:tc>
          <w:tcPr>
            <w:tcW w:w="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台</w:t>
            </w:r>
          </w:p>
        </w:tc>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p>
        </w:tc>
        <w:tc>
          <w:tcPr>
            <w:tcW w:w="6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val="zh-TW" w:eastAsia="zh-CN"/>
                <w14:textFill>
                  <w14:solidFill>
                    <w14:schemeClr w14:val="tx1"/>
                  </w14:solidFill>
                </w14:textFill>
              </w:rPr>
              <w:t>产品</w:t>
            </w:r>
            <w:r>
              <w:rPr>
                <w:rFonts w:hint="eastAsia" w:ascii="宋体" w:hAnsi="宋体" w:eastAsia="宋体" w:cs="宋体"/>
                <w:color w:val="000000" w:themeColor="text1"/>
                <w:sz w:val="22"/>
                <w:szCs w:val="22"/>
                <w:highlight w:val="none"/>
                <w:lang w:val="zh-TW" w:eastAsia="zh-TW"/>
                <w14:textFill>
                  <w14:solidFill>
                    <w14:schemeClr w14:val="tx1"/>
                  </w14:solidFill>
                </w14:textFill>
              </w:rPr>
              <w:t>内置接收模块，除无线传屏器</w:t>
            </w:r>
            <w:r>
              <w:rPr>
                <w:rFonts w:hint="eastAsia" w:ascii="宋体" w:hAnsi="宋体" w:eastAsia="宋体" w:cs="宋体"/>
                <w:color w:val="000000" w:themeColor="text1"/>
                <w:sz w:val="22"/>
                <w:szCs w:val="22"/>
                <w:highlight w:val="none"/>
                <w:lang w:val="zh-TW" w:eastAsia="zh-CN"/>
                <w14:textFill>
                  <w14:solidFill>
                    <w14:schemeClr w14:val="tx1"/>
                  </w14:solidFill>
                </w14:textFill>
              </w:rPr>
              <w:t>和经H</w:t>
            </w:r>
            <w:r>
              <w:rPr>
                <w:rFonts w:hint="eastAsia" w:ascii="宋体" w:hAnsi="宋体" w:eastAsia="宋体" w:cs="宋体"/>
                <w:color w:val="000000" w:themeColor="text1"/>
                <w:sz w:val="22"/>
                <w:szCs w:val="22"/>
                <w:highlight w:val="none"/>
                <w:lang w:val="zh-TW" w:eastAsia="zh-TW"/>
                <w14:textFill>
                  <w14:solidFill>
                    <w14:schemeClr w14:val="tx1"/>
                  </w14:solidFill>
                </w14:textFill>
              </w:rPr>
              <w:t>DMI</w:t>
            </w:r>
            <w:r>
              <w:rPr>
                <w:rFonts w:hint="eastAsia" w:ascii="宋体" w:hAnsi="宋体" w:eastAsia="宋体" w:cs="宋体"/>
                <w:color w:val="000000" w:themeColor="text1"/>
                <w:sz w:val="22"/>
                <w:szCs w:val="22"/>
                <w:highlight w:val="none"/>
                <w:lang w:val="zh-TW" w:eastAsia="zh-CN"/>
                <w14:textFill>
                  <w14:solidFill>
                    <w14:schemeClr w14:val="tx1"/>
                  </w14:solidFill>
                </w14:textFill>
              </w:rPr>
              <w:t>线连接的外接显示设备</w:t>
            </w:r>
            <w:r>
              <w:rPr>
                <w:rFonts w:hint="eastAsia" w:ascii="宋体" w:hAnsi="宋体" w:eastAsia="宋体" w:cs="宋体"/>
                <w:color w:val="000000" w:themeColor="text1"/>
                <w:sz w:val="22"/>
                <w:szCs w:val="22"/>
                <w:highlight w:val="none"/>
                <w:lang w:val="zh-TW" w:eastAsia="zh-TW"/>
                <w14:textFill>
                  <w14:solidFill>
                    <w14:schemeClr w14:val="tx1"/>
                  </w14:solidFill>
                </w14:textFill>
              </w:rPr>
              <w:t>外不需要连接任何附加设备，可实现外部电脑音视频信号实时传输</w:t>
            </w:r>
            <w:r>
              <w:rPr>
                <w:rFonts w:hint="eastAsia" w:ascii="宋体" w:hAnsi="宋体" w:eastAsia="宋体" w:cs="宋体"/>
                <w:color w:val="000000" w:themeColor="text1"/>
                <w:sz w:val="22"/>
                <w:szCs w:val="22"/>
                <w:highlight w:val="none"/>
                <w:lang w:val="zh-TW" w:eastAsia="zh-CN"/>
                <w14:textFill>
                  <w14:solidFill>
                    <w14:schemeClr w14:val="tx1"/>
                  </w14:solidFill>
                </w14:textFill>
              </w:rPr>
              <w:t>到外接设备</w:t>
            </w:r>
            <w:r>
              <w:rPr>
                <w:rFonts w:hint="eastAsia" w:ascii="宋体" w:hAnsi="宋体" w:eastAsia="宋体" w:cs="宋体"/>
                <w:color w:val="000000" w:themeColor="text1"/>
                <w:sz w:val="22"/>
                <w:szCs w:val="22"/>
                <w:highlight w:val="none"/>
                <w:lang w:val="zh-TW" w:eastAsia="zh-TW"/>
                <w14:textFill>
                  <w14:solidFill>
                    <w14:schemeClr w14:val="tx1"/>
                  </w14:solidFill>
                </w14:textFill>
              </w:rPr>
              <w:t>上。</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zh-TW" w:eastAsia="zh-TW"/>
                <w14:textFill>
                  <w14:solidFill>
                    <w14:schemeClr w14:val="tx1"/>
                  </w14:solidFill>
                </w14:textFill>
              </w:rPr>
              <w:t>整机支持移动设备无线投屏功能，不需要外接设备。安卓设备、</w:t>
            </w:r>
            <w:r>
              <w:rPr>
                <w:rFonts w:hint="eastAsia" w:ascii="宋体" w:hAnsi="宋体" w:eastAsia="宋体" w:cs="宋体"/>
                <w:color w:val="000000" w:themeColor="text1"/>
                <w:sz w:val="22"/>
                <w:szCs w:val="22"/>
                <w:highlight w:val="none"/>
                <w:lang w:val="en-US" w:eastAsia="zh-CN"/>
                <w14:textFill>
                  <w14:solidFill>
                    <w14:schemeClr w14:val="tx1"/>
                  </w14:solidFill>
                </w14:textFill>
              </w:rPr>
              <w:t>iPhone/iPad</w:t>
            </w:r>
            <w:r>
              <w:rPr>
                <w:rFonts w:hint="eastAsia" w:ascii="宋体" w:hAnsi="宋体" w:eastAsia="宋体" w:cs="宋体"/>
                <w:color w:val="000000" w:themeColor="text1"/>
                <w:sz w:val="22"/>
                <w:szCs w:val="22"/>
                <w:highlight w:val="none"/>
                <w:lang w:val="zh-TW" w:eastAsia="zh-TW"/>
                <w14:textFill>
                  <w14:solidFill>
                    <w14:schemeClr w14:val="tx1"/>
                  </w14:solidFill>
                </w14:textFill>
              </w:rPr>
              <w:t>等设备通过无线WIFI热点进行传输。用户可快速将文档、图片、音乐、视频、桌面等内容投到会议平板上。</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3.整机支持局域网传屏，手机、电脑可通过软件进行局域网投屏。</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val="zh-TW" w:eastAsia="zh-TW"/>
                <w14:textFill>
                  <w14:solidFill>
                    <w14:schemeClr w14:val="tx1"/>
                  </w14:solidFill>
                </w14:textFill>
              </w:rPr>
              <w:t>传输延迟</w:t>
            </w:r>
            <w:r>
              <w:rPr>
                <w:rFonts w:hint="eastAsia" w:ascii="宋体" w:hAnsi="宋体" w:eastAsia="宋体" w:cs="宋体"/>
                <w:color w:val="000000" w:themeColor="text1"/>
                <w:sz w:val="22"/>
                <w:szCs w:val="22"/>
                <w:highlight w:val="none"/>
                <w:lang w:val="en-US" w:eastAsia="zh-CN"/>
                <w14:textFill>
                  <w14:solidFill>
                    <w14:schemeClr w14:val="tx1"/>
                  </w14:solidFill>
                </w14:textFill>
              </w:rPr>
              <w:t>≤70ms</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val="zh-TW" w:eastAsia="zh-TW"/>
                <w14:textFill>
                  <w14:solidFill>
                    <w14:schemeClr w14:val="tx1"/>
                  </w14:solidFill>
                </w14:textFill>
              </w:rPr>
              <w:t>手机和电脑支持混合投屏展示，最多支持九画面同屏展示。</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lang w:val="zh-TW" w:eastAsia="zh-CN"/>
                <w14:textFill>
                  <w14:solidFill>
                    <w14:schemeClr w14:val="tx1"/>
                  </w14:solidFill>
                </w14:textFill>
              </w:rPr>
              <w:t>整机发射2.4</w:t>
            </w:r>
            <w:r>
              <w:rPr>
                <w:rFonts w:hint="eastAsia" w:ascii="宋体" w:hAnsi="宋体" w:eastAsia="宋体" w:cs="宋体"/>
                <w:color w:val="000000" w:themeColor="text1"/>
                <w:sz w:val="22"/>
                <w:szCs w:val="22"/>
                <w:highlight w:val="none"/>
                <w:lang w:val="zh-TW" w:eastAsia="zh-TW"/>
                <w14:textFill>
                  <w14:solidFill>
                    <w14:schemeClr w14:val="tx1"/>
                  </w14:solidFill>
                </w14:textFill>
              </w:rPr>
              <w:t>G</w:t>
            </w:r>
            <w:r>
              <w:rPr>
                <w:rFonts w:hint="eastAsia" w:ascii="宋体" w:hAnsi="宋体" w:eastAsia="宋体" w:cs="宋体"/>
                <w:color w:val="000000" w:themeColor="text1"/>
                <w:sz w:val="22"/>
                <w:szCs w:val="22"/>
                <w:highlight w:val="none"/>
                <w:lang w:val="zh-TW" w:eastAsia="zh-CN"/>
                <w14:textFill>
                  <w14:solidFill>
                    <w14:schemeClr w14:val="tx1"/>
                  </w14:solidFill>
                </w14:textFill>
              </w:rPr>
              <w:t>/</w:t>
            </w:r>
            <w:r>
              <w:rPr>
                <w:rFonts w:hint="eastAsia" w:ascii="宋体" w:hAnsi="宋体" w:eastAsia="宋体" w:cs="宋体"/>
                <w:color w:val="000000" w:themeColor="text1"/>
                <w:sz w:val="22"/>
                <w:szCs w:val="22"/>
                <w:highlight w:val="none"/>
                <w:lang w:val="zh-TW" w:eastAsia="zh-TW"/>
                <w14:textFill>
                  <w14:solidFill>
                    <w14:schemeClr w14:val="tx1"/>
                  </w14:solidFill>
                </w14:textFill>
              </w:rPr>
              <w:t>5GHZ</w:t>
            </w:r>
            <w:r>
              <w:rPr>
                <w:rFonts w:hint="eastAsia" w:ascii="宋体" w:hAnsi="宋体" w:eastAsia="宋体" w:cs="宋体"/>
                <w:color w:val="000000" w:themeColor="text1"/>
                <w:sz w:val="22"/>
                <w:szCs w:val="22"/>
                <w:highlight w:val="none"/>
                <w:lang w:val="zh-TW" w:eastAsia="zh-CN"/>
                <w14:textFill>
                  <w14:solidFill>
                    <w14:schemeClr w14:val="tx1"/>
                  </w14:solidFill>
                </w14:textFill>
              </w:rPr>
              <w:t>的A</w:t>
            </w:r>
            <w:r>
              <w:rPr>
                <w:rFonts w:hint="eastAsia" w:ascii="宋体" w:hAnsi="宋体" w:eastAsia="宋体" w:cs="宋体"/>
                <w:color w:val="000000" w:themeColor="text1"/>
                <w:sz w:val="22"/>
                <w:szCs w:val="22"/>
                <w:highlight w:val="none"/>
                <w:lang w:val="zh-TW" w:eastAsia="zh-TW"/>
                <w14:textFill>
                  <w14:solidFill>
                    <w14:schemeClr w14:val="tx1"/>
                  </w14:solidFill>
                </w14:textFill>
              </w:rPr>
              <w:t>P</w:t>
            </w:r>
            <w:r>
              <w:rPr>
                <w:rFonts w:hint="eastAsia" w:ascii="宋体" w:hAnsi="宋体" w:eastAsia="宋体" w:cs="宋体"/>
                <w:color w:val="000000" w:themeColor="text1"/>
                <w:sz w:val="22"/>
                <w:szCs w:val="22"/>
                <w:highlight w:val="none"/>
                <w:lang w:val="zh-TW" w:eastAsia="zh-CN"/>
                <w14:textFill>
                  <w14:solidFill>
                    <w14:schemeClr w14:val="tx1"/>
                  </w14:solidFill>
                </w14:textFill>
              </w:rPr>
              <w:t>热点，传输更加稳定，干扰更小，无需其他多余外接设备和连接线。</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lang w:val="zh-TW" w:eastAsia="zh-CN"/>
                <w14:textFill>
                  <w14:solidFill>
                    <w14:schemeClr w14:val="tx1"/>
                  </w14:solidFill>
                </w14:textFill>
              </w:rPr>
              <w:t>输出分辨率：支持单画面分辨率为4</w:t>
            </w:r>
            <w:r>
              <w:rPr>
                <w:rFonts w:hint="eastAsia" w:ascii="宋体" w:hAnsi="宋体" w:eastAsia="宋体" w:cs="宋体"/>
                <w:color w:val="000000" w:themeColor="text1"/>
                <w:sz w:val="22"/>
                <w:szCs w:val="22"/>
                <w:highlight w:val="none"/>
                <w:lang w:val="zh-TW" w:eastAsia="zh-TW"/>
                <w14:textFill>
                  <w14:solidFill>
                    <w14:schemeClr w14:val="tx1"/>
                  </w14:solidFill>
                </w14:textFill>
              </w:rPr>
              <w:t>K</w:t>
            </w:r>
            <w:r>
              <w:rPr>
                <w:rFonts w:hint="eastAsia" w:ascii="宋体" w:hAnsi="宋体" w:eastAsia="宋体" w:cs="宋体"/>
                <w:color w:val="000000" w:themeColor="text1"/>
                <w:sz w:val="22"/>
                <w:szCs w:val="22"/>
                <w:highlight w:val="none"/>
                <w:lang w:val="zh-TW" w:eastAsia="zh-CN"/>
                <w14:textFill>
                  <w14:solidFill>
                    <w14:schemeClr w14:val="tx1"/>
                  </w14:solidFill>
                </w14:textFill>
              </w:rPr>
              <w:t>并且帧率最高达60的视频输出；同时也支持双屏</w:t>
            </w:r>
            <w:r>
              <w:rPr>
                <w:rFonts w:hint="eastAsia" w:ascii="宋体" w:hAnsi="宋体" w:eastAsia="宋体" w:cs="宋体"/>
                <w:color w:val="000000" w:themeColor="text1"/>
                <w:sz w:val="22"/>
                <w:szCs w:val="22"/>
                <w:highlight w:val="none"/>
                <w:lang w:val="en-US" w:eastAsia="zh-Hans"/>
                <w14:textFill>
                  <w14:solidFill>
                    <w14:schemeClr w14:val="tx1"/>
                  </w14:solidFill>
                </w14:textFill>
              </w:rPr>
              <w:t>异</w:t>
            </w:r>
            <w:r>
              <w:rPr>
                <w:rFonts w:hint="eastAsia" w:ascii="宋体" w:hAnsi="宋体" w:eastAsia="宋体" w:cs="宋体"/>
                <w:color w:val="000000" w:themeColor="text1"/>
                <w:sz w:val="22"/>
                <w:szCs w:val="22"/>
                <w:highlight w:val="none"/>
                <w:lang w:val="zh-TW" w:eastAsia="zh-CN"/>
                <w14:textFill>
                  <w14:solidFill>
                    <w14:schemeClr w14:val="tx1"/>
                  </w14:solidFill>
                </w14:textFill>
              </w:rPr>
              <w:t>显</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Hans"/>
                <w14:textFill>
                  <w14:solidFill>
                    <w14:schemeClr w14:val="tx1"/>
                  </w14:solidFill>
                </w14:textFill>
              </w:rPr>
              <w:t>一路画面</w:t>
            </w:r>
            <w:r>
              <w:rPr>
                <w:rFonts w:hint="eastAsia" w:ascii="宋体" w:hAnsi="宋体" w:eastAsia="宋体" w:cs="宋体"/>
                <w:color w:val="000000" w:themeColor="text1"/>
                <w:sz w:val="22"/>
                <w:szCs w:val="22"/>
                <w:highlight w:val="none"/>
                <w:lang w:val="zh-TW" w:eastAsia="zh-CN"/>
                <w14:textFill>
                  <w14:solidFill>
                    <w14:schemeClr w14:val="tx1"/>
                  </w14:solidFill>
                </w14:textFill>
              </w:rPr>
              <w:t>分辨率为</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val="zh-TW" w:eastAsia="zh-TW"/>
                <w14:textFill>
                  <w14:solidFill>
                    <w14:schemeClr w14:val="tx1"/>
                  </w14:solidFill>
                </w14:textFill>
              </w:rPr>
              <w:t>K</w:t>
            </w:r>
            <w:r>
              <w:rPr>
                <w:rFonts w:hint="eastAsia" w:ascii="宋体" w:hAnsi="宋体" w:eastAsia="宋体" w:cs="宋体"/>
                <w:color w:val="000000" w:themeColor="text1"/>
                <w:sz w:val="22"/>
                <w:szCs w:val="22"/>
                <w:highlight w:val="none"/>
                <w:lang w:val="en-US" w:eastAsia="zh-TW"/>
                <w14:textFill>
                  <w14:solidFill>
                    <w14:schemeClr w14:val="tx1"/>
                  </w14:solidFill>
                </w14:textFill>
              </w:rPr>
              <w:t>，</w:t>
            </w:r>
            <w:r>
              <w:rPr>
                <w:rFonts w:hint="eastAsia" w:ascii="宋体" w:hAnsi="宋体" w:eastAsia="宋体" w:cs="宋体"/>
                <w:color w:val="000000" w:themeColor="text1"/>
                <w:sz w:val="22"/>
                <w:szCs w:val="22"/>
                <w:highlight w:val="none"/>
                <w:lang w:val="en-US" w:eastAsia="zh-Hans"/>
                <w14:textFill>
                  <w14:solidFill>
                    <w14:schemeClr w14:val="tx1"/>
                  </w14:solidFill>
                </w14:textFill>
              </w:rPr>
              <w:t>一路画面为1080p</w:t>
            </w:r>
            <w:r>
              <w:rPr>
                <w:rFonts w:hint="eastAsia" w:ascii="宋体" w:hAnsi="宋体" w:eastAsia="宋体" w:cs="宋体"/>
                <w:color w:val="000000" w:themeColor="text1"/>
                <w:sz w:val="22"/>
                <w:szCs w:val="22"/>
                <w:highlight w:val="none"/>
                <w:lang w:val="zh-TW" w:eastAsia="zh-CN"/>
                <w14:textFill>
                  <w14:solidFill>
                    <w14:schemeClr w14:val="tx1"/>
                  </w14:solidFill>
                </w14:textFill>
              </w:rPr>
              <w:t>的视频输出</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8.HDMI输出信号提供两种方式输出，可选择总是输出和传屏时输出，有效避免信号冲突，使整机和用户已有的会议系统配合度更高</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9.无线热点可隐藏整机无线热点SSID,避免整机热点对网络的视觉干扰。</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10.无线热点支持网络隔离，开启以后用户连接盒子热点后，无法访问企业内网，安全性更好。</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w:t>
            </w:r>
            <w:r>
              <w:rPr>
                <w:rFonts w:hint="eastAsia" w:ascii="宋体" w:hAnsi="宋体" w:eastAsia="宋体" w:cs="宋体"/>
                <w:color w:val="000000" w:themeColor="text1"/>
                <w:sz w:val="22"/>
                <w:szCs w:val="22"/>
                <w:highlight w:val="none"/>
                <w:lang w:val="zh-TW" w:eastAsia="zh-TW"/>
                <w14:textFill>
                  <w14:solidFill>
                    <w14:schemeClr w14:val="tx1"/>
                  </w14:solidFill>
                </w14:textFill>
              </w:rPr>
              <w:t>支持同时</w:t>
            </w:r>
            <w:r>
              <w:rPr>
                <w:rFonts w:hint="eastAsia" w:ascii="宋体" w:hAnsi="宋体" w:eastAsia="宋体" w:cs="宋体"/>
                <w:color w:val="000000" w:themeColor="text1"/>
                <w:sz w:val="22"/>
                <w:szCs w:val="22"/>
                <w:highlight w:val="none"/>
                <w:lang w:val="en-US" w:eastAsia="zh-TW"/>
                <w14:textFill>
                  <w14:solidFill>
                    <w14:schemeClr w14:val="tx1"/>
                  </w14:solidFill>
                </w14:textFill>
              </w:rPr>
              <w:t>32</w:t>
            </w:r>
            <w:r>
              <w:rPr>
                <w:rFonts w:hint="eastAsia" w:ascii="宋体" w:hAnsi="宋体" w:eastAsia="宋体" w:cs="宋体"/>
                <w:color w:val="000000" w:themeColor="text1"/>
                <w:sz w:val="22"/>
                <w:szCs w:val="22"/>
                <w:highlight w:val="none"/>
                <w:lang w:val="zh-TW" w:eastAsia="zh-TW"/>
                <w14:textFill>
                  <w14:solidFill>
                    <w14:schemeClr w14:val="tx1"/>
                  </w14:solidFill>
                </w14:textFill>
              </w:rPr>
              <w:t>个无线传屏器，画面分别投屏到同一个</w:t>
            </w:r>
            <w:r>
              <w:rPr>
                <w:rFonts w:hint="eastAsia" w:ascii="宋体" w:hAnsi="宋体" w:eastAsia="宋体" w:cs="宋体"/>
                <w:color w:val="000000" w:themeColor="text1"/>
                <w:sz w:val="22"/>
                <w:szCs w:val="22"/>
                <w:highlight w:val="none"/>
                <w:lang w:val="en-US" w:eastAsia="zh-Hans"/>
                <w14:textFill>
                  <w14:solidFill>
                    <w14:schemeClr w14:val="tx1"/>
                  </w14:solidFill>
                </w14:textFill>
              </w:rPr>
              <w:t>传屏盒子</w:t>
            </w:r>
            <w:r>
              <w:rPr>
                <w:rFonts w:hint="eastAsia" w:ascii="宋体" w:hAnsi="宋体" w:eastAsia="宋体" w:cs="宋体"/>
                <w:color w:val="000000" w:themeColor="text1"/>
                <w:sz w:val="22"/>
                <w:szCs w:val="22"/>
                <w:highlight w:val="none"/>
                <w:lang w:val="zh-TW" w:eastAsia="zh-TW"/>
                <w14:textFill>
                  <w14:solidFill>
                    <w14:schemeClr w14:val="tx1"/>
                  </w14:solidFill>
                </w14:textFill>
              </w:rPr>
              <w:t>，可通过按键切换传输不同外部电脑的画面及声音。</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z w:val="22"/>
                <w:szCs w:val="22"/>
                <w:highlight w:val="none"/>
                <w:lang w:val="zh-TW" w:eastAsia="zh-TW"/>
                <w14:textFill>
                  <w14:solidFill>
                    <w14:schemeClr w14:val="tx1"/>
                  </w14:solidFill>
                </w14:textFill>
              </w:rPr>
              <w:t>产品支持Windows电脑使用无线传屏器传屏的扩展屏展示。</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13.可以仅对一个窗口进行无线投屏，其他窗口内容不做展示，保证数据的隐私</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14.无线传屏视频数据加密，加密方式：国密SM4，保障数据传输安全</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color w:val="000000" w:themeColor="text1"/>
                <w:sz w:val="22"/>
                <w:szCs w:val="22"/>
                <w:highlight w:val="none"/>
                <w:lang w:val="zh-TW" w:eastAsia="zh-TW"/>
                <w14:textFill>
                  <w14:solidFill>
                    <w14:schemeClr w14:val="tx1"/>
                  </w14:solidFill>
                </w14:textFill>
              </w:rPr>
              <w:t>传屏开启勿扰模式之后，不允许其他人在进行传屏，沉浸模式，避免在使用过程中，用户经常被其他人传屏顶替掉，造成使用中断</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16.</w:t>
            </w:r>
            <w:r>
              <w:rPr>
                <w:rFonts w:hint="eastAsia" w:ascii="宋体" w:hAnsi="宋体" w:eastAsia="宋体" w:cs="宋体"/>
                <w:color w:val="000000" w:themeColor="text1"/>
                <w:sz w:val="22"/>
                <w:szCs w:val="22"/>
                <w:highlight w:val="none"/>
                <w:lang w:val="zh-TW" w:eastAsia="zh-TW"/>
                <w14:textFill>
                  <w14:solidFill>
                    <w14:schemeClr w14:val="tx1"/>
                  </w14:solidFill>
                </w14:textFill>
              </w:rPr>
              <w:t>可通过传屏工具栏暂停投屏功能进行画面冻结暂停，投屏电脑可自主进行其他操作，不影响整机的冻结画面内容显示</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p>
            <w:pPr>
              <w:adjustRightInd w:val="0"/>
              <w:spacing w:line="440" w:lineRule="exact"/>
              <w:jc w:val="left"/>
              <w:rPr>
                <w:rFonts w:hint="eastAsia" w:ascii="宋体" w:hAnsi="宋体" w:eastAsia="宋体" w:cs="宋体"/>
                <w:color w:val="000000" w:themeColor="text1"/>
                <w:sz w:val="22"/>
                <w:szCs w:val="22"/>
                <w:highlight w:val="none"/>
                <w:lang w:val="zh-TW" w:eastAsia="zh-TW"/>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17.</w:t>
            </w:r>
            <w:r>
              <w:rPr>
                <w:rFonts w:hint="eastAsia" w:ascii="宋体" w:hAnsi="宋体" w:eastAsia="宋体" w:cs="宋体"/>
                <w:color w:val="000000" w:themeColor="text1"/>
                <w:sz w:val="22"/>
                <w:szCs w:val="22"/>
                <w:highlight w:val="none"/>
                <w:lang w:val="zh-TW" w:eastAsia="zh-TW"/>
                <w14:textFill>
                  <w14:solidFill>
                    <w14:schemeClr w14:val="tx1"/>
                  </w14:solidFill>
                </w14:textFill>
              </w:rPr>
              <w:t>可通过传屏工具栏传屏模式，快速切换传屏方式。</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18.</w:t>
            </w:r>
            <w:r>
              <w:rPr>
                <w:rFonts w:hint="eastAsia" w:ascii="宋体" w:hAnsi="宋体" w:eastAsia="宋体" w:cs="宋体"/>
                <w:color w:val="000000" w:themeColor="text1"/>
                <w:sz w:val="22"/>
                <w:szCs w:val="22"/>
                <w:highlight w:val="none"/>
                <w:lang w:val="zh-TW" w:eastAsia="zh-TW"/>
                <w14:textFill>
                  <w14:solidFill>
                    <w14:schemeClr w14:val="tx1"/>
                  </w14:solidFill>
                </w14:textFill>
              </w:rPr>
              <w:t>可通过软件可自动发现近场可投屏的传屏盒子，选择即可投屏，无需手动配对。</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19.</w:t>
            </w:r>
            <w:r>
              <w:rPr>
                <w:rFonts w:hint="eastAsia" w:ascii="宋体" w:hAnsi="宋体" w:eastAsia="宋体" w:cs="宋体"/>
                <w:color w:val="000000" w:themeColor="text1"/>
                <w:sz w:val="22"/>
                <w:szCs w:val="22"/>
                <w:highlight w:val="none"/>
                <w:lang w:val="zh-TW" w:eastAsia="zh-CN"/>
                <w14:textFill>
                  <w14:solidFill>
                    <w14:schemeClr w14:val="tx1"/>
                  </w14:solidFill>
                </w14:textFill>
              </w:rPr>
              <w:t>整机外观</w:t>
            </w:r>
            <w:r>
              <w:rPr>
                <w:rFonts w:hint="eastAsia" w:ascii="宋体" w:hAnsi="宋体" w:eastAsia="宋体" w:cs="宋体"/>
                <w:color w:val="000000" w:themeColor="text1"/>
                <w:sz w:val="22"/>
                <w:szCs w:val="22"/>
                <w:highlight w:val="none"/>
                <w:lang w:val="en-US" w:eastAsia="zh-Hans"/>
                <w14:textFill>
                  <w14:solidFill>
                    <w14:schemeClr w14:val="tx1"/>
                  </w14:solidFill>
                </w14:textFill>
              </w:rPr>
              <w:t>方正</w:t>
            </w:r>
            <w:r>
              <w:rPr>
                <w:rFonts w:hint="eastAsia" w:ascii="宋体" w:hAnsi="宋体" w:eastAsia="宋体" w:cs="宋体"/>
                <w:color w:val="000000" w:themeColor="text1"/>
                <w:sz w:val="22"/>
                <w:szCs w:val="22"/>
                <w:highlight w:val="none"/>
                <w:lang w:val="zh-TW"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Hans"/>
                <w14:textFill>
                  <w14:solidFill>
                    <w14:schemeClr w14:val="tx1"/>
                  </w14:solidFill>
                </w14:textFill>
              </w:rPr>
              <w:t>黑色</w:t>
            </w:r>
            <w:r>
              <w:rPr>
                <w:rFonts w:hint="eastAsia" w:ascii="宋体" w:hAnsi="宋体" w:eastAsia="宋体" w:cs="宋体"/>
                <w:color w:val="000000" w:themeColor="text1"/>
                <w:sz w:val="22"/>
                <w:szCs w:val="22"/>
                <w:highlight w:val="none"/>
                <w:lang w:val="zh-TW" w:eastAsia="zh-CN"/>
                <w14:textFill>
                  <w14:solidFill>
                    <w14:schemeClr w14:val="tx1"/>
                  </w14:solidFill>
                </w14:textFill>
              </w:rPr>
              <w:t>低调素雅，</w:t>
            </w:r>
            <w:r>
              <w:rPr>
                <w:rFonts w:hint="eastAsia" w:ascii="宋体" w:hAnsi="宋体" w:eastAsia="宋体" w:cs="宋体"/>
                <w:color w:val="000000" w:themeColor="text1"/>
                <w:sz w:val="22"/>
                <w:szCs w:val="22"/>
                <w:highlight w:val="none"/>
                <w:lang w:val="en-US" w:eastAsia="zh-Hans"/>
                <w14:textFill>
                  <w14:solidFill>
                    <w14:schemeClr w14:val="tx1"/>
                  </w14:solidFill>
                </w14:textFill>
              </w:rPr>
              <w:t>兼顾散热和美观</w:t>
            </w:r>
            <w:r>
              <w:rPr>
                <w:rFonts w:hint="eastAsia" w:ascii="宋体" w:hAnsi="宋体" w:eastAsia="宋体" w:cs="宋体"/>
                <w:color w:val="000000" w:themeColor="text1"/>
                <w:sz w:val="22"/>
                <w:szCs w:val="22"/>
                <w:highlight w:val="none"/>
                <w:lang w:val="zh-TW" w:eastAsia="zh-CN"/>
                <w14:textFill>
                  <w14:solidFill>
                    <w14:schemeClr w14:val="tx1"/>
                  </w14:solidFill>
                </w14:textFill>
              </w:rPr>
              <w:t>。</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color w:val="000000" w:themeColor="text1"/>
                <w:sz w:val="22"/>
                <w:szCs w:val="22"/>
                <w:highlight w:val="none"/>
                <w:lang w:val="zh-TW" w:eastAsia="zh-TW"/>
                <w14:textFill>
                  <w14:solidFill>
                    <w14:schemeClr w14:val="tx1"/>
                  </w14:solidFill>
                </w14:textFill>
              </w:rPr>
              <w:t>为</w:t>
            </w:r>
            <w:r>
              <w:rPr>
                <w:rFonts w:hint="eastAsia" w:ascii="宋体" w:hAnsi="宋体" w:eastAsia="宋体" w:cs="宋体"/>
                <w:color w:val="000000" w:themeColor="text1"/>
                <w:sz w:val="22"/>
                <w:szCs w:val="22"/>
                <w:highlight w:val="none"/>
                <w:lang w:val="zh-TW" w:eastAsia="zh-CN"/>
                <w14:textFill>
                  <w14:solidFill>
                    <w14:schemeClr w14:val="tx1"/>
                  </w14:solidFill>
                </w14:textFill>
              </w:rPr>
              <w:t>方便管理设备，整机可支持集控的部署，</w:t>
            </w:r>
            <w:r>
              <w:rPr>
                <w:rFonts w:hint="eastAsia" w:ascii="宋体" w:hAnsi="宋体" w:eastAsia="宋体" w:cs="宋体"/>
                <w:color w:val="000000" w:themeColor="text1"/>
                <w:sz w:val="22"/>
                <w:szCs w:val="22"/>
                <w:highlight w:val="none"/>
                <w:lang w:val="en-US" w:eastAsia="zh-CN"/>
                <w14:textFill>
                  <w14:solidFill>
                    <w14:schemeClr w14:val="tx1"/>
                  </w14:solidFill>
                </w14:textFill>
              </w:rPr>
              <w:t>支持集控的远程操控，包括：</w:t>
            </w:r>
            <w:r>
              <w:rPr>
                <w:rFonts w:hint="eastAsia" w:ascii="宋体" w:hAnsi="宋体" w:eastAsia="宋体" w:cs="宋体"/>
                <w:color w:val="000000" w:themeColor="text1"/>
                <w:sz w:val="22"/>
                <w:szCs w:val="22"/>
                <w:highlight w:val="none"/>
                <w:lang w:val="en-US" w:eastAsia="zh-Hans"/>
                <w14:textFill>
                  <w14:solidFill>
                    <w14:schemeClr w14:val="tx1"/>
                  </w14:solidFill>
                </w14:textFill>
              </w:rPr>
              <w:t>关机、重启、应用安装、应用卸载、设备使用情况统计</w:t>
            </w:r>
            <w:r>
              <w:rPr>
                <w:rFonts w:hint="eastAsia" w:ascii="宋体" w:hAnsi="宋体" w:eastAsia="宋体" w:cs="宋体"/>
                <w:color w:val="000000" w:themeColor="text1"/>
                <w:sz w:val="22"/>
                <w:szCs w:val="22"/>
                <w:highlight w:val="none"/>
                <w:lang w:val="en-US" w:eastAsia="zh-CN"/>
                <w14:textFill>
                  <w14:solidFill>
                    <w14:schemeClr w14:val="tx1"/>
                  </w14:solidFill>
                </w14:textFill>
              </w:rPr>
              <w:t>和更换壁纸等功能，也支持实时状态监控，</w:t>
            </w:r>
            <w:r>
              <w:rPr>
                <w:rFonts w:hint="eastAsia" w:ascii="宋体" w:hAnsi="宋体" w:eastAsia="宋体" w:cs="宋体"/>
                <w:color w:val="000000" w:themeColor="text1"/>
                <w:sz w:val="22"/>
                <w:szCs w:val="22"/>
                <w:highlight w:val="none"/>
                <w:lang w:val="en-US" w:eastAsia="zh-Hans"/>
                <w14:textFill>
                  <w14:solidFill>
                    <w14:schemeClr w14:val="tx1"/>
                  </w14:solidFill>
                </w14:textFill>
              </w:rPr>
              <w:t>可拉取</w:t>
            </w:r>
            <w:r>
              <w:rPr>
                <w:rFonts w:hint="eastAsia" w:ascii="宋体" w:hAnsi="宋体" w:eastAsia="宋体" w:cs="宋体"/>
                <w:color w:val="000000" w:themeColor="text1"/>
                <w:sz w:val="22"/>
                <w:szCs w:val="22"/>
                <w:highlight w:val="none"/>
                <w:lang w:val="en-US" w:eastAsia="zh-CN"/>
                <w14:textFill>
                  <w14:solidFill>
                    <w14:schemeClr w14:val="tx1"/>
                  </w14:solidFill>
                </w14:textFill>
              </w:rPr>
              <w:t>系统日志</w:t>
            </w:r>
            <w:r>
              <w:rPr>
                <w:rFonts w:hint="eastAsia" w:ascii="宋体" w:hAnsi="宋体" w:eastAsia="宋体" w:cs="宋体"/>
                <w:color w:val="000000" w:themeColor="text1"/>
                <w:sz w:val="22"/>
                <w:szCs w:val="22"/>
                <w:highlight w:val="none"/>
                <w:lang w:val="en-US" w:eastAsia="zh-Hans"/>
                <w14:textFill>
                  <w14:solidFill>
                    <w14:schemeClr w14:val="tx1"/>
                  </w14:solidFill>
                </w14:textFill>
              </w:rPr>
              <w:t>进行问题排查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功能。</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21.</w:t>
            </w:r>
            <w:r>
              <w:rPr>
                <w:rFonts w:hint="eastAsia" w:ascii="宋体" w:hAnsi="宋体" w:eastAsia="宋体" w:cs="宋体"/>
                <w:color w:val="000000" w:themeColor="text1"/>
                <w:sz w:val="22"/>
                <w:szCs w:val="22"/>
                <w:highlight w:val="none"/>
                <w:lang w:val="zh-TW" w:eastAsia="zh-TW"/>
                <w14:textFill>
                  <w14:solidFill>
                    <w14:schemeClr w14:val="tx1"/>
                  </w14:solidFill>
                </w14:textFill>
              </w:rPr>
              <w:t>为保证</w:t>
            </w:r>
            <w:r>
              <w:rPr>
                <w:rFonts w:hint="eastAsia" w:ascii="宋体" w:hAnsi="宋体" w:eastAsia="宋体" w:cs="宋体"/>
                <w:color w:val="000000" w:themeColor="text1"/>
                <w:sz w:val="22"/>
                <w:szCs w:val="22"/>
                <w:highlight w:val="none"/>
                <w:lang w:val="zh-TW" w:eastAsia="zh-CN"/>
                <w14:textFill>
                  <w14:solidFill>
                    <w14:schemeClr w14:val="tx1"/>
                  </w14:solidFill>
                </w14:textFill>
              </w:rPr>
              <w:t>整机</w:t>
            </w:r>
            <w:r>
              <w:rPr>
                <w:rFonts w:hint="eastAsia" w:ascii="宋体" w:hAnsi="宋体" w:eastAsia="宋体" w:cs="宋体"/>
                <w:color w:val="000000" w:themeColor="text1"/>
                <w:sz w:val="22"/>
                <w:szCs w:val="22"/>
                <w:highlight w:val="none"/>
                <w:lang w:val="zh-TW" w:eastAsia="zh-TW"/>
                <w14:textFill>
                  <w14:solidFill>
                    <w14:schemeClr w14:val="tx1"/>
                  </w14:solidFill>
                </w14:textFill>
              </w:rPr>
              <w:t>一体性，内置天线设计，</w:t>
            </w:r>
            <w:r>
              <w:rPr>
                <w:rFonts w:hint="eastAsia" w:ascii="宋体" w:hAnsi="宋体" w:eastAsia="宋体" w:cs="宋体"/>
                <w:color w:val="000000" w:themeColor="text1"/>
                <w:sz w:val="22"/>
                <w:szCs w:val="22"/>
                <w:highlight w:val="none"/>
                <w:lang w:val="zh-TW" w:eastAsia="zh-CN"/>
                <w14:textFill>
                  <w14:solidFill>
                    <w14:schemeClr w14:val="tx1"/>
                  </w14:solidFill>
                </w14:textFill>
              </w:rPr>
              <w:t>无外部天线设备</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22.整机支持桌面壁纸的更换，更换设计好的壁纸可彰显客户公司元素，体现公司文化</w:t>
            </w:r>
          </w:p>
          <w:p>
            <w:pPr>
              <w:adjustRightInd w:val="0"/>
              <w:spacing w:line="440" w:lineRule="exact"/>
              <w:jc w:val="left"/>
              <w:rPr>
                <w:rFonts w:hint="eastAsia" w:ascii="宋体" w:hAnsi="宋体" w:eastAsia="宋体" w:cs="宋体"/>
                <w:color w:val="000000" w:themeColor="text1"/>
                <w:sz w:val="22"/>
                <w:szCs w:val="22"/>
                <w:highlight w:val="none"/>
                <w:lang w:val="en-US" w:eastAsia="zh-Han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lang w:val="en-US" w:eastAsia="zh-Hans"/>
                <w14:textFill>
                  <w14:solidFill>
                    <w14:schemeClr w14:val="tx1"/>
                  </w14:solidFill>
                </w14:textFill>
              </w:rPr>
              <w:t>支持Type-C和USB</w:t>
            </w:r>
            <w:r>
              <w:rPr>
                <w:rFonts w:hint="eastAsia" w:ascii="宋体" w:hAnsi="宋体" w:eastAsia="宋体" w:cs="宋体"/>
                <w:color w:val="000000" w:themeColor="text1"/>
                <w:sz w:val="22"/>
                <w:szCs w:val="22"/>
                <w:highlight w:val="none"/>
                <w:lang w:val="en-US" w:eastAsia="zh-CN"/>
                <w14:textFill>
                  <w14:solidFill>
                    <w14:schemeClr w14:val="tx1"/>
                  </w14:solidFill>
                </w14:textFill>
              </w:rPr>
              <w:t>无线传屏器</w:t>
            </w:r>
            <w:r>
              <w:rPr>
                <w:rFonts w:hint="eastAsia" w:ascii="宋体" w:hAnsi="宋体" w:eastAsia="宋体" w:cs="宋体"/>
                <w:color w:val="000000" w:themeColor="text1"/>
                <w:sz w:val="22"/>
                <w:szCs w:val="22"/>
                <w:highlight w:val="none"/>
                <w:lang w:val="zh-TW" w:eastAsia="zh-TW"/>
                <w14:textFill>
                  <w14:solidFill>
                    <w14:schemeClr w14:val="tx1"/>
                  </w14:solidFill>
                </w14:textFill>
              </w:rPr>
              <w:t>，可兼容市面上具备通用型</w:t>
            </w:r>
            <w:r>
              <w:rPr>
                <w:rFonts w:hint="eastAsia" w:ascii="宋体" w:hAnsi="宋体" w:eastAsia="宋体" w:cs="宋体"/>
                <w:color w:val="000000" w:themeColor="text1"/>
                <w:sz w:val="22"/>
                <w:szCs w:val="22"/>
                <w:highlight w:val="none"/>
                <w:lang w:val="en-US" w:eastAsia="zh-CN"/>
                <w14:textFill>
                  <w14:solidFill>
                    <w14:schemeClr w14:val="tx1"/>
                  </w14:solidFill>
                </w14:textFill>
              </w:rPr>
              <w:t>USB</w:t>
            </w:r>
            <w:r>
              <w:rPr>
                <w:rFonts w:hint="eastAsia" w:ascii="宋体" w:hAnsi="宋体" w:eastAsia="宋体" w:cs="宋体"/>
                <w:color w:val="000000" w:themeColor="text1"/>
                <w:sz w:val="22"/>
                <w:szCs w:val="22"/>
                <w:highlight w:val="none"/>
                <w:lang w:val="en-US" w:eastAsia="zh-Hans"/>
                <w14:textFill>
                  <w14:solidFill>
                    <w14:schemeClr w14:val="tx1"/>
                  </w14:solidFill>
                </w14:textFill>
              </w:rPr>
              <w:t>及Type-C</w:t>
            </w:r>
            <w:r>
              <w:rPr>
                <w:rFonts w:hint="eastAsia" w:ascii="宋体" w:hAnsi="宋体" w:eastAsia="宋体" w:cs="宋体"/>
                <w:color w:val="000000" w:themeColor="text1"/>
                <w:sz w:val="22"/>
                <w:szCs w:val="22"/>
                <w:highlight w:val="none"/>
                <w:lang w:val="zh-TW" w:eastAsia="zh-TW"/>
                <w14:textFill>
                  <w14:solidFill>
                    <w14:schemeClr w14:val="tx1"/>
                  </w14:solidFill>
                </w14:textFill>
              </w:rPr>
              <w:t>接口的电脑。</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24.</w:t>
            </w:r>
            <w:r>
              <w:rPr>
                <w:rFonts w:hint="eastAsia" w:ascii="宋体" w:hAnsi="宋体" w:eastAsia="宋体" w:cs="宋体"/>
                <w:color w:val="000000" w:themeColor="text1"/>
                <w:sz w:val="22"/>
                <w:szCs w:val="22"/>
                <w:highlight w:val="none"/>
                <w:lang w:val="en-US" w:eastAsia="zh-Hans"/>
                <w14:textFill>
                  <w14:solidFill>
                    <w14:schemeClr w14:val="tx1"/>
                  </w14:solidFill>
                </w14:textFill>
              </w:rPr>
              <w:t>HDMI支持双屏异显、双屏同显</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Hans"/>
                <w14:textFill>
                  <w14:solidFill>
                    <w14:schemeClr w14:val="tx1"/>
                  </w14:solidFill>
                </w14:textFill>
              </w:rPr>
              <w:t>方便客户端展示。</w:t>
            </w:r>
          </w:p>
          <w:p>
            <w:pPr>
              <w:adjustRightInd w:val="0"/>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25.支持POE供电，方便客户部署</w:t>
            </w:r>
          </w:p>
          <w:p>
            <w:pPr>
              <w:adjustRightInd w:val="0"/>
              <w:spacing w:line="44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★26.</w:t>
            </w:r>
            <w:r>
              <w:rPr>
                <w:rFonts w:hint="eastAsia" w:ascii="宋体" w:hAnsi="宋体" w:eastAsia="宋体" w:cs="宋体"/>
                <w:color w:val="000000" w:themeColor="text1"/>
                <w:sz w:val="22"/>
                <w:szCs w:val="22"/>
                <w:highlight w:val="none"/>
                <w:lang w:val="zh-TW" w:eastAsia="zh-TW"/>
                <w14:textFill>
                  <w14:solidFill>
                    <w14:schemeClr w14:val="tx1"/>
                  </w14:solidFill>
                </w14:textFill>
              </w:rPr>
              <w:t>采用RK 3399 芯片，6核CPU，内</w:t>
            </w:r>
            <w:r>
              <w:rPr>
                <w:rFonts w:hint="eastAsia" w:ascii="宋体" w:hAnsi="宋体" w:eastAsia="宋体" w:cs="宋体"/>
                <w:color w:val="000000" w:themeColor="text1"/>
                <w:sz w:val="22"/>
                <w:szCs w:val="22"/>
                <w:highlight w:val="none"/>
                <w:lang w:val="zh-TW" w:eastAsia="zh-CN"/>
                <w14:textFill>
                  <w14:solidFill>
                    <w14:schemeClr w14:val="tx1"/>
                  </w14:solidFill>
                </w14:textFill>
              </w:rPr>
              <w:t>置</w:t>
            </w:r>
            <w:r>
              <w:rPr>
                <w:rFonts w:hint="eastAsia" w:ascii="宋体" w:hAnsi="宋体" w:eastAsia="宋体" w:cs="宋体"/>
                <w:color w:val="000000" w:themeColor="text1"/>
                <w:sz w:val="22"/>
                <w:szCs w:val="22"/>
                <w:highlight w:val="none"/>
                <w:lang w:val="en-US" w:eastAsia="zh-CN"/>
                <w14:textFill>
                  <w14:solidFill>
                    <w14:schemeClr w14:val="tx1"/>
                  </w14:solidFill>
                </w14:textFill>
              </w:rPr>
              <w:t>Android 9.0</w:t>
            </w:r>
            <w:r>
              <w:rPr>
                <w:rFonts w:hint="eastAsia" w:ascii="宋体" w:hAnsi="宋体" w:eastAsia="宋体" w:cs="宋体"/>
                <w:color w:val="000000" w:themeColor="text1"/>
                <w:sz w:val="22"/>
                <w:szCs w:val="22"/>
                <w:highlight w:val="none"/>
                <w:lang w:val="zh-TW" w:eastAsia="zh-TW"/>
                <w14:textFill>
                  <w14:solidFill>
                    <w14:schemeClr w14:val="tx1"/>
                  </w14:solidFill>
                </w14:textFill>
              </w:rPr>
              <w:t>操作系统，存储容量</w:t>
            </w:r>
            <w:r>
              <w:rPr>
                <w:rFonts w:hint="eastAsia" w:ascii="宋体" w:hAnsi="宋体" w:eastAsia="宋体" w:cs="宋体"/>
                <w:color w:val="000000" w:themeColor="text1"/>
                <w:sz w:val="22"/>
                <w:szCs w:val="22"/>
                <w:highlight w:val="none"/>
                <w:lang w:val="zh-TW" w:eastAsia="zh-CN"/>
                <w14:textFill>
                  <w14:solidFill>
                    <w14:schemeClr w14:val="tx1"/>
                  </w14:solidFill>
                </w14:textFill>
              </w:rPr>
              <w:t>16</w:t>
            </w:r>
            <w:r>
              <w:rPr>
                <w:rFonts w:hint="eastAsia" w:ascii="宋体" w:hAnsi="宋体" w:eastAsia="宋体" w:cs="宋体"/>
                <w:color w:val="000000" w:themeColor="text1"/>
                <w:sz w:val="22"/>
                <w:szCs w:val="22"/>
                <w:highlight w:val="none"/>
                <w:lang w:val="en-US" w:eastAsia="zh-CN"/>
                <w14:textFill>
                  <w14:solidFill>
                    <w14:schemeClr w14:val="tx1"/>
                  </w14:solidFill>
                </w14:textFill>
              </w:rPr>
              <w:t>G ROM</w:t>
            </w:r>
            <w:r>
              <w:rPr>
                <w:rFonts w:hint="eastAsia" w:ascii="宋体" w:hAnsi="宋体" w:eastAsia="宋体" w:cs="宋体"/>
                <w:color w:val="000000" w:themeColor="text1"/>
                <w:sz w:val="22"/>
                <w:szCs w:val="22"/>
                <w:highlight w:val="none"/>
                <w:lang w:val="zh-TW" w:eastAsia="zh-TW"/>
                <w14:textFill>
                  <w14:solidFill>
                    <w14:schemeClr w14:val="tx1"/>
                  </w14:solidFill>
                </w14:textFill>
              </w:rPr>
              <w:t>，系统内存</w:t>
            </w:r>
            <w:r>
              <w:rPr>
                <w:rFonts w:hint="eastAsia" w:ascii="宋体" w:hAnsi="宋体" w:eastAsia="宋体" w:cs="宋体"/>
                <w:color w:val="000000" w:themeColor="text1"/>
                <w:sz w:val="22"/>
                <w:szCs w:val="22"/>
                <w:highlight w:val="none"/>
                <w:lang w:val="zh-TW" w:eastAsia="zh-CN"/>
                <w14:textFill>
                  <w14:solidFill>
                    <w14:schemeClr w14:val="tx1"/>
                  </w14:solidFill>
                </w14:textFill>
              </w:rPr>
              <w:t>4</w:t>
            </w:r>
            <w:r>
              <w:rPr>
                <w:rFonts w:hint="eastAsia" w:ascii="宋体" w:hAnsi="宋体" w:eastAsia="宋体" w:cs="宋体"/>
                <w:color w:val="000000" w:themeColor="text1"/>
                <w:sz w:val="22"/>
                <w:szCs w:val="22"/>
                <w:highlight w:val="none"/>
                <w:lang w:val="en-US" w:eastAsia="zh-CN"/>
                <w14:textFill>
                  <w14:solidFill>
                    <w14:schemeClr w14:val="tx1"/>
                  </w14:solidFill>
                </w14:textFill>
              </w:rPr>
              <w:t>G RAM</w:t>
            </w:r>
            <w:r>
              <w:rPr>
                <w:rFonts w:hint="eastAsia" w:ascii="宋体" w:hAnsi="宋体" w:eastAsia="宋体" w:cs="宋体"/>
                <w:color w:val="000000" w:themeColor="text1"/>
                <w:sz w:val="22"/>
                <w:szCs w:val="22"/>
                <w:highlight w:val="none"/>
                <w14:textFill>
                  <w14:solidFill>
                    <w14:schemeClr w14:val="tx1"/>
                  </w14:solidFill>
                </w14:textFill>
              </w:rPr>
              <w:t>（投标时提供具有CNAS标识的检测报告证明）</w:t>
            </w:r>
          </w:p>
        </w:tc>
      </w:tr>
    </w:tbl>
    <w:p>
      <w:pPr>
        <w:spacing w:line="360" w:lineRule="exact"/>
        <w:rPr>
          <w:rFonts w:ascii="宋体" w:hAnsi="宋体" w:cs="宋体"/>
          <w:b/>
          <w:color w:val="000000" w:themeColor="text1"/>
          <w:spacing w:val="-6"/>
          <w:sz w:val="22"/>
          <w:highlight w:val="none"/>
          <w14:textFill>
            <w14:solidFill>
              <w14:schemeClr w14:val="tx1"/>
            </w14:solidFill>
          </w14:textFill>
        </w:rPr>
      </w:pPr>
      <w:r>
        <w:rPr>
          <w:rFonts w:hint="eastAsia" w:ascii="宋体" w:hAnsi="宋体" w:cs="宋体"/>
          <w:b/>
          <w:color w:val="000000" w:themeColor="text1"/>
          <w:spacing w:val="-6"/>
          <w:sz w:val="22"/>
          <w:highlight w:val="none"/>
          <w14:textFill>
            <w14:solidFill>
              <w14:schemeClr w14:val="tx1"/>
            </w14:solidFill>
          </w14:textFill>
        </w:rPr>
        <w:t xml:space="preserve"> 四、其他</w:t>
      </w:r>
    </w:p>
    <w:p>
      <w:pPr>
        <w:numPr>
          <w:ilvl w:val="0"/>
          <w:numId w:val="3"/>
        </w:numPr>
        <w:spacing w:line="360" w:lineRule="exact"/>
        <w:ind w:firstLine="313" w:firstLineChars="150"/>
        <w:rPr>
          <w:rFonts w:ascii="宋体" w:hAnsi="宋体" w:cs="宋体"/>
          <w:b/>
          <w:bCs/>
          <w:color w:val="000000" w:themeColor="text1"/>
          <w:spacing w:val="-6"/>
          <w:sz w:val="22"/>
          <w:highlight w:val="none"/>
          <w14:textFill>
            <w14:solidFill>
              <w14:schemeClr w14:val="tx1"/>
            </w14:solidFill>
          </w14:textFill>
        </w:rPr>
      </w:pPr>
      <w:r>
        <w:rPr>
          <w:rFonts w:hint="eastAsia" w:ascii="宋体" w:hAnsi="宋体" w:cs="宋体"/>
          <w:b/>
          <w:color w:val="000000" w:themeColor="text1"/>
          <w:spacing w:val="-6"/>
          <w:sz w:val="22"/>
          <w:highlight w:val="none"/>
          <w14:textFill>
            <w14:solidFill>
              <w14:schemeClr w14:val="tx1"/>
            </w14:solidFill>
          </w14:textFill>
        </w:rPr>
        <w:t>标“▲且加下划线”的有关技术和商务要求为实质性条款，响应方必须做出实质性响应</w:t>
      </w:r>
      <w:r>
        <w:rPr>
          <w:rFonts w:hint="eastAsia" w:ascii="宋体" w:hAnsi="宋体" w:cs="宋体"/>
          <w:b/>
          <w:bCs/>
          <w:color w:val="000000" w:themeColor="text1"/>
          <w:spacing w:val="-6"/>
          <w:sz w:val="22"/>
          <w:highlight w:val="none"/>
          <w14:textFill>
            <w14:solidFill>
              <w14:schemeClr w14:val="tx1"/>
            </w14:solidFill>
          </w14:textFill>
        </w:rPr>
        <w:t>，否则视为无效投标文件</w:t>
      </w:r>
      <w:r>
        <w:rPr>
          <w:rFonts w:hint="eastAsia" w:ascii="宋体" w:hAnsi="宋体" w:cs="宋体"/>
          <w:b/>
          <w:bCs/>
          <w:color w:val="000000" w:themeColor="text1"/>
          <w:spacing w:val="-6"/>
          <w:sz w:val="22"/>
          <w:highlight w:val="none"/>
          <w:lang w:eastAsia="zh-CN"/>
          <w14:textFill>
            <w14:solidFill>
              <w14:schemeClr w14:val="tx1"/>
            </w14:solidFill>
          </w14:textFill>
        </w:rPr>
        <w:t>，</w:t>
      </w:r>
      <w:r>
        <w:rPr>
          <w:rFonts w:hint="eastAsia" w:ascii="宋体" w:hAnsi="宋体" w:cs="宋体"/>
          <w:b/>
          <w:color w:val="000000" w:themeColor="text1"/>
          <w:spacing w:val="-6"/>
          <w:sz w:val="22"/>
          <w:highlight w:val="none"/>
          <w:lang w:eastAsia="zh-CN"/>
          <w14:textFill>
            <w14:solidFill>
              <w14:schemeClr w14:val="tx1"/>
            </w14:solidFill>
          </w14:textFill>
        </w:rPr>
        <w:t>标</w:t>
      </w:r>
      <w:r>
        <w:rPr>
          <w:rFonts w:hint="eastAsia" w:ascii="宋体" w:hAnsi="宋体" w:cs="宋体"/>
          <w:b/>
          <w:color w:val="000000" w:themeColor="text1"/>
          <w:spacing w:val="-6"/>
          <w:sz w:val="22"/>
          <w:highlight w:val="none"/>
          <w14:textFill>
            <w14:solidFill>
              <w14:schemeClr w14:val="tx1"/>
            </w14:solidFill>
          </w14:textFill>
        </w:rPr>
        <w:t>★</w:t>
      </w:r>
      <w:r>
        <w:rPr>
          <w:rFonts w:hint="eastAsia" w:ascii="宋体" w:hAnsi="宋体" w:cs="宋体"/>
          <w:b/>
          <w:color w:val="000000" w:themeColor="text1"/>
          <w:spacing w:val="-6"/>
          <w:sz w:val="22"/>
          <w:highlight w:val="none"/>
          <w:lang w:eastAsia="zh-CN"/>
          <w14:textFill>
            <w14:solidFill>
              <w14:schemeClr w14:val="tx1"/>
            </w14:solidFill>
          </w14:textFill>
        </w:rPr>
        <w:t>条款为重要条款，如负偏离按扣分处理</w:t>
      </w:r>
      <w:r>
        <w:rPr>
          <w:rFonts w:hint="eastAsia" w:ascii="宋体" w:hAnsi="宋体" w:cs="宋体"/>
          <w:b/>
          <w:color w:val="000000" w:themeColor="text1"/>
          <w:spacing w:val="-6"/>
          <w:sz w:val="22"/>
          <w:highlight w:val="none"/>
          <w14:textFill>
            <w14:solidFill>
              <w14:schemeClr w14:val="tx1"/>
            </w14:solidFill>
          </w14:textFill>
        </w:rPr>
        <w:t>。</w:t>
      </w:r>
    </w:p>
    <w:p>
      <w:pPr>
        <w:numPr>
          <w:ilvl w:val="0"/>
          <w:numId w:val="3"/>
        </w:numPr>
        <w:spacing w:line="360" w:lineRule="exact"/>
        <w:ind w:firstLine="313" w:firstLineChars="150"/>
        <w:rPr>
          <w:rFonts w:ascii="宋体" w:hAnsi="宋体" w:cs="宋体"/>
          <w:b/>
          <w:color w:val="000000" w:themeColor="text1"/>
          <w:spacing w:val="-6"/>
          <w:sz w:val="22"/>
          <w:highlight w:val="none"/>
          <w14:textFill>
            <w14:solidFill>
              <w14:schemeClr w14:val="tx1"/>
            </w14:solidFill>
          </w14:textFill>
        </w:rPr>
      </w:pPr>
      <w:r>
        <w:rPr>
          <w:rFonts w:hint="eastAsia" w:ascii="宋体" w:hAnsi="宋体" w:cs="宋体"/>
          <w:b/>
          <w:color w:val="000000" w:themeColor="text1"/>
          <w:spacing w:val="-6"/>
          <w:sz w:val="22"/>
          <w:highlight w:val="none"/>
          <w14:textFill>
            <w14:solidFill>
              <w14:schemeClr w14:val="tx1"/>
            </w14:solidFill>
          </w14:textFill>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cs="宋体"/>
          <w:b/>
          <w:bCs/>
          <w:color w:val="000000" w:themeColor="text1"/>
          <w:sz w:val="22"/>
          <w:highlight w:val="none"/>
          <w14:textFill>
            <w14:solidFill>
              <w14:schemeClr w14:val="tx1"/>
            </w14:solidFill>
          </w14:textFill>
        </w:rPr>
        <w:t>。</w:t>
      </w:r>
    </w:p>
    <w:p>
      <w:pPr>
        <w:numPr>
          <w:ilvl w:val="0"/>
          <w:numId w:val="3"/>
        </w:numPr>
        <w:spacing w:line="360" w:lineRule="exact"/>
        <w:ind w:firstLine="313" w:firstLineChars="150"/>
        <w:rPr>
          <w:rFonts w:ascii="宋体" w:hAnsi="宋体" w:cs="宋体"/>
          <w:b/>
          <w:color w:val="000000" w:themeColor="text1"/>
          <w:spacing w:val="-6"/>
          <w:sz w:val="22"/>
          <w:highlight w:val="none"/>
          <w14:textFill>
            <w14:solidFill>
              <w14:schemeClr w14:val="tx1"/>
            </w14:solidFill>
          </w14:textFill>
        </w:rPr>
      </w:pPr>
      <w:r>
        <w:rPr>
          <w:rFonts w:hint="eastAsia" w:ascii="宋体" w:hAnsi="宋体" w:cs="宋体"/>
          <w:b/>
          <w:color w:val="000000" w:themeColor="text1"/>
          <w:spacing w:val="-6"/>
          <w:sz w:val="22"/>
          <w:highlight w:val="none"/>
          <w14:textFill>
            <w14:solidFill>
              <w14:schemeClr w14:val="tx1"/>
            </w14:solidFill>
          </w14:textFill>
        </w:rPr>
        <w:t>如技术部分中未特别注明需执行的国家相关标准、行业标准、地方标准或者其他标准、规范，则统一执行最新标准、规范。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9A1FF"/>
    <w:multiLevelType w:val="singleLevel"/>
    <w:tmpl w:val="8FA9A1FF"/>
    <w:lvl w:ilvl="0" w:tentative="0">
      <w:start w:val="1"/>
      <w:numFmt w:val="decimal"/>
      <w:suff w:val="nothing"/>
      <w:lvlText w:val="%1、"/>
      <w:lvlJc w:val="left"/>
    </w:lvl>
  </w:abstractNum>
  <w:abstractNum w:abstractNumId="1">
    <w:nsid w:val="B90DD9CA"/>
    <w:multiLevelType w:val="singleLevel"/>
    <w:tmpl w:val="B90DD9CA"/>
    <w:lvl w:ilvl="0" w:tentative="0">
      <w:start w:val="1"/>
      <w:numFmt w:val="decimal"/>
      <w:suff w:val="nothing"/>
      <w:lvlText w:val="%1、"/>
      <w:lvlJc w:val="left"/>
    </w:lvl>
  </w:abstractNum>
  <w:abstractNum w:abstractNumId="2">
    <w:nsid w:val="3FE7B152"/>
    <w:multiLevelType w:val="singleLevel"/>
    <w:tmpl w:val="3FE7B152"/>
    <w:lvl w:ilvl="0" w:tentative="0">
      <w:start w:val="2"/>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269A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annotation text"/>
    <w:basedOn w:val="1"/>
    <w:qFormat/>
    <w:uiPriority w:val="0"/>
    <w:pPr>
      <w:jc w:val="left"/>
    </w:pPr>
  </w:style>
  <w:style w:type="paragraph" w:customStyle="1" w:styleId="6">
    <w:name w:val="样式 首行缩进:  2 字符"/>
    <w:basedOn w:val="1"/>
    <w:qFormat/>
    <w:uiPriority w:val="0"/>
    <w:pPr>
      <w:ind w:firstLine="200" w:firstLineChars="200"/>
    </w:pPr>
    <w:rPr>
      <w:sz w:val="28"/>
    </w:rPr>
  </w:style>
  <w:style w:type="paragraph" w:customStyle="1" w:styleId="7">
    <w:name w:val="表格文字"/>
    <w:basedOn w:val="8"/>
    <w:next w:val="1"/>
    <w:qFormat/>
    <w:uiPriority w:val="0"/>
    <w:pPr>
      <w:spacing w:line="420" w:lineRule="atLeast"/>
      <w:textAlignment w:val="baseline"/>
    </w:pPr>
    <w:rPr>
      <w:szCs w:val="24"/>
    </w:rPr>
  </w:style>
  <w:style w:type="paragraph" w:customStyle="1" w:styleId="8">
    <w:name w:val="正文 New"/>
    <w:qFormat/>
    <w:uiPriority w:val="0"/>
    <w:pPr>
      <w:widowControl w:val="0"/>
      <w:jc w:val="both"/>
    </w:pPr>
    <w:rPr>
      <w:rFonts w:ascii="Calibri" w:hAnsi="Calibri" w:eastAsia="宋体" w:cs="Times New Roman"/>
      <w:kern w:val="2"/>
      <w:sz w:val="21"/>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2023-11-24T08:13:16Z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DE46DB5366774F2085B08239454D94DB_12</vt:lpwstr>
  </property>
</Properties>
</file>