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采购需求</w:t>
      </w:r>
    </w:p>
    <w:p>
      <w:pPr>
        <w:keepNext w:val="0"/>
        <w:keepLines w:val="0"/>
        <w:pageBreakBefore w:val="0"/>
        <w:kinsoku/>
        <w:wordWrap/>
        <w:overflowPunct/>
        <w:topLinePunct w:val="0"/>
        <w:autoSpaceDE/>
        <w:autoSpaceDN/>
        <w:bidi w:val="0"/>
        <w:adjustRightInd/>
        <w:snapToGrid w:val="0"/>
        <w:spacing w:line="350" w:lineRule="exact"/>
        <w:textAlignment w:val="auto"/>
        <w:rPr>
          <w:rFonts w:hint="eastAsia" w:ascii="宋体" w:hAnsi="宋体" w:eastAsia="宋体" w:cs="宋体"/>
          <w:b/>
          <w:bCs/>
          <w:color w:val="auto"/>
          <w:spacing w:val="-6"/>
          <w:sz w:val="22"/>
          <w:szCs w:val="22"/>
          <w:highlight w:val="none"/>
        </w:rPr>
      </w:pPr>
      <w:bookmarkStart w:id="0" w:name="_Toc479839540"/>
      <w:r>
        <w:rPr>
          <w:rFonts w:hint="eastAsia" w:ascii="宋体" w:hAnsi="宋体" w:eastAsia="宋体" w:cs="宋体"/>
          <w:b/>
          <w:bCs/>
          <w:color w:val="auto"/>
          <w:spacing w:val="-6"/>
          <w:sz w:val="22"/>
          <w:szCs w:val="22"/>
          <w:highlight w:val="none"/>
        </w:rPr>
        <w:t>一、商务要求（技术要求里另有注明的以技术要求为准）</w:t>
      </w:r>
    </w:p>
    <w:tbl>
      <w:tblPr>
        <w:tblStyle w:val="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5"/>
        <w:gridCol w:w="78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5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付款条件</w:t>
            </w:r>
          </w:p>
        </w:tc>
        <w:tc>
          <w:tcPr>
            <w:tcW w:w="7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5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佣金支付时间为该客户已支付全部房价款且成交供应商结算资料提交后（若无异议书面通知成交供应商）30个工作日内支付。成交供应商需确认收到佣金后5个工作日内发放至该套业绩归属经纪人方账户。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5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w:t>
            </w:r>
          </w:p>
        </w:tc>
        <w:tc>
          <w:tcPr>
            <w:tcW w:w="7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5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本项目无履约保证金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5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服务期限</w:t>
            </w:r>
          </w:p>
        </w:tc>
        <w:tc>
          <w:tcPr>
            <w:tcW w:w="7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5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自合同签订之日起1年（</w:t>
            </w:r>
            <w:r>
              <w:rPr>
                <w:rFonts w:hint="eastAsia" w:ascii="宋体" w:hAnsi="宋体" w:eastAsia="宋体" w:cs="宋体"/>
                <w:color w:val="auto"/>
                <w:sz w:val="22"/>
                <w:szCs w:val="22"/>
                <w:highlight w:val="none"/>
                <w:lang w:val="en-US" w:eastAsia="zh-CN"/>
              </w:rPr>
              <w:t>成交供应商在 2024年07月31日前，累计完成带看指标100组，销售指标5套（含），若指标均未完成，采购人有权单方面解除合同</w:t>
            </w:r>
            <w:r>
              <w:rPr>
                <w:rFonts w:hint="eastAsia" w:ascii="宋体" w:hAnsi="宋体" w:eastAsia="宋体" w:cs="宋体"/>
                <w:b/>
                <w:bCs/>
                <w:color w:val="auto"/>
                <w:kern w:val="0"/>
                <w:sz w:val="22"/>
                <w:szCs w:val="22"/>
                <w:highlight w:val="none"/>
                <w:lang w:bidi="ar"/>
              </w:rPr>
              <w:t>。</w:t>
            </w:r>
            <w:r>
              <w:rPr>
                <w:rFonts w:hint="eastAsia" w:ascii="宋体" w:hAnsi="宋体" w:eastAsia="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5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服务地点</w:t>
            </w:r>
          </w:p>
        </w:tc>
        <w:tc>
          <w:tcPr>
            <w:tcW w:w="7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5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温州冶金房地产开发有限公司指定地点（温州市洞头区元觉街道兴岙路168号）</w:t>
            </w:r>
          </w:p>
        </w:tc>
      </w:tr>
    </w:tbl>
    <w:p>
      <w:pPr>
        <w:keepNext w:val="0"/>
        <w:keepLines w:val="0"/>
        <w:pageBreakBefore w:val="0"/>
        <w:kinsoku/>
        <w:wordWrap/>
        <w:overflowPunct/>
        <w:topLinePunct w:val="0"/>
        <w:autoSpaceDE/>
        <w:autoSpaceDN/>
        <w:bidi w:val="0"/>
        <w:adjustRightInd/>
        <w:snapToGrid w:val="0"/>
        <w:spacing w:line="35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pacing w:val="-6"/>
          <w:sz w:val="22"/>
          <w:szCs w:val="22"/>
          <w:highlight w:val="none"/>
          <w:lang w:val="en-US" w:eastAsia="zh-CN"/>
        </w:rPr>
        <w:t>二</w:t>
      </w:r>
      <w:r>
        <w:rPr>
          <w:rFonts w:hint="eastAsia" w:ascii="宋体" w:hAnsi="宋体" w:eastAsia="宋体" w:cs="宋体"/>
          <w:b/>
          <w:bCs/>
          <w:color w:val="auto"/>
          <w:spacing w:val="-6"/>
          <w:sz w:val="22"/>
          <w:szCs w:val="22"/>
          <w:highlight w:val="none"/>
        </w:rPr>
        <w:t>、技术要求</w:t>
      </w:r>
      <w:r>
        <w:rPr>
          <w:rFonts w:hint="eastAsia" w:ascii="宋体" w:hAnsi="宋体" w:eastAsia="宋体" w:cs="宋体"/>
          <w:color w:val="auto"/>
          <w:sz w:val="22"/>
          <w:szCs w:val="2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firstLine="440" w:firstLineChars="200"/>
        <w:contextualSpacing/>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1.为采购人的半岛琴湾（推广名：山海艺墅）项目可售商品房提供渠道代理服务，促成采购人与供应商招揽的客户签订《商品房买卖合同》及其附件、附录等相关法律文件（以下简称“ 《商品房买卖合同》”） 实现采购人售出商品房的目的；</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firstLine="440" w:firstLineChars="200"/>
        <w:contextualSpacing/>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2.主力门店铺排，至少5名经服团队整合联动温州三区一二手门店，每日、每周计划线下地推人员携带项目宣传物料下至门店宣讲。专职渠道团队每日铺排30-40家门店并拍摄照片汇总给采购人；</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firstLine="440" w:firstLineChars="200"/>
        <w:contextualSpacing/>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建立经纪人大群，保持每日释放项目销售信息，成交信息，佣金信息释放不少于20个群，增加经纪人对项目关注导向及项目影响力；提高项目热度，项目贴片及内容发中介大群让经纪人大量转发，转发量提高让客户认知品牌同时可促进项目快速去化。</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firstLine="440" w:firstLineChars="200"/>
        <w:contextualSpacing/>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4.经纪人圈层：组织经纪人邀约持有同类别墅产品客户资源的门店经纪人进行圈层，对项目优势说辞培训，给予快速佣金结算保障，主要目的提高主打项目热情，预计邀约20-30人。</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firstLine="440" w:firstLineChars="200"/>
        <w:contextualSpacing/>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5.整合温州市区及周边郊县经纪人资源，植入项目广告，宣传项目信息，促成带访项目；</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firstLine="440" w:firstLineChars="200"/>
        <w:contextualSpacing/>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6.网罗近3年，洞头项目经纪人带访情况，拜访经纪人，宣传项目信息，促成历史客户带访项目；</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firstLine="440" w:firstLineChars="200"/>
        <w:contextualSpacing/>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7.对项目宣传资料进行设计，含微信贴片、户外广告及海报等的设计；</w:t>
      </w:r>
    </w:p>
    <w:p>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firstLine="440" w:firstLineChars="200"/>
        <w:contextualSpacing/>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8.对同期销售的洞头项目进行数据监测，促成经纪人转带访本项目。</w:t>
      </w:r>
    </w:p>
    <w:p>
      <w:pPr>
        <w:keepNext w:val="0"/>
        <w:keepLines w:val="0"/>
        <w:pageBreakBefore w:val="0"/>
        <w:widowControl/>
        <w:kinsoku/>
        <w:wordWrap/>
        <w:overflowPunct/>
        <w:topLinePunct w:val="0"/>
        <w:autoSpaceDE/>
        <w:autoSpaceDN/>
        <w:bidi w:val="0"/>
        <w:adjustRightInd/>
        <w:spacing w:line="350" w:lineRule="exact"/>
        <w:jc w:val="left"/>
        <w:textAlignment w:val="auto"/>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三</w:t>
      </w:r>
      <w:r>
        <w:rPr>
          <w:rFonts w:hint="eastAsia" w:ascii="宋体" w:hAnsi="宋体" w:eastAsia="宋体" w:cs="宋体"/>
          <w:b/>
          <w:bCs/>
          <w:color w:val="auto"/>
          <w:spacing w:val="-6"/>
          <w:sz w:val="22"/>
          <w:szCs w:val="22"/>
          <w:highlight w:val="none"/>
        </w:rPr>
        <w:t>、报价要求：</w:t>
      </w:r>
    </w:p>
    <w:p>
      <w:pPr>
        <w:keepNext w:val="0"/>
        <w:keepLines w:val="0"/>
        <w:pageBreakBefore w:val="0"/>
        <w:kinsoku/>
        <w:wordWrap/>
        <w:overflowPunct/>
        <w:topLinePunct w:val="0"/>
        <w:autoSpaceDE/>
        <w:autoSpaceDN/>
        <w:bidi w:val="0"/>
        <w:adjustRightInd/>
        <w:spacing w:line="35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1.报价包括</w:t>
      </w:r>
      <w:r>
        <w:rPr>
          <w:rFonts w:hint="eastAsia" w:ascii="宋体" w:hAnsi="宋体" w:eastAsia="宋体" w:cs="宋体"/>
          <w:color w:val="auto"/>
          <w:sz w:val="22"/>
          <w:szCs w:val="22"/>
          <w:highlight w:val="none"/>
          <w:lang w:eastAsia="zh-CN"/>
        </w:rPr>
        <w:t>本次项目实施所需的人员工资、奖金福利、服装、日常办公生活用品、差旅费、保险、利润、税金、培训费、人身意外伤害保险费、政策性文件规定费用及合同包含的所有风险、责任等所有费用，供应商应列入而未列入其中的费用，均视为已包含在内，风险由供应商承担。</w:t>
      </w:r>
    </w:p>
    <w:p>
      <w:pPr>
        <w:keepNext w:val="0"/>
        <w:keepLines w:val="0"/>
        <w:pageBreakBefore w:val="0"/>
        <w:widowControl/>
        <w:kinsoku/>
        <w:wordWrap/>
        <w:overflowPunct/>
        <w:topLinePunct w:val="0"/>
        <w:autoSpaceDE/>
        <w:autoSpaceDN/>
        <w:bidi w:val="0"/>
        <w:adjustRightInd/>
        <w:spacing w:line="350" w:lineRule="exact"/>
        <w:ind w:firstLine="440" w:firstLineChars="200"/>
        <w:jc w:val="left"/>
        <w:textAlignment w:val="auto"/>
        <w:rPr>
          <w:rFonts w:hint="eastAsia" w:ascii="宋体" w:hAnsi="宋体" w:eastAsia="宋体" w:cs="宋体"/>
          <w:b/>
          <w:bCs/>
          <w:color w:val="auto"/>
          <w:spacing w:val="-6"/>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根据销售业绩计提佣金，</w:t>
      </w:r>
      <w:r>
        <w:rPr>
          <w:rFonts w:hint="eastAsia" w:ascii="宋体" w:hAnsi="宋体" w:eastAsia="宋体" w:cs="宋体"/>
          <w:b/>
          <w:color w:val="auto"/>
          <w:spacing w:val="-6"/>
          <w:sz w:val="22"/>
          <w:szCs w:val="22"/>
          <w:highlight w:val="none"/>
          <w:u w:val="single"/>
        </w:rPr>
        <w:t>▲</w:t>
      </w:r>
      <w:r>
        <w:rPr>
          <w:rFonts w:hint="eastAsia" w:ascii="宋体" w:hAnsi="宋体" w:eastAsia="宋体" w:cs="宋体"/>
          <w:color w:val="auto"/>
          <w:sz w:val="22"/>
          <w:szCs w:val="22"/>
          <w:highlight w:val="none"/>
          <w:u w:val="single"/>
          <w:lang w:eastAsia="zh-CN"/>
        </w:rPr>
        <w:t>销售佣金</w:t>
      </w:r>
      <w:r>
        <w:rPr>
          <w:rFonts w:hint="eastAsia" w:ascii="宋体" w:hAnsi="宋体" w:eastAsia="宋体" w:cs="宋体"/>
          <w:color w:val="auto"/>
          <w:sz w:val="22"/>
          <w:szCs w:val="22"/>
          <w:highlight w:val="none"/>
          <w:u w:val="single"/>
          <w:lang w:val="en-US" w:eastAsia="zh-CN"/>
        </w:rPr>
        <w:t>最高限价为4.3%，高于此最高限价的投标无效</w:t>
      </w:r>
      <w:r>
        <w:rPr>
          <w:rFonts w:hint="eastAsia" w:ascii="宋体" w:hAnsi="宋体" w:eastAsia="宋体" w:cs="宋体"/>
          <w:color w:val="auto"/>
          <w:sz w:val="22"/>
          <w:szCs w:val="22"/>
          <w:highlight w:val="none"/>
          <w:lang w:eastAsia="zh-CN"/>
        </w:rPr>
        <w:t>，项目转让、保障房、人才房、非代理公司推荐客户不计入销售业绩，不计提佣金。</w:t>
      </w:r>
    </w:p>
    <w:p>
      <w:pPr>
        <w:keepNext w:val="0"/>
        <w:keepLines w:val="0"/>
        <w:pageBreakBefore w:val="0"/>
        <w:kinsoku/>
        <w:wordWrap/>
        <w:overflowPunct/>
        <w:topLinePunct w:val="0"/>
        <w:autoSpaceDE/>
        <w:autoSpaceDN/>
        <w:bidi w:val="0"/>
        <w:adjustRightInd/>
        <w:snapToGrid w:val="0"/>
        <w:spacing w:line="350" w:lineRule="exact"/>
        <w:textAlignment w:val="auto"/>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四</w:t>
      </w:r>
      <w:r>
        <w:rPr>
          <w:rFonts w:hint="eastAsia" w:ascii="宋体" w:hAnsi="宋体" w:eastAsia="宋体" w:cs="宋体"/>
          <w:b/>
          <w:bCs/>
          <w:color w:val="auto"/>
          <w:spacing w:val="-6"/>
          <w:sz w:val="22"/>
          <w:szCs w:val="22"/>
          <w:highlight w:val="none"/>
        </w:rPr>
        <w:t>、其他</w:t>
      </w:r>
    </w:p>
    <w:p>
      <w:pPr>
        <w:keepNext w:val="0"/>
        <w:keepLines w:val="0"/>
        <w:pageBreakBefore w:val="0"/>
        <w:kinsoku/>
        <w:wordWrap/>
        <w:overflowPunct/>
        <w:topLinePunct w:val="0"/>
        <w:autoSpaceDE/>
        <w:autoSpaceDN/>
        <w:bidi w:val="0"/>
        <w:adjustRightInd/>
        <w:spacing w:line="350" w:lineRule="exact"/>
        <w:ind w:firstLine="418" w:firstLineChars="200"/>
        <w:textAlignment w:val="auto"/>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1、标“▲且加下划线”的有关技术和商务要求为实质性条款，响应方必须做出实质性响应</w:t>
      </w:r>
      <w:r>
        <w:rPr>
          <w:rFonts w:hint="eastAsia" w:ascii="宋体" w:hAnsi="宋体" w:eastAsia="宋体" w:cs="宋体"/>
          <w:b/>
          <w:bCs/>
          <w:color w:val="auto"/>
          <w:spacing w:val="-6"/>
          <w:sz w:val="22"/>
          <w:szCs w:val="22"/>
          <w:highlight w:val="none"/>
        </w:rPr>
        <w:t>，否则视为无效响应文件。</w:t>
      </w:r>
      <w:r>
        <w:rPr>
          <w:rFonts w:hint="eastAsia" w:ascii="宋体" w:hAnsi="宋体" w:eastAsia="宋体" w:cs="宋体"/>
          <w:b/>
          <w:color w:val="auto"/>
          <w:spacing w:val="-6"/>
          <w:sz w:val="22"/>
          <w:szCs w:val="22"/>
          <w:highlight w:val="none"/>
        </w:rPr>
        <w:t>除此之外其余的指标、服务要求以及合同条款可在磋商现场，根据磋商小组与供应商的磋商进行变动。</w:t>
      </w:r>
    </w:p>
    <w:p>
      <w:pPr>
        <w:keepNext w:val="0"/>
        <w:keepLines w:val="0"/>
        <w:pageBreakBefore w:val="0"/>
        <w:kinsoku/>
        <w:wordWrap/>
        <w:overflowPunct/>
        <w:topLinePunct w:val="0"/>
        <w:autoSpaceDE/>
        <w:autoSpaceDN/>
        <w:bidi w:val="0"/>
        <w:adjustRightInd/>
        <w:spacing w:line="350" w:lineRule="exact"/>
        <w:ind w:firstLine="418" w:firstLineChars="200"/>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pacing w:val="-6"/>
          <w:sz w:val="22"/>
          <w:szCs w:val="22"/>
          <w:highlight w:val="none"/>
        </w:rPr>
        <w:t>2、除磋商文件中所明确的采购需求规格外，欢迎其他能满足本项目采购需求且性能相当于或高于所明确的</w:t>
      </w:r>
      <w:r>
        <w:rPr>
          <w:rFonts w:hint="eastAsia" w:ascii="宋体" w:hAnsi="宋体" w:eastAsia="宋体" w:cs="宋体"/>
          <w:b/>
          <w:color w:val="auto"/>
          <w:spacing w:val="-6"/>
          <w:sz w:val="22"/>
          <w:szCs w:val="22"/>
          <w:highlight w:val="none"/>
          <w:lang w:val="en-US" w:eastAsia="zh-CN"/>
        </w:rPr>
        <w:t>服务</w:t>
      </w:r>
      <w:r>
        <w:rPr>
          <w:rFonts w:hint="eastAsia" w:ascii="宋体" w:hAnsi="宋体" w:eastAsia="宋体" w:cs="宋体"/>
          <w:b/>
          <w:color w:val="auto"/>
          <w:spacing w:val="-6"/>
          <w:sz w:val="22"/>
          <w:szCs w:val="22"/>
          <w:highlight w:val="none"/>
        </w:rPr>
        <w:t>参加磋商报价。同时在采购需求偏离表中作出详细对比说明</w:t>
      </w:r>
      <w:r>
        <w:rPr>
          <w:rFonts w:hint="eastAsia" w:ascii="宋体" w:hAnsi="宋体" w:eastAsia="宋体" w:cs="宋体"/>
          <w:b/>
          <w:bCs/>
          <w:color w:val="auto"/>
          <w:kern w:val="0"/>
          <w:sz w:val="22"/>
          <w:szCs w:val="22"/>
          <w:highlight w:val="none"/>
        </w:rPr>
        <w:t>。</w:t>
      </w:r>
    </w:p>
    <w:p>
      <w:pPr>
        <w:keepNext w:val="0"/>
        <w:keepLines w:val="0"/>
        <w:pageBreakBefore w:val="0"/>
        <w:kinsoku/>
        <w:wordWrap/>
        <w:overflowPunct/>
        <w:topLinePunct w:val="0"/>
        <w:autoSpaceDE/>
        <w:autoSpaceDN/>
        <w:bidi w:val="0"/>
        <w:adjustRightInd/>
        <w:snapToGrid w:val="0"/>
        <w:spacing w:line="350" w:lineRule="exact"/>
        <w:ind w:firstLine="418" w:firstLineChars="200"/>
        <w:jc w:val="left"/>
        <w:textAlignment w:val="auto"/>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3.如技术部分中未特别注明需执行的国家相关标准、行业标准、地方标准或者其他标准、规范，则统一执行最新标准、规范。</w:t>
      </w:r>
    </w:p>
    <w:p>
      <w:pPr>
        <w:rPr>
          <w:rFonts w:hint="eastAsia" w:ascii="宋体" w:hAnsi="宋体" w:eastAsia="宋体" w:cs="宋体"/>
          <w:color w:val="auto"/>
          <w:highlight w:val="none"/>
        </w:rPr>
      </w:pPr>
    </w:p>
    <w:bookmarkEnd w:id="0"/>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NTQyMDU4ZjViYTgyY2JhMWRhOWMxODQ1Zjg1MTIifQ=="/>
  </w:docVars>
  <w:rsids>
    <w:rsidRoot w:val="00000000"/>
    <w:rsid w:val="66CA1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cp:lastModifiedBy>
  <dcterms:modified xsi:type="dcterms:W3CDTF">2023-11-09T07:17:08Z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07AF3E37ECBD45FB908EF831EA68F686_12</vt:lpwstr>
  </property>
</Properties>
</file>