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第三部分 采购需求</w:t>
      </w:r>
    </w:p>
    <w:p>
      <w:pPr>
        <w:snapToGrid w:val="0"/>
        <w:spacing w:line="36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bookmarkStart w:id="0" w:name="_Toc479839540"/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一、采购内容及数量</w:t>
      </w:r>
    </w:p>
    <w:tbl>
      <w:tblPr>
        <w:tblStyle w:val="5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166"/>
        <w:gridCol w:w="2073"/>
        <w:gridCol w:w="1504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项目内容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服务期 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预算（元）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2023年温州市区读地手册项目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" w:eastAsia="zh-CN"/>
              </w:rPr>
              <w:t>合同签订之日起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日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  <w:t>330000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/>
                <w:highlight w:val="none"/>
              </w:rPr>
            </w:pPr>
          </w:p>
        </w:tc>
      </w:tr>
    </w:tbl>
    <w:p>
      <w:pPr>
        <w:snapToGrid w:val="0"/>
        <w:spacing w:line="360" w:lineRule="exact"/>
        <w:outlineLvl w:val="0"/>
        <w:rPr>
          <w:rFonts w:hint="eastAsia" w:ascii="宋体" w:hAnsi="宋体" w:cs="宋体"/>
          <w:b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</w:rPr>
        <w:t>二、</w:t>
      </w: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商务要求（技术要求里另有注明的以技术要求为准）</w:t>
      </w: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u w:val="single"/>
              </w:rPr>
              <w:t>付款条件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）合同签订后，乙方提供发票7个工作日内，甲方向乙方支付合同总金额的30%；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）完成读地手册1期、重点片区航拍、出让计划地块及备选地块、第一轮做地计划地块和做地备选地块的航拍后，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eastAsia="zh-CN"/>
              </w:rPr>
              <w:t>甲方向乙方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支付合同总金额的40%；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）乙方完成合同全部服务内容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eastAsia="zh-CN"/>
              </w:rPr>
              <w:t>且验收合格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后，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eastAsia="zh-CN"/>
              </w:rPr>
              <w:t>甲方向乙方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支付合同总金额的30%。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u w:val="single"/>
              </w:rPr>
              <w:t>履约保证金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eastAsia="zh-CN"/>
              </w:rPr>
              <w:t>本项目不收取履约保证金。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" w:eastAsia="zh-CN"/>
              </w:rPr>
              <w:t>合同签订之日起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服务地点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采购人指定地点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90" w:lineRule="exact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服务期满并通过验收。</w:t>
            </w:r>
          </w:p>
        </w:tc>
      </w:tr>
    </w:tbl>
    <w:p>
      <w:pPr>
        <w:numPr>
          <w:ilvl w:val="0"/>
          <w:numId w:val="1"/>
        </w:numPr>
        <w:snapToGrid w:val="0"/>
        <w:spacing w:line="36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color w:val="auto"/>
          <w:spacing w:val="2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pacing w:val="20"/>
          <w:sz w:val="22"/>
          <w:szCs w:val="22"/>
          <w:highlight w:val="none"/>
          <w:shd w:val="clear" w:color="auto" w:fill="auto"/>
        </w:rPr>
        <w:t>第一条 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  <w:t>2023年温州市区读地手册项目内容包括读地手册成果制作、做地出让地块航拍、重点片区航拍3项内容。其中读地手册是制作出让重点地块详细的宣传手册，并发布推介；做地出让地块航拍是对出让计划地块、出让备选地块、做地计划地块、做地备选地块进行无人机航拍；重点片区航拍是对市区谋划的重点做地片区进行巡航式、全范围的拍摄，以上拍摄及手册内容均录入温州“云读地”应用平台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b/>
          <w:color w:val="auto"/>
          <w:spacing w:val="2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pacing w:val="20"/>
          <w:sz w:val="22"/>
          <w:szCs w:val="22"/>
          <w:highlight w:val="none"/>
          <w:shd w:val="clear" w:color="auto" w:fill="auto"/>
        </w:rPr>
        <w:t>第二条 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shd w:val="clear" w:color="auto" w:fill="auto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（一）读地手册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</w:pP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  <w:t>1、期数及时间：制作读地手册共3期。具体根据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  <w:t>工作安排需要而定，每期在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  <w:t>提供出让地块清单、每宗地的控规图等基础资料后15日内出具电子版成果，每期手册纸制彩色印刷不少于30份。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/>
        </w:rPr>
        <w:t>2、版面设计：手册应包含封面、前言、目录、地块清单表、地块汇总分布地图、地块具体介绍页面等内容。读地手册需进行整体风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格设计，要求页面排版整齐美观，风格突出温州城市特色。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3、地块要求：每宗地块介绍页面需配置地块及周边现状图、控规图、具体文字介绍等。地块及其周边现状由无人机进行航拍，编制地块现状正射影像图(须编注地块位置)、360度全景图（须编注地块位置），并在地块区位图中标注地块周边的配套情况（如：学校、医院、交通、菜场、商场、公园等）。地块文字介绍需突出地块优势、符合实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4、“云读地”：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需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配合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将每期读地手册发布到温州“云读地”，通过“云读地”进行线上查看，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需将“云读地”在有关公众信息平台进行推送宣传。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（二）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做地出让地块航拍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1、地块的确定：航拍的地块包括温州市区2023年度经营性出让计划地块、出让备选地块、做地计划地块、做地备选地块及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其他计划外采购人选取的重点地块，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市区经营性用地做地、出让计划经中期调整后新增的地块需进行补拍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。做地地块约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110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宗需要拍摄，拍摄2轮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出让备选地块约30宗需要拍摄，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拍摄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1轮；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读地手册制作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时，未航拍的出让计划地块需补齐拍摄。以上拍摄地块在无人机限飞区除外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。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需提供地块基础信息资料，包括地块范围图纸、指标数据等。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2、地块拍摄的要求：地块及其周边现状由无人机进行航拍，并配合录入“云读地”系统，通过线上链接进行地块信息的可视化展示，展示内容包括地块现状正射影像图(须编注地块位置)、360度全景图（须编注地块范围）、地块周边的配套情况（如：学校、医院、交通、菜场、商场、公园等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3、时间要求：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根据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要求分批次进行地块航拍，每批次地块航拍成果在</w:t>
      </w:r>
      <w:r>
        <w:rPr>
          <w:rFonts w:hint="eastAsia" w:ascii="宋体" w:hAnsi="宋体" w:eastAsia="宋体" w:cs="宋体"/>
          <w:spacing w:val="0"/>
          <w:w w:val="100"/>
          <w:kern w:val="0"/>
          <w:sz w:val="22"/>
          <w:szCs w:val="22"/>
          <w:highlight w:val="none"/>
          <w:lang w:val="en"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提供地块清单、每宗地的控规图等基础资料后15日内出具。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（三）重点片区航拍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1、重点片区的确定：航拍片区的范围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及数量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由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根据温州市区土地出让工作安排需要而定，片区数量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18处，每个片区选取15-25个点拍摄。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需提供片区基础信息资料，包括片区范围图纸、指标数据等。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2、重点片区拍摄的要求：片区现状由无人机进行航拍，并通过线上链接进行地块信息的可视化展示，包括片区现状正射影像图(须编片区块位置)、360度全景图（须编注片区范围）。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3、时间要求：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需在签订服务合同后一个月内完成重点片区航拍工作。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第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双方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    1、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提供地块相关基础信息，包括地块规划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条件、红线图等地块资料。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 xml:space="preserve"> 2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及时确认读地手册成果、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地块航拍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等内容。</w:t>
      </w:r>
    </w:p>
    <w:p>
      <w:pPr>
        <w:pStyle w:val="7"/>
        <w:spacing w:line="360" w:lineRule="exact"/>
        <w:ind w:firstLine="440" w:firstLineChars="200"/>
        <w:rPr>
          <w:rFonts w:hint="eastAsia" w:ascii="宋体" w:hAnsi="宋体" w:cs="宋体"/>
          <w:b/>
          <w:spacing w:val="-6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负责读地手册制作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和地块航拍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，包括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读地手册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地块拍摄、照片整理、文字编写、版面设计、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成果印刷、航拍地块可视化展示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等，同时须配合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将航拍地块信息和读地手册成果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发布到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“温州云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读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地”应用系统。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第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条 保密义务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jc w:val="left"/>
        <w:textAlignment w:val="auto"/>
        <w:rPr>
          <w:rFonts w:hint="eastAsia" w:ascii="宋体" w:hAnsi="宋体" w:cs="宋体"/>
          <w:b/>
          <w:spacing w:val="-6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读地手册和航拍成果属采购人所有，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未经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同意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，供应商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不得将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  <w:lang w:eastAsia="zh-CN"/>
        </w:rPr>
        <w:t>涉及项目的有关</w:t>
      </w:r>
      <w:r>
        <w:rPr>
          <w:rFonts w:hint="eastAsia" w:ascii="宋体" w:hAnsi="宋体" w:eastAsia="宋体" w:cs="宋体"/>
          <w:color w:val="auto"/>
          <w:spacing w:val="0"/>
          <w:w w:val="100"/>
          <w:sz w:val="22"/>
          <w:szCs w:val="22"/>
          <w:highlight w:val="none"/>
          <w:shd w:val="clear" w:color="auto" w:fill="auto"/>
        </w:rPr>
        <w:t>信息对外发布或披露、提供给任何第三方。</w:t>
      </w:r>
    </w:p>
    <w:p>
      <w:pPr>
        <w:pStyle w:val="7"/>
        <w:spacing w:line="360" w:lineRule="exact"/>
        <w:ind w:firstLine="0" w:firstLineChars="0"/>
        <w:rPr>
          <w:rFonts w:hint="eastAsia" w:ascii="宋体" w:hAnsi="宋体" w:cs="宋体"/>
          <w:b/>
          <w:spacing w:val="-6"/>
          <w:sz w:val="22"/>
          <w:highlight w:val="none"/>
        </w:rPr>
      </w:pPr>
      <w:r>
        <w:rPr>
          <w:rFonts w:hint="eastAsia" w:ascii="宋体" w:hAnsi="宋体" w:cs="宋体"/>
          <w:b/>
          <w:spacing w:val="-6"/>
          <w:sz w:val="22"/>
          <w:highlight w:val="none"/>
        </w:rPr>
        <w:t>四、其他</w:t>
      </w:r>
    </w:p>
    <w:p>
      <w:pPr>
        <w:spacing w:line="360" w:lineRule="exact"/>
        <w:ind w:firstLine="313" w:firstLineChars="150"/>
        <w:rPr>
          <w:rFonts w:hint="eastAsia" w:ascii="宋体" w:hAnsi="宋体" w:cs="宋体"/>
          <w:b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1、标“▲且加下划线”的有关技术和商务要求为实质性条款，供应商必须做出实质性响应</w:t>
      </w: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，否则视为无效响应文件。</w:t>
      </w: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除此之外其余的指标、服务要求以及合同条款可在磋商现场，根据磋商小组与供应商的磋商进行变动。</w:t>
      </w:r>
    </w:p>
    <w:p>
      <w:pPr>
        <w:snapToGrid w:val="0"/>
        <w:spacing w:line="360" w:lineRule="exact"/>
        <w:ind w:firstLine="418" w:firstLineChars="200"/>
        <w:jc w:val="left"/>
        <w:rPr>
          <w:rFonts w:hint="eastAsia" w:ascii="宋体" w:hAnsi="宋体" w:cs="宋体"/>
          <w:b/>
          <w:sz w:val="22"/>
          <w:szCs w:val="22"/>
          <w:highlight w:val="none"/>
        </w:rPr>
      </w:pP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2、如技术要求中未特别注明需执行的国家相关标准、行业标准、地方标准或者其他标准、规范，则统一执行最新标准、规范。</w:t>
      </w:r>
    </w:p>
    <w:bookmarkEnd w:id="0"/>
    <w:p>
      <w:pPr>
        <w:rPr>
          <w:rFonts w:hint="default"/>
          <w:lang w:val="e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4492D"/>
    <w:multiLevelType w:val="singleLevel"/>
    <w:tmpl w:val="5A6449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NzY0ZjAzNmI0Y2Y3ZTk4ZDNiYzVjOTlmN2Y3MTQifQ=="/>
  </w:docVars>
  <w:rsids>
    <w:rsidRoot w:val="7FEEDDED"/>
    <w:rsid w:val="7D2A4CFF"/>
    <w:rsid w:val="7FEE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404</Characters>
  <Lines>0</Lines>
  <Paragraphs>0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2023-01-10T09:37:00Z</dcterms:created>
  <dc:creator>greatwall</dc:creator>
  <cp:lastModifiedBy>密</cp:lastModifiedBy>
  <dcterms:modified xsi:type="dcterms:W3CDTF">2023-06-27T05:32:26Z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51339A5143B641D99AEAA3CB0946BA52_12</vt:lpwstr>
  </property>
</Properties>
</file>