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outlineLvl w:val="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采购需求</w:t>
      </w:r>
    </w:p>
    <w:p>
      <w:pPr>
        <w:snapToGrid w:val="0"/>
        <w:spacing w:line="340" w:lineRule="exac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一、采购内容及数量</w:t>
      </w:r>
    </w:p>
    <w:tbl>
      <w:tblPr>
        <w:tblStyle w:val="10"/>
        <w:tblW w:w="0" w:type="auto"/>
        <w:jc w:val="center"/>
        <w:tblLayout w:type="fixed"/>
        <w:tblCellMar>
          <w:top w:w="0" w:type="dxa"/>
          <w:left w:w="108" w:type="dxa"/>
          <w:bottom w:w="0" w:type="dxa"/>
          <w:right w:w="108" w:type="dxa"/>
        </w:tblCellMar>
      </w:tblPr>
      <w:tblGrid>
        <w:gridCol w:w="769"/>
        <w:gridCol w:w="4074"/>
        <w:gridCol w:w="1335"/>
        <w:gridCol w:w="1243"/>
      </w:tblGrid>
      <w:tr>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40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项目内容</w:t>
            </w:r>
          </w:p>
        </w:tc>
        <w:tc>
          <w:tcPr>
            <w:tcW w:w="133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243"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074"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机房改造</w:t>
            </w:r>
          </w:p>
        </w:tc>
        <w:tc>
          <w:tcPr>
            <w:tcW w:w="133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12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p>
        </w:tc>
      </w:tr>
    </w:tbl>
    <w:p>
      <w:pPr>
        <w:snapToGrid w:val="0"/>
        <w:spacing w:line="340" w:lineRule="exact"/>
        <w:rPr>
          <w:rFonts w:hint="eastAsia" w:ascii="宋体" w:hAnsi="宋体" w:eastAsia="宋体" w:cs="宋体"/>
          <w:b/>
          <w:color w:val="auto"/>
          <w:spacing w:val="-6"/>
          <w:sz w:val="22"/>
          <w:szCs w:val="22"/>
          <w:highlight w:val="none"/>
        </w:rPr>
      </w:pPr>
      <w:r>
        <w:rPr>
          <w:rFonts w:hint="eastAsia" w:ascii="宋体" w:hAnsi="宋体" w:eastAsia="宋体" w:cs="宋体"/>
          <w:b/>
          <w:bCs/>
          <w:color w:val="auto"/>
          <w:kern w:val="0"/>
          <w:sz w:val="22"/>
          <w:szCs w:val="22"/>
          <w:highlight w:val="none"/>
        </w:rPr>
        <w:t>二、</w:t>
      </w:r>
      <w:r>
        <w:rPr>
          <w:rFonts w:hint="eastAsia" w:ascii="宋体" w:hAnsi="宋体" w:eastAsia="宋体" w:cs="宋体"/>
          <w:b/>
          <w:color w:val="auto"/>
          <w:spacing w:val="-6"/>
          <w:sz w:val="22"/>
          <w:szCs w:val="22"/>
          <w:highlight w:val="none"/>
        </w:rPr>
        <w:t>商务要求（技术要求里另有注明的以技术要求为准）</w:t>
      </w:r>
    </w:p>
    <w:tbl>
      <w:tblPr>
        <w:tblStyle w:val="10"/>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noWrap w:val="0"/>
            <w:vAlign w:val="center"/>
          </w:tcPr>
          <w:p>
            <w:pP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付款方式</w:t>
            </w:r>
          </w:p>
        </w:tc>
        <w:tc>
          <w:tcPr>
            <w:tcW w:w="8009" w:type="dxa"/>
            <w:noWrap w:val="0"/>
            <w:vAlign w:val="center"/>
          </w:tcPr>
          <w:p>
            <w:pPr>
              <w:pStyle w:val="8"/>
              <w:widowControl/>
              <w:adjustRightInd w:val="0"/>
              <w:snapToGrid w:val="0"/>
              <w:spacing w:line="360" w:lineRule="exact"/>
              <w:rPr>
                <w:rFonts w:hint="eastAsia" w:ascii="宋体" w:hAnsi="宋体" w:eastAsia="宋体" w:cs="宋体"/>
                <w:color w:val="auto"/>
                <w:sz w:val="22"/>
                <w:szCs w:val="22"/>
                <w:highlight w:val="none"/>
                <w:u w:val="single"/>
              </w:rPr>
            </w:pPr>
            <w:r>
              <w:rPr>
                <w:rFonts w:hint="eastAsia" w:ascii="宋体" w:hAnsi="宋体" w:eastAsia="宋体" w:cs="宋体"/>
                <w:b/>
                <w:bCs/>
                <w:color w:val="auto"/>
                <w:spacing w:val="-6"/>
                <w:sz w:val="22"/>
                <w:szCs w:val="22"/>
                <w:highlight w:val="none"/>
                <w:u w:val="single"/>
              </w:rPr>
              <w:t>▲</w:t>
            </w:r>
            <w:r>
              <w:rPr>
                <w:rFonts w:hint="eastAsia" w:ascii="宋体" w:hAnsi="宋体" w:eastAsia="宋体" w:cs="宋体"/>
                <w:color w:val="auto"/>
                <w:sz w:val="22"/>
                <w:szCs w:val="22"/>
                <w:highlight w:val="none"/>
                <w:u w:val="single"/>
              </w:rPr>
              <w:t>合同金额结算及支付方式：</w:t>
            </w:r>
          </w:p>
          <w:p>
            <w:pPr>
              <w:spacing w:line="34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合同生效、采购人收到成交供应商出具的合同金额 40 %保函以及具备实施条件后7个工作日内，向成交供应商支付合同总额40%的预付款；成交供应商</w:t>
            </w:r>
            <w:r>
              <w:rPr>
                <w:rFonts w:hint="eastAsia" w:ascii="宋体" w:hAnsi="宋体" w:eastAsia="宋体" w:cs="宋体"/>
                <w:color w:val="auto"/>
                <w:sz w:val="22"/>
                <w:szCs w:val="22"/>
                <w:highlight w:val="none"/>
                <w:u w:val="single"/>
                <w:lang w:val="zh-CN"/>
              </w:rPr>
              <w:t>完成全部服务，</w:t>
            </w: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val="zh-CN"/>
              </w:rPr>
              <w:t>验收合格并收到</w:t>
            </w:r>
            <w:r>
              <w:rPr>
                <w:rFonts w:hint="eastAsia" w:ascii="宋体" w:hAnsi="宋体" w:eastAsia="宋体" w:cs="宋体"/>
                <w:color w:val="auto"/>
                <w:sz w:val="22"/>
                <w:szCs w:val="22"/>
                <w:highlight w:val="none"/>
                <w:u w:val="single"/>
              </w:rPr>
              <w:t>成交供应商</w:t>
            </w:r>
            <w:r>
              <w:rPr>
                <w:rFonts w:hint="eastAsia" w:ascii="宋体" w:hAnsi="宋体" w:eastAsia="宋体" w:cs="宋体"/>
                <w:color w:val="auto"/>
                <w:sz w:val="22"/>
                <w:szCs w:val="22"/>
                <w:highlight w:val="none"/>
                <w:u w:val="single"/>
                <w:lang w:val="zh-CN"/>
              </w:rPr>
              <w:t>出具全额增值税发票后</w:t>
            </w:r>
            <w:r>
              <w:rPr>
                <w:rFonts w:hint="eastAsia" w:ascii="宋体" w:hAnsi="宋体" w:eastAsia="宋体" w:cs="宋体"/>
                <w:color w:val="auto"/>
                <w:sz w:val="22"/>
                <w:szCs w:val="22"/>
                <w:highlight w:val="none"/>
                <w:u w:val="single"/>
              </w:rPr>
              <w:t>7</w:t>
            </w:r>
            <w:r>
              <w:rPr>
                <w:rFonts w:hint="eastAsia" w:ascii="宋体" w:hAnsi="宋体" w:eastAsia="宋体" w:cs="宋体"/>
                <w:color w:val="auto"/>
                <w:sz w:val="22"/>
                <w:szCs w:val="22"/>
                <w:highlight w:val="none"/>
                <w:u w:val="single"/>
                <w:lang w:val="zh-CN"/>
              </w:rPr>
              <w:t>个工作日内，</w:t>
            </w:r>
            <w:r>
              <w:rPr>
                <w:rFonts w:hint="eastAsia" w:ascii="宋体" w:hAnsi="宋体" w:eastAsia="宋体" w:cs="宋体"/>
                <w:color w:val="auto"/>
                <w:sz w:val="22"/>
                <w:szCs w:val="22"/>
                <w:highlight w:val="none"/>
                <w:u w:val="single"/>
              </w:rPr>
              <w:t>采购人支付剩余的合同款并退还保函</w:t>
            </w:r>
            <w:r>
              <w:rPr>
                <w:rFonts w:hint="eastAsia" w:ascii="宋体" w:hAnsi="宋体" w:eastAsia="宋体" w:cs="宋体"/>
                <w:color w:val="auto"/>
                <w:sz w:val="22"/>
                <w:szCs w:val="22"/>
                <w:highlight w:val="none"/>
                <w:u w:val="single"/>
                <w:lang w:val="zh-CN"/>
              </w:rPr>
              <w:t>。</w:t>
            </w:r>
            <w:r>
              <w:rPr>
                <w:rFonts w:hint="eastAsia" w:ascii="宋体" w:hAnsi="宋体" w:eastAsia="宋体" w:cs="宋体"/>
                <w:color w:val="auto"/>
                <w:sz w:val="22"/>
                <w:szCs w:val="22"/>
                <w:highlight w:val="none"/>
                <w:u w:val="single"/>
              </w:rPr>
              <w:t>在合同签订时，</w:t>
            </w:r>
            <w:r>
              <w:rPr>
                <w:rFonts w:hint="eastAsia" w:ascii="宋体" w:hAnsi="宋体" w:eastAsia="宋体" w:cs="宋体"/>
                <w:color w:val="auto"/>
                <w:sz w:val="22"/>
                <w:szCs w:val="22"/>
                <w:highlight w:val="none"/>
                <w:u w:val="single"/>
                <w:lang w:val="zh-CN"/>
              </w:rPr>
              <w:t>若</w:t>
            </w:r>
            <w:r>
              <w:rPr>
                <w:rFonts w:hint="eastAsia" w:ascii="宋体" w:hAnsi="宋体" w:eastAsia="宋体" w:cs="宋体"/>
                <w:color w:val="auto"/>
                <w:sz w:val="22"/>
                <w:szCs w:val="22"/>
                <w:highlight w:val="none"/>
                <w:u w:val="single"/>
              </w:rPr>
              <w:t>成交供应商</w:t>
            </w:r>
            <w:r>
              <w:rPr>
                <w:rFonts w:hint="eastAsia" w:ascii="宋体" w:hAnsi="宋体" w:eastAsia="宋体" w:cs="宋体"/>
                <w:color w:val="auto"/>
                <w:sz w:val="22"/>
                <w:szCs w:val="22"/>
                <w:highlight w:val="none"/>
                <w:u w:val="single"/>
                <w:lang w:val="zh-CN"/>
              </w:rPr>
              <w:t>自愿放弃预付款按</w:t>
            </w:r>
            <w:r>
              <w:rPr>
                <w:rFonts w:hint="eastAsia" w:ascii="宋体" w:hAnsi="宋体" w:eastAsia="宋体" w:cs="宋体"/>
                <w:color w:val="auto"/>
                <w:sz w:val="22"/>
                <w:szCs w:val="22"/>
                <w:highlight w:val="none"/>
                <w:u w:val="single"/>
              </w:rPr>
              <w:t>成交供应商</w:t>
            </w:r>
            <w:r>
              <w:rPr>
                <w:rFonts w:hint="eastAsia" w:ascii="宋体" w:hAnsi="宋体" w:eastAsia="宋体" w:cs="宋体"/>
                <w:color w:val="auto"/>
                <w:sz w:val="22"/>
                <w:szCs w:val="22"/>
                <w:highlight w:val="none"/>
                <w:u w:val="single"/>
                <w:lang w:val="zh-CN"/>
              </w:rPr>
              <w:t>完成全部服务，</w:t>
            </w: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val="zh-CN"/>
              </w:rPr>
              <w:t>验收合格并收到</w:t>
            </w:r>
            <w:r>
              <w:rPr>
                <w:rFonts w:hint="eastAsia" w:ascii="宋体" w:hAnsi="宋体" w:eastAsia="宋体" w:cs="宋体"/>
                <w:color w:val="auto"/>
                <w:sz w:val="22"/>
                <w:szCs w:val="22"/>
                <w:highlight w:val="none"/>
                <w:u w:val="single"/>
              </w:rPr>
              <w:t>成交供应商</w:t>
            </w:r>
            <w:r>
              <w:rPr>
                <w:rFonts w:hint="eastAsia" w:ascii="宋体" w:hAnsi="宋体" w:eastAsia="宋体" w:cs="宋体"/>
                <w:color w:val="auto"/>
                <w:sz w:val="22"/>
                <w:szCs w:val="22"/>
                <w:highlight w:val="none"/>
                <w:u w:val="single"/>
                <w:lang w:val="zh-CN"/>
              </w:rPr>
              <w:t>出具全额增值税发票后7个工作日内，</w:t>
            </w: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val="zh-CN"/>
              </w:rPr>
              <w:t>支付全额的合同款</w:t>
            </w:r>
            <w:r>
              <w:rPr>
                <w:rFonts w:hint="eastAsia" w:ascii="宋体" w:hAnsi="宋体" w:eastAsia="宋体" w:cs="宋体"/>
                <w:color w:val="auto"/>
                <w:sz w:val="22"/>
                <w:szCs w:val="22"/>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0" w:type="dxa"/>
            <w:noWrap w:val="0"/>
            <w:vAlign w:val="center"/>
          </w:tcPr>
          <w:p>
            <w:pP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履约保证金</w:t>
            </w:r>
          </w:p>
        </w:tc>
        <w:tc>
          <w:tcPr>
            <w:tcW w:w="8009" w:type="dxa"/>
            <w:noWrap w:val="0"/>
            <w:vAlign w:val="center"/>
          </w:tcPr>
          <w:p>
            <w:pPr>
              <w:spacing w:line="3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noWrap w:val="0"/>
            <w:vAlign w:val="center"/>
          </w:tcPr>
          <w:p>
            <w:pPr>
              <w:widowControl/>
              <w:adjustRightInd w:val="0"/>
              <w:snapToGrid w:val="0"/>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服务时间</w:t>
            </w:r>
          </w:p>
        </w:tc>
        <w:tc>
          <w:tcPr>
            <w:tcW w:w="8009" w:type="dxa"/>
            <w:noWrap w:val="0"/>
            <w:vAlign w:val="center"/>
          </w:tcPr>
          <w:p>
            <w:pPr>
              <w:pStyle w:val="8"/>
              <w:widowControl/>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合同签订后1个月内</w:t>
            </w:r>
            <w:r>
              <w:rPr>
                <w:rFonts w:hint="eastAsia" w:ascii="宋体" w:hAnsi="宋体" w:eastAsia="宋体" w:cs="宋体"/>
                <w:color w:val="auto"/>
                <w:sz w:val="22"/>
                <w:szCs w:val="22"/>
                <w:highlight w:val="none"/>
                <w:lang w:val="en-US" w:eastAsia="zh-CN"/>
              </w:rPr>
              <w:t>完成</w:t>
            </w:r>
            <w:r>
              <w:rPr>
                <w:rFonts w:hint="eastAsia" w:ascii="宋体" w:hAnsi="宋体" w:eastAsia="宋体" w:cs="宋体"/>
                <w:color w:val="auto"/>
                <w:sz w:val="22"/>
                <w:szCs w:val="22"/>
                <w:highlight w:val="none"/>
              </w:rPr>
              <w:t>全部服务。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noWrap w:val="0"/>
            <w:vAlign w:val="center"/>
          </w:tcPr>
          <w:p>
            <w:pPr>
              <w:widowControl/>
              <w:adjustRightInd w:val="0"/>
              <w:snapToGrid w:val="0"/>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服务效率</w:t>
            </w:r>
          </w:p>
        </w:tc>
        <w:tc>
          <w:tcPr>
            <w:tcW w:w="8009" w:type="dxa"/>
            <w:noWrap w:val="0"/>
            <w:vAlign w:val="center"/>
          </w:tcPr>
          <w:p>
            <w:pPr>
              <w:pStyle w:val="8"/>
              <w:widowControl/>
              <w:adjustRightInd w:val="0"/>
              <w:snapToGrid w:val="0"/>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1.质保期内</w:t>
            </w:r>
            <w:r>
              <w:rPr>
                <w:rFonts w:hint="eastAsia" w:ascii="宋体" w:hAnsi="宋体" w:eastAsia="宋体" w:cs="宋体"/>
                <w:color w:val="auto"/>
                <w:kern w:val="0"/>
                <w:sz w:val="22"/>
                <w:szCs w:val="22"/>
                <w:highlight w:val="none"/>
              </w:rPr>
              <w:t>提供应急响应服务，当安全威胁事件发生或安全问题影响到业务正常运转后，供应商在接到应急响应需求后2小时内到达现场，并采取措施和行动，以最快速度恢复系统的保密性、完整性和可用性，阻止和降低相关事件带来的严重性影响，恢复业务到正常服务状态。</w:t>
            </w:r>
          </w:p>
          <w:p>
            <w:pPr>
              <w:pStyle w:val="8"/>
              <w:widowControl/>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color w:val="auto"/>
                <w:sz w:val="22"/>
                <w:szCs w:val="22"/>
                <w:highlight w:val="none"/>
              </w:rPr>
              <w:t>质保期内</w:t>
            </w:r>
            <w:r>
              <w:rPr>
                <w:rFonts w:hint="eastAsia" w:ascii="宋体" w:hAnsi="宋体" w:eastAsia="宋体" w:cs="宋体"/>
                <w:color w:val="auto"/>
                <w:kern w:val="0"/>
                <w:sz w:val="22"/>
                <w:szCs w:val="22"/>
                <w:highlight w:val="none"/>
              </w:rPr>
              <w:t>提供现场检查，检查频次和检查内容，依照标准化流程，定期对采购人的系统进行检查，了解系统的整体工作状态，并为采购人提供详细、专业的巡检服务报告。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noWrap w:val="0"/>
            <w:vAlign w:val="center"/>
          </w:tcPr>
          <w:p>
            <w:pPr>
              <w:spacing w:line="3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服务地点</w:t>
            </w:r>
          </w:p>
        </w:tc>
        <w:tc>
          <w:tcPr>
            <w:tcW w:w="8009" w:type="dxa"/>
            <w:noWrap w:val="0"/>
            <w:vAlign w:val="center"/>
          </w:tcPr>
          <w:p>
            <w:pPr>
              <w:spacing w:line="3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温州大学指定地点。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noWrap w:val="0"/>
            <w:vAlign w:val="center"/>
          </w:tcPr>
          <w:p>
            <w:pPr>
              <w:widowControl/>
              <w:adjustRightInd w:val="0"/>
              <w:snapToGrid w:val="0"/>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质保期</w:t>
            </w:r>
          </w:p>
        </w:tc>
        <w:tc>
          <w:tcPr>
            <w:tcW w:w="8009" w:type="dxa"/>
            <w:noWrap w:val="0"/>
            <w:vAlign w:val="center"/>
          </w:tcPr>
          <w:p>
            <w:pPr>
              <w:pStyle w:val="8"/>
              <w:widowControl/>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质保期自验收之日起1年，在此质保期内，如在正常使用过程中出现的质量问题，成交供应商须负责免费维修、维护及升级。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noWrap w:val="0"/>
            <w:vAlign w:val="center"/>
          </w:tcPr>
          <w:p>
            <w:pPr>
              <w:spacing w:line="3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验收标准</w:t>
            </w:r>
          </w:p>
        </w:tc>
        <w:tc>
          <w:tcPr>
            <w:tcW w:w="8009" w:type="dxa"/>
            <w:noWrap w:val="0"/>
            <w:vAlign w:val="center"/>
          </w:tcPr>
          <w:p>
            <w:pP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验收参照《温州市政府采购履约验收办法》(温财采[2020]6号)相关规定。合同履约达到验收条件时，成交供应商向采购人书面发起验收申请，采购人或者其委托的采购代理机构在收到成交供应商验收申请五个工作日内启动项目验收。按照采购合同、响应供应商、</w:t>
            </w:r>
            <w:r>
              <w:rPr>
                <w:rFonts w:hint="eastAsia" w:ascii="宋体" w:hAnsi="宋体" w:eastAsia="宋体" w:cs="宋体"/>
                <w:color w:val="auto"/>
                <w:sz w:val="22"/>
                <w:szCs w:val="22"/>
                <w:highlight w:val="none"/>
                <w:lang w:eastAsia="zh-CN"/>
              </w:rPr>
              <w:t>磋商文件</w:t>
            </w:r>
            <w:r>
              <w:rPr>
                <w:rFonts w:hint="eastAsia" w:ascii="宋体" w:hAnsi="宋体" w:eastAsia="宋体" w:cs="宋体"/>
                <w:color w:val="auto"/>
                <w:sz w:val="22"/>
                <w:szCs w:val="22"/>
                <w:highlight w:val="none"/>
              </w:rPr>
              <w:t>等约定的质量、数量、技术指标或者服务要求设验收指标及其标准。未约定的，应当符合国家强制性规定、政策要求、安全标准、行业或企业有关标准等。</w:t>
            </w:r>
          </w:p>
          <w:p>
            <w:pP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noWrap w:val="0"/>
            <w:vAlign w:val="center"/>
          </w:tcPr>
          <w:p>
            <w:pPr>
              <w:spacing w:line="3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保密服务</w:t>
            </w:r>
          </w:p>
        </w:tc>
        <w:tc>
          <w:tcPr>
            <w:tcW w:w="8009" w:type="dxa"/>
            <w:noWrap w:val="0"/>
            <w:vAlign w:val="center"/>
          </w:tcPr>
          <w:p>
            <w:pPr>
              <w:keepNext/>
              <w:widowControl/>
              <w:spacing w:line="360" w:lineRule="exact"/>
              <w:jc w:val="left"/>
              <w:outlineLvl w:val="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对项目涉及的采购人数据需严格保密，未经授权不得泄露给任何单位和个人，不得利用此数据进行任何侵害采购人的行为，否则采购人有权追究供应商的责任。</w:t>
            </w:r>
          </w:p>
        </w:tc>
      </w:tr>
    </w:tbl>
    <w:p>
      <w:pPr>
        <w:numPr>
          <w:ilvl w:val="0"/>
          <w:numId w:val="2"/>
        </w:numPr>
        <w:snapToGrid w:val="0"/>
        <w:spacing w:line="360" w:lineRule="exac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br w:type="page"/>
      </w:r>
      <w:r>
        <w:rPr>
          <w:rFonts w:hint="eastAsia" w:ascii="宋体" w:hAnsi="宋体" w:eastAsia="宋体" w:cs="宋体"/>
          <w:b/>
          <w:bCs/>
          <w:color w:val="auto"/>
          <w:spacing w:val="-6"/>
          <w:sz w:val="22"/>
          <w:szCs w:val="22"/>
          <w:highlight w:val="none"/>
        </w:rPr>
        <w:t>技术要求</w:t>
      </w:r>
    </w:p>
    <w:p>
      <w:pPr>
        <w:widowControl/>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（一）总体要求</w:t>
      </w:r>
    </w:p>
    <w:p>
      <w:pPr>
        <w:pStyle w:val="6"/>
        <w:spacing w:before="0" w:after="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.迁移服务要求</w:t>
      </w:r>
    </w:p>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供应商需要将原有机房（105室）全部设备搬迁至采购人指定的机房（106室），保障原有设备在拆除、搬迁及安装过程中安全无损，保障其在新机房的投入使用，其中涉及设备详见搬迁设备清单</w:t>
      </w:r>
      <w:r>
        <w:rPr>
          <w:rFonts w:hint="eastAsia" w:ascii="宋体" w:hAnsi="宋体" w:eastAsia="宋体" w:cs="宋体"/>
          <w:color w:val="auto"/>
          <w:sz w:val="22"/>
          <w:szCs w:val="22"/>
          <w:highlight w:val="none"/>
          <w:lang w:eastAsia="zh-CN"/>
        </w:rPr>
        <w:t>。</w:t>
      </w:r>
    </w:p>
    <w:p>
      <w:pPr>
        <w:pStyle w:val="2"/>
        <w:keepNext w:val="0"/>
        <w:keepLines w:val="0"/>
        <w:pageBreakBefore w:val="0"/>
        <w:numPr>
          <w:ilvl w:val="0"/>
          <w:numId w:val="3"/>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迁移前</w:t>
      </w:r>
      <w:r>
        <w:rPr>
          <w:rFonts w:hint="eastAsia" w:ascii="宋体" w:hAnsi="宋体" w:eastAsia="宋体" w:cs="宋体"/>
          <w:color w:val="auto"/>
          <w:sz w:val="22"/>
          <w:szCs w:val="22"/>
          <w:highlight w:val="none"/>
          <w:lang w:val="en-US" w:eastAsia="zh-CN"/>
        </w:rPr>
        <w:t>成交供应商</w:t>
      </w:r>
      <w:r>
        <w:rPr>
          <w:rFonts w:hint="eastAsia" w:ascii="宋体" w:hAnsi="宋体" w:eastAsia="宋体" w:cs="宋体"/>
          <w:color w:val="auto"/>
          <w:sz w:val="22"/>
          <w:szCs w:val="22"/>
          <w:highlight w:val="none"/>
        </w:rPr>
        <w:t>做好具体</w:t>
      </w:r>
      <w:r>
        <w:rPr>
          <w:rFonts w:hint="eastAsia" w:ascii="宋体" w:hAnsi="宋体" w:eastAsia="宋体" w:cs="宋体"/>
          <w:color w:val="auto"/>
          <w:sz w:val="22"/>
          <w:szCs w:val="22"/>
          <w:highlight w:val="none"/>
          <w:lang w:eastAsia="zh-CN"/>
        </w:rPr>
        <w:t>迁移</w:t>
      </w:r>
      <w:r>
        <w:rPr>
          <w:rFonts w:hint="eastAsia" w:ascii="宋体" w:hAnsi="宋体" w:eastAsia="宋体" w:cs="宋体"/>
          <w:color w:val="auto"/>
          <w:sz w:val="22"/>
          <w:szCs w:val="22"/>
          <w:highlight w:val="none"/>
        </w:rPr>
        <w:t>实施方案、系统和数据备份，</w:t>
      </w:r>
      <w:r>
        <w:rPr>
          <w:rFonts w:hint="eastAsia" w:ascii="宋体" w:hAnsi="宋体" w:eastAsia="宋体" w:cs="宋体"/>
          <w:color w:val="auto"/>
          <w:sz w:val="22"/>
          <w:szCs w:val="22"/>
          <w:highlight w:val="none"/>
        </w:rPr>
        <w:t>保障原有设备在拆除、搬迁及安装过程中安全无损，保障其在新机房的投入使用</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迁移</w:t>
      </w:r>
      <w:r>
        <w:rPr>
          <w:rFonts w:hint="eastAsia" w:ascii="宋体" w:hAnsi="宋体" w:eastAsia="宋体" w:cs="宋体"/>
          <w:color w:val="auto"/>
          <w:sz w:val="22"/>
          <w:szCs w:val="22"/>
          <w:highlight w:val="none"/>
        </w:rPr>
        <w:t>遵循合理的</w:t>
      </w:r>
      <w:r>
        <w:rPr>
          <w:rFonts w:hint="eastAsia" w:ascii="宋体" w:hAnsi="宋体" w:eastAsia="宋体" w:cs="宋体"/>
          <w:color w:val="auto"/>
          <w:sz w:val="22"/>
          <w:szCs w:val="22"/>
          <w:highlight w:val="none"/>
          <w:lang w:eastAsia="zh-CN"/>
        </w:rPr>
        <w:t>迁移</w:t>
      </w:r>
      <w:r>
        <w:rPr>
          <w:rFonts w:hint="eastAsia" w:ascii="宋体" w:hAnsi="宋体" w:eastAsia="宋体" w:cs="宋体"/>
          <w:color w:val="auto"/>
          <w:sz w:val="22"/>
          <w:szCs w:val="22"/>
          <w:highlight w:val="none"/>
        </w:rPr>
        <w:t>原则和计划安排，按照系统间的关系、重要程度和具备的条件合理安排</w:t>
      </w:r>
      <w:r>
        <w:rPr>
          <w:rFonts w:hint="eastAsia" w:ascii="宋体" w:hAnsi="宋体" w:eastAsia="宋体" w:cs="宋体"/>
          <w:color w:val="auto"/>
          <w:sz w:val="22"/>
          <w:szCs w:val="22"/>
          <w:highlight w:val="none"/>
          <w:lang w:eastAsia="zh-CN"/>
        </w:rPr>
        <w:t>迁移</w:t>
      </w:r>
      <w:r>
        <w:rPr>
          <w:rFonts w:hint="eastAsia" w:ascii="宋体" w:hAnsi="宋体" w:eastAsia="宋体" w:cs="宋体"/>
          <w:color w:val="auto"/>
          <w:sz w:val="22"/>
          <w:szCs w:val="22"/>
          <w:highlight w:val="none"/>
        </w:rPr>
        <w:t>进度。</w:t>
      </w:r>
      <w:r>
        <w:rPr>
          <w:rFonts w:hint="eastAsia" w:ascii="宋体" w:hAnsi="宋体" w:eastAsia="宋体" w:cs="宋体"/>
          <w:color w:val="auto"/>
          <w:sz w:val="22"/>
          <w:szCs w:val="22"/>
          <w:highlight w:val="none"/>
          <w:lang w:eastAsia="zh-CN"/>
        </w:rPr>
        <w:t>迁移</w:t>
      </w:r>
      <w:r>
        <w:rPr>
          <w:rFonts w:hint="eastAsia" w:ascii="宋体" w:hAnsi="宋体" w:eastAsia="宋体" w:cs="宋体"/>
          <w:color w:val="auto"/>
          <w:sz w:val="22"/>
          <w:szCs w:val="22"/>
          <w:highlight w:val="none"/>
        </w:rPr>
        <w:t>方案要考虑到各种可能的风险，并提供相应</w:t>
      </w:r>
    </w:p>
    <w:p>
      <w:pPr>
        <w:pStyle w:val="2"/>
        <w:keepNext w:val="0"/>
        <w:keepLines w:val="0"/>
        <w:pageBreakBefore w:val="0"/>
        <w:numPr>
          <w:ilvl w:val="0"/>
          <w:numId w:val="3"/>
        </w:numPr>
        <w:kinsoku/>
        <w:wordWrap/>
        <w:overflowPunct/>
        <w:topLinePunct w:val="0"/>
        <w:autoSpaceDE/>
        <w:autoSpaceDN/>
        <w:bidi w:val="0"/>
        <w:adjustRightInd/>
        <w:snapToGrid/>
        <w:spacing w:after="0" w:line="360" w:lineRule="exact"/>
        <w:ind w:left="0" w:leftChars="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其他要求</w:t>
      </w:r>
    </w:p>
    <w:p>
      <w:pPr>
        <w:pageBreakBefore w:val="0"/>
        <w:numPr>
          <w:ilvl w:val="0"/>
          <w:numId w:val="4"/>
        </w:numPr>
        <w:kinsoku/>
        <w:wordWrap/>
        <w:overflowPunct/>
        <w:topLinePunct w:val="0"/>
        <w:bidi w:val="0"/>
        <w:snapToGrid/>
        <w:spacing w:line="360" w:lineRule="exact"/>
        <w:ind w:left="0" w:leftChars="0" w:firstLine="40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搬迁时对设备做好关机、除尘、打包、防护等工作，打包材料需采用专用减震抗压材料包装。</w:t>
      </w:r>
    </w:p>
    <w:p>
      <w:pPr>
        <w:pageBreakBefore w:val="0"/>
        <w:numPr>
          <w:ilvl w:val="0"/>
          <w:numId w:val="4"/>
        </w:numPr>
        <w:kinsoku/>
        <w:wordWrap/>
        <w:overflowPunct/>
        <w:topLinePunct w:val="0"/>
        <w:bidi w:val="0"/>
        <w:snapToGrid/>
        <w:spacing w:line="360" w:lineRule="exact"/>
        <w:ind w:left="0" w:leftChars="0" w:firstLine="40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完成所有迁移设备的安装调试，保障所有设备加电开机启动，检查系统错误日志以及存储识别情况；恢复应用系统工作并进行业务流程测试以确定应用系统正常运行。</w:t>
      </w:r>
    </w:p>
    <w:p>
      <w:pPr>
        <w:pageBreakBefore w:val="0"/>
        <w:numPr>
          <w:ilvl w:val="0"/>
          <w:numId w:val="4"/>
        </w:numPr>
        <w:kinsoku/>
        <w:wordWrap/>
        <w:overflowPunct/>
        <w:topLinePunct w:val="0"/>
        <w:bidi w:val="0"/>
        <w:snapToGrid/>
        <w:spacing w:line="360" w:lineRule="exact"/>
        <w:ind w:left="0" w:leftChars="0" w:firstLine="40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迁移工作严格遵守防火规定，需要明火操作时，必须有防火措施，并有专人监护，在易燃、 易爆物周围，要严格禁止明火作业。要做到文明迁移，及时清理现场和废物。</w:t>
      </w:r>
    </w:p>
    <w:p>
      <w:pPr>
        <w:pageBreakBefore w:val="0"/>
        <w:numPr>
          <w:ilvl w:val="0"/>
          <w:numId w:val="4"/>
        </w:numPr>
        <w:kinsoku/>
        <w:wordWrap/>
        <w:overflowPunct/>
        <w:topLinePunct w:val="0"/>
        <w:bidi w:val="0"/>
        <w:snapToGrid/>
        <w:spacing w:line="360" w:lineRule="exact"/>
        <w:ind w:left="0" w:leftChars="0" w:firstLine="40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提供备品备件备机服务，所有因迁移过程中导致设备故障而更换的设备部件费用由成交供应商承担，且所更换的设备部件必须是原</w:t>
      </w:r>
      <w:r>
        <w:rPr>
          <w:rFonts w:hint="eastAsia" w:ascii="宋体" w:hAnsi="宋体" w:eastAsia="宋体" w:cs="宋体"/>
          <w:color w:val="auto"/>
          <w:sz w:val="22"/>
          <w:szCs w:val="22"/>
          <w:highlight w:val="none"/>
        </w:rPr>
        <w:t>装正品。</w:t>
      </w:r>
    </w:p>
    <w:p>
      <w:pPr>
        <w:pStyle w:val="7"/>
        <w:pageBreakBefore w:val="0"/>
        <w:numPr>
          <w:ilvl w:val="0"/>
          <w:numId w:val="0"/>
        </w:numPr>
        <w:kinsoku/>
        <w:wordWrap/>
        <w:overflowPunct/>
        <w:topLinePunct w:val="0"/>
        <w:bidi w:val="0"/>
        <w:snapToGrid/>
        <w:spacing w:before="0" w:after="0" w:line="360" w:lineRule="exact"/>
        <w:ind w:firstLine="442"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本次预估搬迁设备清单（具体清单以实际为准）</w:t>
      </w:r>
    </w:p>
    <w:tbl>
      <w:tblPr>
        <w:tblStyle w:val="10"/>
        <w:tblW w:w="8090" w:type="dxa"/>
        <w:tblInd w:w="660" w:type="dxa"/>
        <w:tblLayout w:type="fixed"/>
        <w:tblCellMar>
          <w:top w:w="0" w:type="dxa"/>
          <w:left w:w="108" w:type="dxa"/>
          <w:bottom w:w="0" w:type="dxa"/>
          <w:right w:w="108" w:type="dxa"/>
        </w:tblCellMar>
      </w:tblPr>
      <w:tblGrid>
        <w:gridCol w:w="1570"/>
        <w:gridCol w:w="1730"/>
        <w:gridCol w:w="3707"/>
        <w:gridCol w:w="1083"/>
      </w:tblGrid>
      <w:tr>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序号</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品牌</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型号</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数量</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CISC5108</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NETAPP</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2552</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华为</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5300V3</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华为</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RH2285H</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NETAPP</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DS2246</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S190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C190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曙光</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I620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超威</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szCs w:val="22"/>
                <w:highlight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270M5</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超威</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szCs w:val="22"/>
                <w:highlight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浪潮</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NF5220M5</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13</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浪潮</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NF5488M5</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14</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华硕</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ESC8000A-E11</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15</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超威</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szCs w:val="22"/>
                <w:highlight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16</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宁畅</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szCs w:val="22"/>
                <w:highlight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17</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超威</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szCs w:val="22"/>
                <w:highlight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18</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戴尔</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R430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19</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戴尔</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R470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20</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戴尔</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R820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21</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戴尔</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R730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22</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超威</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szCs w:val="22"/>
                <w:highlight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23</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DELL</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R450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24</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惠普</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CNG1505NHD</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25</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HPC</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IW4213-4GR</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26</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浪潮</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NF8465M4</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27</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云海麒麟</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YH5210V5</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28</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云海麒麟</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YH5408AI</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29</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AMAX</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6604130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30</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塔式</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组装机</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31</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TP-LINK</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ST 1008F</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32</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6248UP</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33</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2224TP</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34</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5548UP</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35</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C9148S</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36</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2960-XR</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37</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2100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38</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思科</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7004</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39</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华为</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SNS2124</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40</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华为</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S5700S-52P</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41</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华为</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S5720S-52P</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42</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华为</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S5700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43</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华为</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S5720</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44</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华为</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S6720-30C</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45</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塔式</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AI组装电脑</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56</w:t>
            </w:r>
          </w:p>
        </w:tc>
      </w:tr>
      <w:tr>
        <w:tblPrEx>
          <w:tblCellMar>
            <w:top w:w="0" w:type="dxa"/>
            <w:left w:w="108" w:type="dxa"/>
            <w:bottom w:w="0" w:type="dxa"/>
            <w:right w:w="108" w:type="dxa"/>
          </w:tblCellMar>
        </w:tblPrEx>
        <w:trPr>
          <w:trHeight w:val="270" w:hRule="atLeast"/>
        </w:trPr>
        <w:tc>
          <w:tcPr>
            <w:tcW w:w="1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46</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接入交换机</w:t>
            </w:r>
          </w:p>
        </w:tc>
        <w:tc>
          <w:tcPr>
            <w:tcW w:w="3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S5731S-H48T4XC</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33</w:t>
            </w:r>
          </w:p>
        </w:tc>
      </w:tr>
    </w:tbl>
    <w:p>
      <w:pPr>
        <w:pStyle w:val="6"/>
        <w:spacing w:before="0" w:after="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.机房改造要求</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迁移完成后需对机房进行改造，改造内容如下：</w:t>
      </w:r>
    </w:p>
    <w:p>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对现有机柜进行改造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增加机柜背景灯，提升机房美观性，科技感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增加机柜配套配件，所提供的托盘、盲板匹配机柜尺寸，颜色美观、安全牢固。</w:t>
      </w:r>
    </w:p>
    <w:p>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2.2智能</w:t>
      </w:r>
      <w:r>
        <w:rPr>
          <w:rFonts w:hint="eastAsia" w:ascii="宋体" w:hAnsi="宋体" w:eastAsia="宋体" w:cs="宋体"/>
          <w:color w:val="auto"/>
          <w:sz w:val="22"/>
          <w:szCs w:val="22"/>
          <w:highlight w:val="none"/>
        </w:rPr>
        <w:t>监管</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增加IT运维管理软件，实现对服务器、交换机等常用IT设备的CPU、内存、磁盘利用率监控，需对接机房内所有可采集数据的设备，在web界面进行展示，达到智能监管，操作简便的功能。</w:t>
      </w:r>
    </w:p>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3.安全服务要求</w:t>
      </w:r>
    </w:p>
    <w:p>
      <w:pPr>
        <w:keepNext/>
        <w:widowControl/>
        <w:spacing w:line="360" w:lineRule="exact"/>
        <w:ind w:firstLine="440" w:firstLineChars="200"/>
        <w:jc w:val="left"/>
        <w:outlineLvl w:val="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完成全部机房改造和迁移服务后提供漏洞扫描、渗透测试、安全</w:t>
      </w:r>
      <w:bookmarkStart w:id="0" w:name="_GoBack"/>
      <w:bookmarkEnd w:id="0"/>
      <w:r>
        <w:rPr>
          <w:rFonts w:hint="eastAsia" w:ascii="宋体" w:hAnsi="宋体" w:eastAsia="宋体" w:cs="宋体"/>
          <w:color w:val="auto"/>
          <w:sz w:val="22"/>
          <w:szCs w:val="22"/>
          <w:highlight w:val="none"/>
        </w:rPr>
        <w:t>加固等安全服务，从而防范终端病毒爆发、内部业务应用系统数据泄露、黑客攻击等安全事件发生。</w:t>
      </w:r>
    </w:p>
    <w:p>
      <w:pPr>
        <w:pStyle w:val="5"/>
        <w:ind w:left="0" w:leftChars="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（二）服务清单</w:t>
      </w:r>
    </w:p>
    <w:tbl>
      <w:tblPr>
        <w:tblStyle w:val="10"/>
        <w:tblW w:w="972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36"/>
        <w:gridCol w:w="1625"/>
        <w:gridCol w:w="4325"/>
        <w:gridCol w:w="850"/>
        <w:gridCol w:w="683"/>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2461" w:type="dxa"/>
            <w:gridSpan w:val="2"/>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服务内容</w:t>
            </w:r>
          </w:p>
        </w:tc>
        <w:tc>
          <w:tcPr>
            <w:tcW w:w="4325" w:type="dxa"/>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描述</w:t>
            </w:r>
          </w:p>
        </w:tc>
        <w:tc>
          <w:tcPr>
            <w:tcW w:w="850" w:type="dxa"/>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单位</w:t>
            </w:r>
          </w:p>
        </w:tc>
        <w:tc>
          <w:tcPr>
            <w:tcW w:w="683" w:type="dxa"/>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数量</w:t>
            </w:r>
          </w:p>
        </w:tc>
        <w:tc>
          <w:tcPr>
            <w:tcW w:w="671" w:type="dxa"/>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restart"/>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1</w:t>
            </w:r>
          </w:p>
        </w:tc>
        <w:tc>
          <w:tcPr>
            <w:tcW w:w="836" w:type="dxa"/>
            <w:vMerge w:val="restart"/>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迁移服务</w:t>
            </w:r>
          </w:p>
        </w:tc>
        <w:tc>
          <w:tcPr>
            <w:tcW w:w="1625" w:type="dxa"/>
            <w:shd w:val="clear" w:color="000000" w:fill="FFFFFF"/>
            <w:noWrap w:val="0"/>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理线架</w:t>
            </w:r>
          </w:p>
        </w:tc>
        <w:tc>
          <w:tcPr>
            <w:tcW w:w="4325" w:type="dxa"/>
            <w:shd w:val="clear" w:color="000000" w:fill="FFFFFF"/>
            <w:noWrap w:val="0"/>
            <w:vAlign w:val="center"/>
          </w:tcPr>
          <w:p>
            <w:pPr>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24口理线架</w:t>
            </w:r>
          </w:p>
        </w:tc>
        <w:tc>
          <w:tcPr>
            <w:tcW w:w="850" w:type="dxa"/>
            <w:shd w:val="clear" w:color="000000" w:fill="FFFFFF"/>
            <w:noWrap w:val="0"/>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个</w:t>
            </w:r>
          </w:p>
        </w:tc>
        <w:tc>
          <w:tcPr>
            <w:tcW w:w="683" w:type="dxa"/>
            <w:shd w:val="clear" w:color="000000" w:fill="FFFFFF"/>
            <w:noWrap w:val="0"/>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100</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耗材</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机柜螺丝，扎带，6A低烟无卤网线*30箱，水晶头盒，光纤跳线，一次性标签，满足项目所需的材料。</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线路标签</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所有设备的线路标签， 光纤和网线需现场打P型标签，标签要清晰、大小需要统一、线缆两端都应贴有标签、标签命名规范。</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线路测试</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所有设备的线路测试， 使用标准的RJ45测线工具、打光笔测试逐个测试每条链路的可用性以及对应光衰值。</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线路整理</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所有设备的线路整理，机房内网络设备之间互联线缆均需要经过桥架走线，每种线缆都需要在机柜内侧捆扎布放，不同线缆用不同颜色的线区分。</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设备拆装</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所有设备的设备拆装，设备拆除关机遵循业务应用系统、中间件、数据库等程序服务停止、操作系统关闭，设备断电装箱。</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248</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设备除尘</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所有设备的设备除尘，</w:t>
            </w:r>
            <w:r>
              <w:rPr>
                <w:rFonts w:hint="eastAsia" w:ascii="宋体" w:hAnsi="宋体" w:eastAsia="宋体" w:cs="宋体"/>
                <w:color w:val="auto"/>
                <w:sz w:val="22"/>
                <w:szCs w:val="22"/>
                <w:highlight w:val="none"/>
              </w:rPr>
              <w:t>设备内部、设备外部两部分进清洁，减少静电和灰尘对设备的损伤。</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248</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迁移备份服务</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服务器、网络设备中的数据库数据、操作系统、网络配置等进行系统性备份，防止在搬迁过程当，由于停机造成的配置、文件、数据等丢失问题。</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248</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设备系统关联性</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分析应用系统之间的相互联系、逻辑依存关系、数据交换情况、共用硬件设备情况等，从而得出停机顺序及开机顺序。</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248</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机柜电源整改</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机柜电源整改</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248</w:t>
            </w:r>
          </w:p>
        </w:tc>
        <w:tc>
          <w:tcPr>
            <w:tcW w:w="671"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光纤熔接</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光纤熔接</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数据库迁移和调优服务</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数据库系统的调研，资源的规划，数据库的模拟迁移，应用的重新部署，性能和功能性测试，数据库正式迁移，迁移验证。确保本次机房搬迁项目顺利实施。</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其他辅材</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项目所需的所有其他材料。</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restart"/>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rPr>
              <w:t>2</w:t>
            </w:r>
          </w:p>
        </w:tc>
        <w:tc>
          <w:tcPr>
            <w:tcW w:w="836" w:type="dxa"/>
            <w:vMerge w:val="restart"/>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机房改造</w:t>
            </w: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IT运维软件模块</w:t>
            </w:r>
          </w:p>
        </w:tc>
        <w:tc>
          <w:tcPr>
            <w:tcW w:w="4325" w:type="dxa"/>
            <w:shd w:val="clear" w:color="000000" w:fill="FFFFFF"/>
            <w:noWrap w:val="0"/>
            <w:vAlign w:val="center"/>
          </w:tcPr>
          <w:p>
            <w:pPr>
              <w:widowControl/>
              <w:numPr>
                <w:ilvl w:val="0"/>
                <w:numId w:val="5"/>
              </w:numPr>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系统至少支持Modbus协议、SNMP协议、电总协议的监控数据采集。支持监控节点连接参数的管理，支持添加新的监控节点及节点阈值报警参数设置。支持历史监测数据查询，可自定义时间段图形化展示历史监测数据趋势。</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系统平台支持告警的处理和历史告警查询，支持告警按时间屏蔽，支持告警联动，提供多种报警方式及灵活告警策略、报平安策略，告警信息可通过显示屏、声光、短信、电话、语音、邮件等多种方式通知用户。同一监测项可根据需要设置多个不同范围的告警阀值，在到达阀值时分别触发不同级别告警，可按告警等级实现不同颜色告警指示，最少可支持5级告警。</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w:t>
            </w:r>
            <w:r>
              <w:rPr>
                <w:rFonts w:hint="eastAsia" w:ascii="宋体" w:hAnsi="宋体" w:eastAsia="宋体" w:cs="宋体"/>
                <w:b/>
                <w:bCs/>
                <w:color w:val="auto"/>
                <w:spacing w:val="-6"/>
                <w:sz w:val="22"/>
                <w:szCs w:val="22"/>
                <w:highlight w:val="none"/>
              </w:rPr>
              <w:t>★</w:t>
            </w:r>
            <w:r>
              <w:rPr>
                <w:rFonts w:hint="eastAsia" w:ascii="宋体" w:hAnsi="宋体" w:eastAsia="宋体" w:cs="宋体"/>
                <w:color w:val="auto"/>
                <w:kern w:val="0"/>
                <w:sz w:val="22"/>
                <w:szCs w:val="22"/>
                <w:highlight w:val="none"/>
              </w:rPr>
              <w:t>支持远程Web页面实时数据查看、历史数据查询、系统参数设置管理等。提供IT监控数据可视化监控页面，支持查看IT设备运行态势监控功能，支持对IT设备运行态势监控功能。支持分析和查看机房机柜的U位空间容量情况和利用率，</w:t>
            </w:r>
            <w:r>
              <w:rPr>
                <w:rFonts w:hint="eastAsia" w:ascii="宋体" w:hAnsi="宋体" w:eastAsia="宋体" w:cs="宋体"/>
                <w:b/>
                <w:bCs/>
                <w:color w:val="auto"/>
                <w:kern w:val="0"/>
                <w:sz w:val="22"/>
                <w:szCs w:val="22"/>
                <w:highlight w:val="none"/>
              </w:rPr>
              <w:t>响应文件中提供软件截图，否则视为负偏离</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4.系统平台具备系统管理功能，支持用户部门管理、用户管理、用户角色及权限管理、系统登陆及操作日志查看。</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w:t>
            </w:r>
            <w:r>
              <w:rPr>
                <w:rFonts w:hint="eastAsia" w:ascii="宋体" w:hAnsi="宋体" w:eastAsia="宋体" w:cs="宋体"/>
                <w:b/>
                <w:color w:val="auto"/>
                <w:spacing w:val="-6"/>
                <w:sz w:val="22"/>
                <w:szCs w:val="22"/>
                <w:highlight w:val="none"/>
              </w:rPr>
              <w:t xml:space="preserve"> </w:t>
            </w:r>
            <w:r>
              <w:rPr>
                <w:rFonts w:hint="eastAsia" w:ascii="宋体" w:hAnsi="宋体" w:eastAsia="宋体" w:cs="宋体"/>
                <w:b/>
                <w:bCs/>
                <w:color w:val="auto"/>
                <w:spacing w:val="-6"/>
                <w:sz w:val="22"/>
                <w:szCs w:val="22"/>
                <w:highlight w:val="none"/>
              </w:rPr>
              <w:t>★</w:t>
            </w:r>
            <w:r>
              <w:rPr>
                <w:rFonts w:hint="eastAsia" w:ascii="宋体" w:hAnsi="宋体" w:eastAsia="宋体" w:cs="宋体"/>
                <w:color w:val="auto"/>
                <w:kern w:val="0"/>
                <w:sz w:val="22"/>
                <w:szCs w:val="22"/>
                <w:highlight w:val="none"/>
              </w:rPr>
              <w:t>支持对服务器、交换机等常用IT设备的CPU、内存、磁盘利用率监控，支持监控每个网口的进出流量、错报率、丢包率等信息，</w:t>
            </w:r>
            <w:r>
              <w:rPr>
                <w:rFonts w:hint="eastAsia" w:ascii="宋体" w:hAnsi="宋体" w:eastAsia="宋体" w:cs="宋体"/>
                <w:b/>
                <w:bCs/>
                <w:color w:val="auto"/>
                <w:kern w:val="0"/>
                <w:sz w:val="22"/>
                <w:szCs w:val="22"/>
                <w:highlight w:val="none"/>
              </w:rPr>
              <w:t>响应文件中提供软件截图，否则视为负偏离</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w:t>
            </w:r>
            <w:r>
              <w:rPr>
                <w:rFonts w:hint="eastAsia" w:ascii="宋体" w:hAnsi="宋体" w:eastAsia="宋体" w:cs="宋体"/>
                <w:b/>
                <w:color w:val="auto"/>
                <w:spacing w:val="-6"/>
                <w:sz w:val="22"/>
                <w:szCs w:val="22"/>
                <w:highlight w:val="none"/>
              </w:rPr>
              <w:t xml:space="preserve"> </w:t>
            </w:r>
            <w:r>
              <w:rPr>
                <w:rFonts w:hint="eastAsia" w:ascii="宋体" w:hAnsi="宋体" w:eastAsia="宋体" w:cs="宋体"/>
                <w:b/>
                <w:bCs/>
                <w:color w:val="auto"/>
                <w:spacing w:val="-6"/>
                <w:sz w:val="22"/>
                <w:szCs w:val="22"/>
                <w:highlight w:val="none"/>
              </w:rPr>
              <w:t>★</w:t>
            </w:r>
            <w:r>
              <w:rPr>
                <w:rFonts w:hint="eastAsia" w:ascii="宋体" w:hAnsi="宋体" w:eastAsia="宋体" w:cs="宋体"/>
                <w:color w:val="auto"/>
                <w:kern w:val="0"/>
                <w:sz w:val="22"/>
                <w:szCs w:val="22"/>
                <w:highlight w:val="none"/>
              </w:rPr>
              <w:t>支持对网络配线架号进行管理，支持将配线架号与实际的交换机网口进行关联，拓扑图形化的方式展示终端到配线架到交换机的连接关系，以及和所连接的交换机网口的连接状态及进出流量信息，提供软件截图。</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w:t>
            </w:r>
            <w:r>
              <w:rPr>
                <w:rFonts w:hint="eastAsia" w:ascii="宋体" w:hAnsi="宋体" w:eastAsia="宋体" w:cs="宋体"/>
                <w:b/>
                <w:bCs/>
                <w:color w:val="auto"/>
                <w:spacing w:val="-6"/>
                <w:sz w:val="22"/>
                <w:szCs w:val="22"/>
                <w:highlight w:val="none"/>
              </w:rPr>
              <w:t>★</w:t>
            </w:r>
            <w:r>
              <w:rPr>
                <w:rFonts w:hint="eastAsia" w:ascii="宋体" w:hAnsi="宋体" w:eastAsia="宋体" w:cs="宋体"/>
                <w:color w:val="auto"/>
                <w:kern w:val="0"/>
                <w:sz w:val="22"/>
                <w:szCs w:val="22"/>
                <w:highlight w:val="none"/>
              </w:rPr>
              <w:t>提供报表管理功能，包括但不限于IT设备资源占用TOPN排名、网口流量TOPN排名、资源分类统计报表、告警统计报表，</w:t>
            </w:r>
            <w:r>
              <w:rPr>
                <w:rFonts w:hint="eastAsia" w:ascii="宋体" w:hAnsi="宋体" w:eastAsia="宋体" w:cs="宋体"/>
                <w:b/>
                <w:bCs/>
                <w:color w:val="auto"/>
                <w:kern w:val="0"/>
                <w:sz w:val="22"/>
                <w:szCs w:val="22"/>
                <w:highlight w:val="none"/>
              </w:rPr>
              <w:t>响应文件中提供软件截图，否则视为负偏离</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8．系统具备自身健康检测功能，可检测主机的CPU、内存、磁盘等资源利用率情况。主机支持自身软件模块异常退出后自动重启。</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9．系统支持北向接口，供第三方系统对接采集的动环设备和IT设备的监控数据和告警数据。支持开放的SNMP、HTTP restful接口协议。</w:t>
            </w:r>
          </w:p>
          <w:p>
            <w:pPr>
              <w:widowControl/>
              <w:spacing w:line="3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pacing w:val="-6"/>
                <w:sz w:val="22"/>
                <w:szCs w:val="22"/>
                <w:highlight w:val="none"/>
                <w:u w:val="single"/>
              </w:rPr>
              <w:t>▲</w:t>
            </w:r>
            <w:r>
              <w:rPr>
                <w:rFonts w:hint="eastAsia" w:ascii="宋体" w:hAnsi="宋体" w:eastAsia="宋体" w:cs="宋体"/>
                <w:color w:val="auto"/>
                <w:kern w:val="0"/>
                <w:sz w:val="22"/>
                <w:szCs w:val="22"/>
                <w:highlight w:val="none"/>
                <w:u w:val="single"/>
              </w:rPr>
              <w:t>10.与机房动环监控系统实现无缝对接，可在同一个软件平台展示。</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套</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IT设备接入</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color w:val="auto"/>
                <w:spacing w:val="-6"/>
                <w:sz w:val="22"/>
                <w:szCs w:val="22"/>
                <w:highlight w:val="none"/>
                <w:u w:val="single"/>
              </w:rPr>
              <w:t>▲</w:t>
            </w:r>
            <w:r>
              <w:rPr>
                <w:rFonts w:hint="eastAsia" w:ascii="宋体" w:hAnsi="宋体" w:eastAsia="宋体" w:cs="宋体"/>
                <w:color w:val="auto"/>
                <w:kern w:val="0"/>
                <w:sz w:val="22"/>
                <w:szCs w:val="22"/>
                <w:highlight w:val="none"/>
                <w:u w:val="single"/>
              </w:rPr>
              <w:t>服务器、交换机等所有IT设备接入IT运维软件中，实现软件平台数据实时监测，智能分析。</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背景灯</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适配机房现有机柜背景照明，LED蓝色灯带，24V，30*1800*10mm。</w:t>
            </w:r>
          </w:p>
          <w:p>
            <w:pPr>
              <w:widowControl/>
              <w:spacing w:line="3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bCs/>
                <w:color w:val="auto"/>
                <w:spacing w:val="-6"/>
                <w:sz w:val="22"/>
                <w:szCs w:val="22"/>
                <w:highlight w:val="none"/>
              </w:rPr>
              <w:t>★</w:t>
            </w:r>
            <w:r>
              <w:rPr>
                <w:rFonts w:hint="eastAsia" w:ascii="宋体" w:hAnsi="宋体" w:eastAsia="宋体" w:cs="宋体"/>
                <w:color w:val="auto"/>
                <w:kern w:val="0"/>
                <w:sz w:val="22"/>
                <w:szCs w:val="22"/>
                <w:highlight w:val="none"/>
              </w:rPr>
              <w:t>背景灯接入机房动环监控系统，可远程控制开与关，</w:t>
            </w:r>
            <w:r>
              <w:rPr>
                <w:rFonts w:hint="eastAsia" w:ascii="宋体" w:hAnsi="宋体" w:eastAsia="宋体" w:cs="宋体"/>
                <w:b/>
                <w:bCs/>
                <w:color w:val="auto"/>
                <w:kern w:val="0"/>
                <w:sz w:val="22"/>
                <w:szCs w:val="22"/>
                <w:highlight w:val="none"/>
              </w:rPr>
              <w:t>响应文件中提供软件截图，否则视为负偏离</w:t>
            </w:r>
            <w:r>
              <w:rPr>
                <w:rFonts w:hint="eastAsia" w:ascii="宋体" w:hAnsi="宋体" w:eastAsia="宋体" w:cs="宋体"/>
                <w:color w:val="auto"/>
                <w:kern w:val="0"/>
                <w:sz w:val="22"/>
                <w:szCs w:val="22"/>
                <w:highlight w:val="none"/>
              </w:rPr>
              <w:t>。</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条</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32</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电源控制模块</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适配机房现有机柜背景照明的电源控制箱（含一对托架）；高度1U，电压DC24V、功率200W</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套</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2</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光缆</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室内8芯单模光缆</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米</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2000</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托盘</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489mm宽*750mm深，SPCC=1.2mm，承重120公斤，材质SPCC优质钢材。</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块</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80</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1U塑料盲板</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19吋安装，1U免工具安装盲板，ABS材质</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块</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320</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restart"/>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w:t>
            </w:r>
          </w:p>
        </w:tc>
        <w:tc>
          <w:tcPr>
            <w:tcW w:w="836" w:type="dxa"/>
            <w:vMerge w:val="restart"/>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安全服务</w:t>
            </w: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漏洞扫描</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提供至少1次主机漏扫服务，服务结束之后提供漏扫服务总结报告。</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渗透测试</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提供至少1次模拟黑客的攻击，对信息系统进行非破坏性质的攻击性测试，提供系统所存在的安全威胁和风险报告，并能及时提供修复漏洞和加固方式。</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安全加固</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全加固服务依据风险评估报告和渗透测试报告，提供加固方案与加固实施回退方案，协助客户通过安全加固服务增强信息系统抵抗风险的能力，从而提高整个系统的安全性。加固范围包含主机系统，软件系统，数据库系统、网络设备、网络安全设备、网站等。</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right"/>
        </w:trPr>
        <w:tc>
          <w:tcPr>
            <w:tcW w:w="739" w:type="dxa"/>
            <w:vMerge w:val="continue"/>
            <w:shd w:val="clear" w:color="000000" w:fill="FFFFFF"/>
            <w:noWrap w:val="0"/>
            <w:vAlign w:val="center"/>
          </w:tcPr>
          <w:p>
            <w:pPr>
              <w:widowControl/>
              <w:spacing w:line="360" w:lineRule="exact"/>
              <w:jc w:val="center"/>
              <w:rPr>
                <w:rFonts w:hint="eastAsia" w:ascii="宋体" w:hAnsi="宋体" w:eastAsia="宋体" w:cs="宋体"/>
                <w:b/>
                <w:bCs/>
                <w:color w:val="auto"/>
                <w:kern w:val="0"/>
                <w:sz w:val="22"/>
                <w:szCs w:val="22"/>
                <w:highlight w:val="none"/>
              </w:rPr>
            </w:pPr>
          </w:p>
        </w:tc>
        <w:tc>
          <w:tcPr>
            <w:tcW w:w="836" w:type="dxa"/>
            <w:vMerge w:val="continue"/>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625"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安全培训</w:t>
            </w:r>
          </w:p>
        </w:tc>
        <w:tc>
          <w:tcPr>
            <w:tcW w:w="4325" w:type="dxa"/>
            <w:shd w:val="clear" w:color="000000" w:fill="FFFFFF"/>
            <w:noWrap w:val="0"/>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提供至少1次对用户信息系统管理员、信息系统管理技术维护人员及其它相关人员提供信息安全培训主要培训内容涵盖：信息安全管理基础、信息安全风险管理、信息安全意识培养、应急响应管理、业务持续性和灾难恢复管理、物理安全、网络安全、系统安全、数据库安全、黑客攻防演示等等。</w:t>
            </w:r>
          </w:p>
        </w:tc>
        <w:tc>
          <w:tcPr>
            <w:tcW w:w="850"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w:t>
            </w:r>
          </w:p>
        </w:tc>
        <w:tc>
          <w:tcPr>
            <w:tcW w:w="683"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671" w:type="dxa"/>
            <w:shd w:val="clear" w:color="000000" w:fill="FFFFFF"/>
            <w:noWrap w:val="0"/>
            <w:vAlign w:val="center"/>
          </w:tcPr>
          <w:p>
            <w:pPr>
              <w:widowControl/>
              <w:spacing w:line="360" w:lineRule="exact"/>
              <w:jc w:val="center"/>
              <w:rPr>
                <w:rFonts w:hint="eastAsia" w:ascii="宋体" w:hAnsi="宋体" w:eastAsia="宋体" w:cs="宋体"/>
                <w:color w:val="auto"/>
                <w:kern w:val="0"/>
                <w:sz w:val="22"/>
                <w:szCs w:val="22"/>
                <w:highlight w:val="none"/>
              </w:rPr>
            </w:pPr>
          </w:p>
        </w:tc>
      </w:tr>
    </w:tbl>
    <w:p>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注：本表清单数量均为预估值，具体数值请各供应商自行联系采购人实地勘察，报价时应充分考虑，因供应商自身原因造成预估不足的，供应商应自行补足，采购人不再支付额外费用。</w:t>
      </w:r>
    </w:p>
    <w:p>
      <w:pPr>
        <w:snapToGrid w:val="0"/>
        <w:spacing w:line="36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四、其他</w:t>
      </w:r>
    </w:p>
    <w:p>
      <w:pPr>
        <w:spacing w:line="340" w:lineRule="exact"/>
        <w:ind w:firstLine="418" w:firstLineChars="200"/>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1、标“▲且加下划线”的有关技术和商务要求为实质性条款，响应方必须做出实质性响应</w:t>
      </w:r>
      <w:r>
        <w:rPr>
          <w:rFonts w:hint="eastAsia" w:ascii="宋体" w:hAnsi="宋体" w:eastAsia="宋体" w:cs="宋体"/>
          <w:b/>
          <w:bCs/>
          <w:color w:val="auto"/>
          <w:spacing w:val="-6"/>
          <w:sz w:val="22"/>
          <w:szCs w:val="22"/>
          <w:highlight w:val="none"/>
        </w:rPr>
        <w:t>，否则视为无效响应文件。</w:t>
      </w:r>
      <w:r>
        <w:rPr>
          <w:rFonts w:hint="eastAsia" w:ascii="宋体" w:hAnsi="宋体" w:eastAsia="宋体" w:cs="宋体"/>
          <w:b/>
          <w:color w:val="auto"/>
          <w:spacing w:val="-6"/>
          <w:sz w:val="22"/>
          <w:szCs w:val="22"/>
          <w:highlight w:val="none"/>
        </w:rPr>
        <w:t>除此之外其余的指标、服务要求以及合同条款可在磋商现场，根据磋商小组与供应商的磋商进行变动。</w:t>
      </w:r>
      <w:r>
        <w:rPr>
          <w:rFonts w:hint="eastAsia" w:ascii="宋体" w:hAnsi="宋体" w:eastAsia="宋体" w:cs="宋体"/>
          <w:b/>
          <w:bCs/>
          <w:color w:val="auto"/>
          <w:spacing w:val="-6"/>
          <w:sz w:val="22"/>
          <w:szCs w:val="22"/>
          <w:highlight w:val="none"/>
        </w:rPr>
        <w:t>带“★”的有关技术要求为重要性条款。</w:t>
      </w:r>
    </w:p>
    <w:p>
      <w:pPr>
        <w:spacing w:line="340" w:lineRule="exact"/>
        <w:ind w:firstLine="418" w:firstLineChars="200"/>
        <w:rPr>
          <w:rFonts w:hint="eastAsia" w:ascii="宋体" w:hAnsi="宋体" w:eastAsia="宋体" w:cs="宋体"/>
          <w:b/>
          <w:bCs/>
          <w:color w:val="auto"/>
          <w:kern w:val="0"/>
          <w:sz w:val="22"/>
          <w:szCs w:val="22"/>
          <w:highlight w:val="none"/>
        </w:rPr>
      </w:pPr>
      <w:r>
        <w:rPr>
          <w:rFonts w:hint="eastAsia" w:ascii="宋体" w:hAnsi="宋体" w:eastAsia="宋体" w:cs="宋体"/>
          <w:b/>
          <w:color w:val="auto"/>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eastAsia="宋体" w:cs="宋体"/>
          <w:b/>
          <w:bCs/>
          <w:color w:val="auto"/>
          <w:kern w:val="0"/>
          <w:sz w:val="22"/>
          <w:szCs w:val="22"/>
          <w:highlight w:val="none"/>
        </w:rPr>
        <w:t>。</w:t>
      </w:r>
    </w:p>
    <w:p>
      <w:pPr>
        <w:snapToGrid w:val="0"/>
        <w:spacing w:line="340" w:lineRule="exact"/>
        <w:ind w:firstLine="418" w:firstLineChars="200"/>
        <w:jc w:val="lef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3、如技术要求中未特别注明需执行的国家相关标准、行业标准、地方标准或者其他标准、规范，则统一执行最新标准、规范。</w:t>
      </w:r>
    </w:p>
    <w:p>
      <w:pPr>
        <w:rPr>
          <w:rFonts w:hint="eastAsia" w:ascii="宋体" w:hAnsi="宋体" w:eastAsia="宋体" w:cs="宋体"/>
          <w:sz w:val="22"/>
          <w:szCs w:val="2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7BC84"/>
    <w:multiLevelType w:val="singleLevel"/>
    <w:tmpl w:val="E2B7BC84"/>
    <w:lvl w:ilvl="0" w:tentative="0">
      <w:start w:val="1"/>
      <w:numFmt w:val="decimalEnclosedCircleChinese"/>
      <w:suff w:val="nothing"/>
      <w:lvlText w:val="%1　"/>
      <w:lvlJc w:val="left"/>
      <w:pPr>
        <w:ind w:left="0" w:firstLine="400"/>
      </w:pPr>
      <w:rPr>
        <w:rFonts w:hint="eastAsia"/>
      </w:rPr>
    </w:lvl>
  </w:abstractNum>
  <w:abstractNum w:abstractNumId="1">
    <w:nsid w:val="0682FA41"/>
    <w:multiLevelType w:val="singleLevel"/>
    <w:tmpl w:val="0682FA41"/>
    <w:lvl w:ilvl="0" w:tentative="0">
      <w:start w:val="1"/>
      <w:numFmt w:val="decimal"/>
      <w:lvlText w:val="%1."/>
      <w:lvlJc w:val="left"/>
      <w:pPr>
        <w:tabs>
          <w:tab w:val="left" w:pos="312"/>
        </w:tabs>
      </w:pPr>
    </w:lvl>
  </w:abstractNum>
  <w:abstractNum w:abstractNumId="2">
    <w:nsid w:val="18BD4FA6"/>
    <w:multiLevelType w:val="singleLevel"/>
    <w:tmpl w:val="18BD4FA6"/>
    <w:lvl w:ilvl="0" w:tentative="0">
      <w:start w:val="1"/>
      <w:numFmt w:val="decimal"/>
      <w:lvlText w:val="(%1)"/>
      <w:lvlJc w:val="left"/>
      <w:pPr>
        <w:ind w:left="425" w:hanging="425"/>
      </w:pPr>
      <w:rPr>
        <w:rFonts w:hint="default"/>
      </w:rPr>
    </w:lvl>
  </w:abstractNum>
  <w:abstractNum w:abstractNumId="3">
    <w:nsid w:val="208A134E"/>
    <w:multiLevelType w:val="singleLevel"/>
    <w:tmpl w:val="208A134E"/>
    <w:lvl w:ilvl="0" w:tentative="0">
      <w:start w:val="3"/>
      <w:numFmt w:val="chineseCounting"/>
      <w:suff w:val="nothing"/>
      <w:lvlText w:val="%1、"/>
      <w:lvlJc w:val="left"/>
      <w:rPr>
        <w:rFonts w:hint="eastAsia"/>
      </w:rPr>
    </w:lvl>
  </w:abstractNum>
  <w:abstractNum w:abstractNumId="4">
    <w:nsid w:val="599E34D6"/>
    <w:multiLevelType w:val="multilevel"/>
    <w:tmpl w:val="599E34D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7"/>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YmI2ZmMyMzBkMzkxYWZiMWM1MzdkZmU4OGRhOGIifQ=="/>
  </w:docVars>
  <w:rsids>
    <w:rsidRoot w:val="00000000"/>
    <w:rsid w:val="1E503962"/>
    <w:rsid w:val="20E15D4A"/>
    <w:rsid w:val="55C77E8E"/>
    <w:rsid w:val="67F0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1"/>
    <w:qFormat/>
    <w:uiPriority w:val="0"/>
    <w:pPr>
      <w:keepNext/>
      <w:keepLines/>
      <w:spacing w:before="260" w:after="260" w:line="408" w:lineRule="auto"/>
      <w:outlineLvl w:val="1"/>
    </w:pPr>
    <w:rPr>
      <w:rFonts w:ascii="Arial" w:hAnsi="Arial" w:eastAsia="黑体"/>
      <w:sz w:val="28"/>
      <w:szCs w:val="32"/>
    </w:rPr>
  </w:style>
  <w:style w:type="paragraph" w:styleId="7">
    <w:name w:val="heading 3"/>
    <w:basedOn w:val="1"/>
    <w:next w:val="1"/>
    <w:qFormat/>
    <w:uiPriority w:val="0"/>
    <w:pPr>
      <w:keepNext/>
      <w:keepLines/>
      <w:numPr>
        <w:ilvl w:val="2"/>
        <w:numId w:val="1"/>
      </w:numPr>
      <w:spacing w:before="260" w:after="260" w:line="413" w:lineRule="auto"/>
      <w:outlineLvl w:val="2"/>
    </w:pPr>
    <w:rPr>
      <w:b/>
      <w:sz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iPriority w:val="0"/>
    <w:pPr>
      <w:ind w:firstLine="420" w:firstLineChars="100"/>
    </w:pPr>
  </w:style>
  <w:style w:type="paragraph" w:styleId="3">
    <w:name w:val="Body Text"/>
    <w:basedOn w:val="1"/>
    <w:next w:val="4"/>
    <w:uiPriority w:val="0"/>
    <w:pPr>
      <w:spacing w:after="120"/>
    </w:pPr>
  </w:style>
  <w:style w:type="paragraph" w:styleId="4">
    <w:name w:val="toc 4"/>
    <w:basedOn w:val="1"/>
    <w:next w:val="1"/>
    <w:semiHidden/>
    <w:qFormat/>
    <w:uiPriority w:val="0"/>
    <w:pPr>
      <w:ind w:left="630"/>
      <w:jc w:val="left"/>
    </w:pPr>
    <w:rPr>
      <w:sz w:val="18"/>
      <w:szCs w:val="18"/>
    </w:rPr>
  </w:style>
  <w:style w:type="paragraph" w:styleId="5">
    <w:name w:val="toc 6"/>
    <w:basedOn w:val="1"/>
    <w:next w:val="1"/>
    <w:qFormat/>
    <w:uiPriority w:val="0"/>
    <w:pPr>
      <w:autoSpaceDE w:val="0"/>
      <w:autoSpaceDN w:val="0"/>
      <w:adjustRightInd w:val="0"/>
      <w:ind w:left="2100" w:leftChars="1000"/>
      <w:jc w:val="left"/>
    </w:pPr>
    <w:rPr>
      <w:kern w:val="0"/>
      <w:sz w:val="20"/>
      <w:szCs w:val="20"/>
    </w:rPr>
  </w:style>
  <w:style w:type="paragraph" w:styleId="8">
    <w:name w:val="annotation text"/>
    <w:basedOn w:val="1"/>
    <w:semiHidden/>
    <w:uiPriority w:val="0"/>
    <w:pPr>
      <w:jc w:val="left"/>
    </w:pPr>
  </w:style>
  <w:style w:type="paragraph" w:styleId="9">
    <w:name w:val="Body Text Indent"/>
    <w:basedOn w:val="1"/>
    <w:next w:val="1"/>
    <w:uiPriority w:val="0"/>
    <w:pPr>
      <w:adjustRightInd w:val="0"/>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4256</Words>
  <Characters>4691</Characters>
  <Lines>0</Lines>
  <Paragraphs>0</Paragraphs>
  <TotalTime>0</TotalTime>
  <ScaleCrop>false</ScaleCrop>
  <LinksUpToDate>false</LinksUpToDate>
  <CharactersWithSpaces>4700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2023-06-11T02:08:00Z</dcterms:created>
  <dc:creator>hanfeng</dc:creator>
  <cp:lastModifiedBy></cp:lastModifiedBy>
  <dcterms:modified xsi:type="dcterms:W3CDTF">2023-08-15T12:36:40Z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A0E2BFEBE2704681AB41FCFE0DD033A9_12</vt:lpwstr>
  </property>
</Properties>
</file>