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color w:val="auto"/>
          <w:sz w:val="84"/>
          <w:szCs w:val="84"/>
          <w:highlight w:val="none"/>
        </w:rPr>
      </w:pPr>
    </w:p>
    <w:p>
      <w:pPr>
        <w:spacing w:line="360" w:lineRule="auto"/>
        <w:rPr>
          <w:rFonts w:hint="eastAsia" w:ascii="宋体" w:hAnsi="宋体" w:eastAsia="宋体" w:cs="宋体"/>
          <w:b/>
          <w:color w:val="auto"/>
          <w:spacing w:val="26"/>
          <w:sz w:val="84"/>
          <w:szCs w:val="84"/>
          <w:highlight w:val="none"/>
        </w:rPr>
      </w:pPr>
      <w:r>
        <w:rPr>
          <w:rFonts w:hint="eastAsia" w:ascii="宋体" w:hAnsi="宋体" w:eastAsia="宋体" w:cs="宋体"/>
          <w:b/>
          <w:color w:val="auto"/>
          <w:sz w:val="84"/>
          <w:szCs w:val="84"/>
          <w:highlight w:val="none"/>
          <w:lang w:val="en-US" w:eastAsia="zh-CN"/>
        </w:rPr>
        <w:t>文成县</w:t>
      </w:r>
      <w:r>
        <w:rPr>
          <w:rFonts w:hint="eastAsia" w:ascii="宋体" w:hAnsi="宋体" w:eastAsia="宋体" w:cs="宋体"/>
          <w:b/>
          <w:color w:val="auto"/>
          <w:sz w:val="84"/>
          <w:szCs w:val="84"/>
          <w:highlight w:val="none"/>
        </w:rPr>
        <w:t>政府(分散)采购</w:t>
      </w: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360" w:lineRule="auto"/>
        <w:jc w:val="center"/>
        <w:rPr>
          <w:rFonts w:hint="eastAsia" w:ascii="宋体" w:hAnsi="宋体" w:eastAsia="宋体" w:cs="宋体"/>
          <w:b/>
          <w:color w:val="auto"/>
          <w:spacing w:val="140"/>
          <w:sz w:val="52"/>
          <w:szCs w:val="52"/>
          <w:highlight w:val="none"/>
        </w:rPr>
      </w:pPr>
      <w:r>
        <w:rPr>
          <w:rFonts w:hint="eastAsia" w:ascii="宋体" w:hAnsi="宋体" w:eastAsia="宋体" w:cs="宋体"/>
          <w:b/>
          <w:color w:val="auto"/>
          <w:spacing w:val="140"/>
          <w:sz w:val="52"/>
          <w:szCs w:val="52"/>
          <w:highlight w:val="none"/>
        </w:rPr>
        <w:t>招标文件</w:t>
      </w:r>
    </w:p>
    <w:p>
      <w:pPr>
        <w:widowControl/>
        <w:spacing w:line="360" w:lineRule="auto"/>
        <w:ind w:right="-2"/>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（线上电子招投标）</w:t>
      </w:r>
    </w:p>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b/>
          <w:color w:val="auto"/>
          <w:sz w:val="24"/>
          <w:highlight w:val="none"/>
        </w:rPr>
      </w:pPr>
    </w:p>
    <w:p>
      <w:pPr>
        <w:spacing w:line="360" w:lineRule="auto"/>
        <w:ind w:firstLine="2100" w:firstLineChars="700"/>
        <w:jc w:val="left"/>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项目编号：</w:t>
      </w:r>
      <w:r>
        <w:rPr>
          <w:rFonts w:hint="eastAsia" w:ascii="宋体" w:hAnsi="宋体" w:cs="宋体"/>
          <w:color w:val="auto"/>
          <w:sz w:val="30"/>
          <w:highlight w:val="none"/>
          <w:lang w:eastAsia="zh-CN"/>
        </w:rPr>
        <w:t>ZJYC2023138（GK）</w:t>
      </w:r>
    </w:p>
    <w:p>
      <w:pPr>
        <w:spacing w:line="360" w:lineRule="auto"/>
        <w:ind w:left="3587" w:leftChars="994" w:hanging="1500" w:hangingChars="500"/>
        <w:jc w:val="left"/>
        <w:rPr>
          <w:rFonts w:hint="eastAsia" w:ascii="宋体" w:hAnsi="宋体" w:eastAsia="宋体" w:cs="宋体"/>
          <w:color w:val="auto"/>
          <w:sz w:val="30"/>
          <w:highlight w:val="none"/>
        </w:rPr>
      </w:pPr>
      <w:r>
        <w:rPr>
          <w:rFonts w:hint="eastAsia" w:ascii="宋体" w:hAnsi="宋体" w:eastAsia="宋体" w:cs="宋体"/>
          <w:color w:val="auto"/>
          <w:sz w:val="30"/>
          <w:highlight w:val="none"/>
        </w:rPr>
        <w:t>招标项目：</w:t>
      </w:r>
      <w:r>
        <w:rPr>
          <w:rFonts w:hint="eastAsia" w:ascii="宋体" w:hAnsi="宋体" w:cs="宋体"/>
          <w:color w:val="auto"/>
          <w:sz w:val="30"/>
          <w:highlight w:val="none"/>
          <w:lang w:eastAsia="zh-CN"/>
        </w:rPr>
        <w:t>螺旋CT和口腔CT</w:t>
      </w:r>
      <w:r>
        <w:rPr>
          <w:rFonts w:hint="eastAsia" w:ascii="宋体" w:hAnsi="宋体" w:eastAsia="宋体" w:cs="宋体"/>
          <w:color w:val="auto"/>
          <w:sz w:val="30"/>
          <w:highlight w:val="none"/>
        </w:rPr>
        <w:t xml:space="preserve">       </w:t>
      </w:r>
    </w:p>
    <w:p>
      <w:pPr>
        <w:spacing w:line="360" w:lineRule="auto"/>
        <w:ind w:firstLine="2100" w:firstLineChars="700"/>
        <w:jc w:val="left"/>
        <w:rPr>
          <w:rFonts w:hint="eastAsia" w:ascii="宋体" w:hAnsi="宋体" w:eastAsia="宋体" w:cs="宋体"/>
          <w:color w:val="auto"/>
          <w:sz w:val="22"/>
          <w:highlight w:val="none"/>
        </w:rPr>
      </w:pPr>
      <w:r>
        <w:rPr>
          <w:rFonts w:hint="eastAsia" w:ascii="宋体" w:hAnsi="宋体" w:eastAsia="宋体" w:cs="宋体"/>
          <w:color w:val="auto"/>
          <w:sz w:val="30"/>
          <w:highlight w:val="none"/>
        </w:rPr>
        <w:t>招标方式：公 开 招 标</w:t>
      </w:r>
    </w:p>
    <w:p>
      <w:pPr>
        <w:spacing w:line="360" w:lineRule="auto"/>
        <w:ind w:firstLine="1080" w:firstLineChars="300"/>
        <w:jc w:val="center"/>
        <w:rPr>
          <w:rFonts w:hint="eastAsia" w:ascii="宋体" w:hAnsi="宋体" w:eastAsia="宋体" w:cs="宋体"/>
          <w:color w:val="auto"/>
          <w:spacing w:val="40"/>
          <w:sz w:val="28"/>
          <w:szCs w:val="28"/>
          <w:highlight w:val="none"/>
        </w:rPr>
      </w:pPr>
    </w:p>
    <w:p>
      <w:pPr>
        <w:pStyle w:val="2"/>
        <w:ind w:left="720" w:hanging="720"/>
        <w:rPr>
          <w:rFonts w:hint="eastAsia" w:ascii="宋体" w:hAnsi="宋体" w:eastAsia="宋体" w:cs="宋体"/>
          <w:color w:val="auto"/>
          <w:spacing w:val="40"/>
          <w:sz w:val="28"/>
          <w:szCs w:val="28"/>
          <w:highlight w:val="none"/>
        </w:rPr>
      </w:pPr>
    </w:p>
    <w:p>
      <w:pPr>
        <w:pStyle w:val="3"/>
        <w:ind w:hanging="480"/>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kern w:val="0"/>
          <w:sz w:val="30"/>
          <w:highlight w:val="none"/>
          <w:lang w:eastAsia="zh-CN"/>
        </w:rPr>
      </w:pPr>
      <w:r>
        <w:rPr>
          <w:rFonts w:hint="eastAsia" w:ascii="宋体" w:hAnsi="宋体" w:eastAsia="宋体" w:cs="宋体"/>
          <w:color w:val="auto"/>
          <w:kern w:val="0"/>
          <w:sz w:val="30"/>
          <w:highlight w:val="none"/>
        </w:rPr>
        <w:t>采购人：</w:t>
      </w:r>
      <w:r>
        <w:rPr>
          <w:rFonts w:hint="eastAsia" w:ascii="宋体" w:hAnsi="宋体" w:eastAsia="宋体" w:cs="宋体"/>
          <w:color w:val="auto"/>
          <w:kern w:val="0"/>
          <w:sz w:val="30"/>
          <w:highlight w:val="none"/>
          <w:lang w:eastAsia="zh-CN"/>
        </w:rPr>
        <w:t>文成县卫生健康局</w:t>
      </w:r>
    </w:p>
    <w:p>
      <w:pPr>
        <w:spacing w:line="360" w:lineRule="auto"/>
        <w:jc w:val="center"/>
        <w:rPr>
          <w:rFonts w:hint="eastAsia" w:ascii="宋体" w:hAnsi="宋体" w:eastAsia="宋体" w:cs="宋体"/>
          <w:color w:val="auto"/>
          <w:spacing w:val="40"/>
          <w:sz w:val="24"/>
          <w:szCs w:val="24"/>
          <w:highlight w:val="none"/>
        </w:rPr>
      </w:pPr>
      <w:r>
        <w:rPr>
          <w:rFonts w:hint="eastAsia" w:ascii="宋体" w:hAnsi="宋体" w:eastAsia="宋体" w:cs="宋体"/>
          <w:color w:val="auto"/>
          <w:kern w:val="0"/>
          <w:sz w:val="30"/>
          <w:highlight w:val="none"/>
        </w:rPr>
        <w:t>采购代理机构：浙江乐诚工程咨询有限公司</w:t>
      </w: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color w:val="auto"/>
          <w:spacing w:val="40"/>
          <w:sz w:val="28"/>
          <w:highlight w:val="none"/>
        </w:rPr>
      </w:pPr>
      <w:r>
        <w:rPr>
          <w:rFonts w:hint="eastAsia" w:ascii="宋体" w:hAnsi="宋体" w:eastAsia="宋体" w:cs="宋体"/>
          <w:color w:val="auto"/>
          <w:spacing w:val="40"/>
          <w:sz w:val="28"/>
          <w:highlight w:val="none"/>
        </w:rPr>
        <w:t>二0二三年</w:t>
      </w:r>
    </w:p>
    <w:p>
      <w:pPr>
        <w:rPr>
          <w:rFonts w:hint="eastAsia" w:ascii="宋体" w:hAnsi="宋体" w:eastAsia="宋体" w:cs="宋体"/>
          <w:color w:val="auto"/>
          <w:spacing w:val="40"/>
          <w:sz w:val="28"/>
          <w:highlight w:val="none"/>
        </w:rPr>
      </w:pPr>
      <w:r>
        <w:rPr>
          <w:rFonts w:hint="eastAsia" w:ascii="宋体" w:hAnsi="宋体" w:eastAsia="宋体" w:cs="宋体"/>
          <w:color w:val="auto"/>
          <w:spacing w:val="40"/>
          <w:sz w:val="28"/>
          <w:highlight w:val="none"/>
        </w:rPr>
        <w:br w:type="page"/>
      </w:r>
    </w:p>
    <w:sdt>
      <w:sdtPr>
        <w:rPr>
          <w:rFonts w:hint="eastAsia" w:ascii="宋体" w:hAnsi="宋体" w:eastAsia="宋体" w:cs="宋体"/>
          <w:b/>
          <w:bCs/>
          <w:color w:val="auto"/>
          <w:sz w:val="36"/>
          <w:szCs w:val="36"/>
          <w:highlight w:val="none"/>
        </w:rPr>
        <w:id w:val="147464123"/>
        <w15:color w:val="DBDBDB"/>
        <w:docPartObj>
          <w:docPartGallery w:val="Table of Contents"/>
          <w:docPartUnique/>
        </w:docPartObj>
      </w:sdtPr>
      <w:sdtEndPr>
        <w:rPr>
          <w:rFonts w:hint="eastAsia" w:ascii="宋体" w:hAnsi="宋体" w:eastAsia="宋体" w:cs="宋体"/>
          <w:b/>
          <w:bCs/>
          <w:color w:val="auto"/>
          <w:sz w:val="36"/>
          <w:szCs w:val="36"/>
          <w:highlight w:val="none"/>
        </w:rPr>
      </w:sdtEndPr>
      <w:sdtContent>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23"/>
            <w:tabs>
              <w:tab w:val="right" w:leader="hyphen" w:pos="9355"/>
            </w:tabs>
            <w:spacing w:line="360" w:lineRule="auto"/>
            <w:rPr>
              <w:rFonts w:hint="eastAsia" w:ascii="宋体" w:hAnsi="宋体" w:eastAsia="宋体" w:cs="宋体"/>
              <w:color w:val="auto"/>
              <w:highlight w:val="none"/>
            </w:rPr>
          </w:pP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"_Toc10075"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第一部分 投标邀请书</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_Toc10075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3</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"_Toc24189"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第二部分 投标人须知</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_Toc24189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"_Toc13063"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投标人须知前附表</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_Toc13063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"_Toc32069"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一、说明</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_Toc32069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10</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"_Toc26092"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二、招标文件</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_Toc26092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15</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"_Toc14601"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三、投标文件的编制</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_Toc14601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"_Toc12008"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四、投标文件的递交</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_Toc12008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18</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"_Toc31830"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五、开标和评标</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_Toc31830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19</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"_Toc20701"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六、授予合同</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_Toc20701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23</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"_Toc32512"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七、可中止电子交易活动的情形</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_Toc32512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24</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"_Toc2785"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第三部分 拟签订的合同文本</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_Toc2785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25</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"_Toc6163"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第四部分 附件</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_Toc6163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32</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"_Toc17135"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第五部分 采购需求</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_Toc17135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60</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"_Toc23602"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第六部分 评标原则及方法</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_Toc23602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"_Toc20305"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一. 总  则</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_Toc20305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"_Toc21489"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二.评标组织</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_Toc21489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"_Toc7183"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三.评标程序</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_Toc7183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"_Toc12777"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四.评标办法</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_Toc12777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400" w:lineRule="exact"/>
        <w:jc w:val="center"/>
        <w:outlineLvl w:val="0"/>
        <w:rPr>
          <w:rFonts w:hint="eastAsia" w:ascii="宋体" w:hAnsi="宋体" w:eastAsia="宋体" w:cs="宋体"/>
          <w:b/>
          <w:color w:val="auto"/>
          <w:sz w:val="32"/>
          <w:highlight w:val="none"/>
        </w:rPr>
      </w:pPr>
      <w:bookmarkStart w:id="0" w:name="_Toc10075"/>
      <w:r>
        <w:rPr>
          <w:rFonts w:hint="eastAsia" w:ascii="宋体" w:hAnsi="宋体" w:eastAsia="宋体" w:cs="宋体"/>
          <w:b/>
          <w:color w:val="auto"/>
          <w:sz w:val="32"/>
          <w:highlight w:val="none"/>
        </w:rPr>
        <w:t>第一部分 投标邀请书</w:t>
      </w:r>
      <w:bookmarkEnd w:id="0"/>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项目概况</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螺旋CT和口腔CT招标项目的潜在投标人应在</w:t>
      </w:r>
      <w:r>
        <w:rPr>
          <w:rFonts w:hint="eastAsia" w:ascii="宋体" w:hAnsi="宋体" w:eastAsia="宋体" w:cs="宋体"/>
          <w:sz w:val="22"/>
          <w:szCs w:val="22"/>
          <w:u w:val="none"/>
        </w:rPr>
        <w:t>政采云平台线上获取</w:t>
      </w:r>
      <w:r>
        <w:rPr>
          <w:rFonts w:hint="eastAsia" w:ascii="宋体" w:hAnsi="宋体" w:eastAsia="宋体" w:cs="宋体"/>
          <w:sz w:val="22"/>
          <w:szCs w:val="22"/>
        </w:rPr>
        <w:t>获取（下载）招标文件，并于 2023年08月31日 09:30（北京时间）前递交（上传）投标文件。</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sz w:val="22"/>
          <w:szCs w:val="22"/>
        </w:rPr>
      </w:pPr>
      <w:bookmarkStart w:id="114" w:name="_GoBack"/>
      <w:bookmarkEnd w:id="114"/>
      <w:r>
        <w:rPr>
          <w:rStyle w:val="34"/>
          <w:rFonts w:hint="eastAsia" w:ascii="宋体" w:hAnsi="宋体" w:eastAsia="宋体" w:cs="宋体"/>
          <w:sz w:val="22"/>
          <w:szCs w:val="22"/>
        </w:rPr>
        <w:t>一、项目基本情况</w:t>
      </w:r>
      <w:r>
        <w:rPr>
          <w:rFonts w:hint="eastAsia" w:ascii="宋体" w:hAnsi="宋体" w:eastAsia="宋体" w:cs="宋体"/>
          <w:sz w:val="22"/>
          <w:szCs w:val="22"/>
        </w:rPr>
        <w:t>项目编号：ZJYC2023138（GK）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项目名称：螺旋CT和口腔CT</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预算金额（元）：3500000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最高限价（元）：/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采购需求：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标项名称: 螺旋CT和口腔CT </w:t>
      </w:r>
      <w:r>
        <w:rPr>
          <w:rFonts w:hint="eastAsia" w:ascii="宋体" w:hAnsi="宋体" w:eastAsia="宋体" w:cs="宋体"/>
          <w:sz w:val="22"/>
          <w:szCs w:val="22"/>
        </w:rPr>
        <w:br w:type="textWrapping"/>
      </w:r>
      <w:r>
        <w:rPr>
          <w:rFonts w:hint="eastAsia" w:ascii="宋体" w:hAnsi="宋体" w:eastAsia="宋体" w:cs="宋体"/>
          <w:sz w:val="22"/>
          <w:szCs w:val="22"/>
        </w:rPr>
        <w:t>    数量: 1  </w:t>
      </w:r>
      <w:r>
        <w:rPr>
          <w:rFonts w:hint="eastAsia" w:ascii="宋体" w:hAnsi="宋体" w:eastAsia="宋体" w:cs="宋体"/>
          <w:sz w:val="22"/>
          <w:szCs w:val="22"/>
        </w:rPr>
        <w:br w:type="textWrapping"/>
      </w:r>
      <w:r>
        <w:rPr>
          <w:rFonts w:hint="eastAsia" w:ascii="宋体" w:hAnsi="宋体" w:eastAsia="宋体" w:cs="宋体"/>
          <w:sz w:val="22"/>
          <w:szCs w:val="22"/>
        </w:rPr>
        <w:t>    预算金额（元）: 3500000 </w:t>
      </w:r>
      <w:r>
        <w:rPr>
          <w:rFonts w:hint="eastAsia" w:ascii="宋体" w:hAnsi="宋体" w:eastAsia="宋体" w:cs="宋体"/>
          <w:sz w:val="22"/>
          <w:szCs w:val="22"/>
        </w:rPr>
        <w:br w:type="textWrapping"/>
      </w:r>
      <w:r>
        <w:rPr>
          <w:rFonts w:hint="eastAsia" w:ascii="宋体" w:hAnsi="宋体" w:eastAsia="宋体" w:cs="宋体"/>
          <w:sz w:val="22"/>
          <w:szCs w:val="22"/>
        </w:rPr>
        <w:t>    简要规格描述或项目基本概况介绍、用途：详见招标文件 </w:t>
      </w:r>
      <w:r>
        <w:rPr>
          <w:rFonts w:hint="eastAsia" w:ascii="宋体" w:hAnsi="宋体" w:eastAsia="宋体" w:cs="宋体"/>
          <w:sz w:val="22"/>
          <w:szCs w:val="22"/>
        </w:rPr>
        <w:br w:type="textWrapping"/>
      </w:r>
      <w:r>
        <w:rPr>
          <w:rFonts w:hint="eastAsia" w:ascii="宋体" w:hAnsi="宋体" w:eastAsia="宋体" w:cs="宋体"/>
          <w:sz w:val="22"/>
          <w:szCs w:val="22"/>
        </w:rPr>
        <w:t>    备注：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合同履约期限：标项 1，详见招标文件</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本项目（是）接受联合体投标。</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Style w:val="34"/>
          <w:rFonts w:hint="eastAsia" w:ascii="宋体" w:hAnsi="宋体" w:eastAsia="宋体" w:cs="宋体"/>
          <w:sz w:val="22"/>
          <w:szCs w:val="22"/>
        </w:rPr>
        <w:t>二、申请人的资格要求：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2.落实政府采购政策需满足的资格要求：标项1：无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3.本项目的特定资格要求：无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sz w:val="22"/>
          <w:szCs w:val="22"/>
        </w:rPr>
        <w:t>三、获取招标文件</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时间：/至2023年08月31日 ，每天上午00:00至12:00 ，下午12:00至23:59（北京时间，线上获取法定节假日均可，线下获取文件法定节假日除外）</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地点（网址）：政采云平台线上获取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售价（元）：0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sz w:val="22"/>
          <w:szCs w:val="22"/>
        </w:rPr>
        <w:t>四、提交投标文件截止时间、开标时间和地点</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提交投标文件截止时间：2023年08月31日 09:30（北京时间）</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投标地点（网址）：请登录政采云投标客户端投标</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u w:val="none"/>
        </w:rPr>
        <w:t>    开标时间：2023年08月31日 09:30</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u w:val="none"/>
        </w:rPr>
        <w:t>    开标地点（网址）：浙江乐诚工程咨询有限公司评审室（温州市瓯海区三垟街道桥头河大桥温州生命健康小镇B03）（https://www.zcygov.cn/）</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sz w:val="22"/>
          <w:szCs w:val="22"/>
        </w:rPr>
        <w:t>五、公告期限</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自本公告发布之日起5个工作日。</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sz w:val="22"/>
          <w:szCs w:val="22"/>
        </w:rPr>
        <w:t>六、其他补充事宜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sz w:val="22"/>
          <w:szCs w:val="22"/>
        </w:rPr>
      </w:pPr>
      <w:r>
        <w:rPr>
          <w:rFonts w:hint="eastAsia" w:ascii="宋体" w:hAnsi="宋体" w:eastAsia="宋体" w:cs="宋体"/>
          <w:sz w:val="22"/>
          <w:szCs w:val="22"/>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4"/>
          <w:rFonts w:hint="eastAsia" w:ascii="宋体" w:hAnsi="宋体" w:eastAsia="宋体" w:cs="宋体"/>
          <w:sz w:val="22"/>
          <w:szCs w:val="22"/>
        </w:rPr>
        <w:t>七、对本次采购提出询问、质疑、投诉，请按以下方式联系</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1.采购人信息</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称：文成县卫生健康局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    址：文成县大峃镇华侨新村35幢8号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传    真：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项目联系人（询问）：王女士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项目联系方式（询问）：0577-67830212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质疑联系人：雷女士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质疑联系方式：0577-67810213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2.采购代理机构信息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称：浙江乐诚工程咨询有限公司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sz w:val="22"/>
          <w:szCs w:val="22"/>
        </w:rPr>
      </w:pPr>
      <w:r>
        <w:rPr>
          <w:rFonts w:hint="eastAsia" w:ascii="宋体" w:hAnsi="宋体" w:eastAsia="宋体" w:cs="宋体"/>
          <w:sz w:val="22"/>
          <w:szCs w:val="22"/>
        </w:rPr>
        <w:t>地    址：温州市瓯海区三垟街道桥头河大桥温州生命健康小镇B03</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项目联系人（询问）：王纪凤/陈素芳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项目联系方式（询问）：0577-86077700/18357703076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质疑联系人：钱学丰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质疑联系方式：15805779720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3.</w:t>
      </w:r>
      <w:r>
        <w:rPr>
          <w:rStyle w:val="40"/>
          <w:rFonts w:hint="eastAsia" w:ascii="宋体" w:hAnsi="宋体" w:eastAsia="宋体" w:cs="宋体"/>
          <w:sz w:val="22"/>
          <w:szCs w:val="22"/>
        </w:rPr>
        <w:t>同级政府采购监督管理部门</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称：文成县财政局政府采购监管科</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    址：文成县财政局大峃镇伯温路</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传    真：0577-67833147</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联 系 人：王李快</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监督投诉电话：0577-67860159</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若对项目采购电子交易系统操作有疑问，可登录政采云（https://www.zcygov.cn/），点击右侧咨询小采，获取采小蜜智能服务管家帮助，或拨打政采云服务热线95763获取热线服务帮助。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CA问题联系电话（人工）：汇信CA 400-888-4636；天谷CA 400-087-8198。</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lang w:bidi="ar"/>
        </w:rPr>
        <w:t> </w:t>
      </w:r>
      <w:r>
        <w:rPr>
          <w:rFonts w:hint="eastAsia" w:ascii="宋体" w:hAnsi="宋体" w:eastAsia="宋体" w:cs="宋体"/>
          <w:color w:val="auto"/>
          <w:kern w:val="0"/>
          <w:sz w:val="22"/>
          <w:highlight w:val="none"/>
          <w:lang w:bidi="ar"/>
        </w:rPr>
        <w:t xml:space="preserve">      </w:t>
      </w:r>
    </w:p>
    <w:p>
      <w:pPr>
        <w:widowControl/>
        <w:spacing w:line="360" w:lineRule="exact"/>
        <w:jc w:val="left"/>
        <w:rPr>
          <w:rFonts w:hint="eastAsia" w:ascii="宋体" w:hAnsi="宋体" w:eastAsia="宋体" w:cs="宋体"/>
          <w:color w:val="auto"/>
          <w:highlight w:val="none"/>
        </w:rPr>
      </w:pPr>
      <w:r>
        <w:rPr>
          <w:rFonts w:hint="eastAsia" w:ascii="宋体" w:hAnsi="宋体" w:eastAsia="宋体" w:cs="宋体"/>
          <w:color w:val="auto"/>
          <w:kern w:val="0"/>
          <w:sz w:val="22"/>
          <w:highlight w:val="none"/>
          <w:lang w:bidi="ar"/>
        </w:rPr>
        <w:t>   </w:t>
      </w:r>
    </w:p>
    <w:p>
      <w:pPr>
        <w:spacing w:line="400" w:lineRule="exact"/>
        <w:jc w:val="right"/>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rPr>
        <w:t>文成县卫生健康局</w:t>
      </w:r>
    </w:p>
    <w:p>
      <w:pPr>
        <w:spacing w:line="400" w:lineRule="exact"/>
        <w:jc w:val="right"/>
        <w:rPr>
          <w:rFonts w:hint="eastAsia" w:ascii="宋体" w:hAnsi="宋体" w:eastAsia="宋体" w:cs="宋体"/>
          <w:color w:val="auto"/>
          <w:spacing w:val="-6"/>
          <w:sz w:val="22"/>
          <w:highlight w:val="none"/>
          <w:lang w:val="zh-CN"/>
        </w:rPr>
      </w:pPr>
      <w:r>
        <w:rPr>
          <w:rFonts w:hint="eastAsia" w:ascii="宋体" w:hAnsi="宋体" w:eastAsia="宋体" w:cs="宋体"/>
          <w:color w:val="auto"/>
          <w:kern w:val="0"/>
          <w:sz w:val="22"/>
          <w:highlight w:val="none"/>
        </w:rPr>
        <w:t>浙江乐</w:t>
      </w:r>
      <w:r>
        <w:rPr>
          <w:rFonts w:hint="eastAsia" w:ascii="宋体" w:hAnsi="宋体" w:eastAsia="宋体" w:cs="宋体"/>
          <w:color w:val="auto"/>
          <w:spacing w:val="-6"/>
          <w:sz w:val="22"/>
          <w:highlight w:val="none"/>
          <w:lang w:val="zh-CN"/>
        </w:rPr>
        <w:t>诚工程咨询有限公司</w:t>
      </w:r>
    </w:p>
    <w:p>
      <w:pPr>
        <w:spacing w:line="400" w:lineRule="exact"/>
        <w:jc w:val="right"/>
        <w:rPr>
          <w:rFonts w:hint="eastAsia" w:ascii="宋体" w:hAnsi="宋体" w:eastAsia="宋体" w:cs="宋体"/>
          <w:color w:val="auto"/>
          <w:spacing w:val="-6"/>
          <w:sz w:val="22"/>
          <w:highlight w:val="none"/>
          <w:lang w:val="zh-CN"/>
        </w:rPr>
      </w:pPr>
      <w:r>
        <w:rPr>
          <w:rFonts w:hint="eastAsia" w:ascii="宋体" w:hAnsi="宋体" w:cs="宋体"/>
          <w:color w:val="auto"/>
          <w:spacing w:val="-6"/>
          <w:sz w:val="22"/>
          <w:highlight w:val="none"/>
          <w:lang w:val="zh-CN"/>
        </w:rPr>
        <w:t>2023年08月10日</w:t>
      </w:r>
    </w:p>
    <w:p>
      <w:pPr>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rPr>
        <w:br w:type="page"/>
      </w:r>
    </w:p>
    <w:p>
      <w:pPr>
        <w:spacing w:line="400" w:lineRule="exact"/>
        <w:jc w:val="center"/>
        <w:outlineLvl w:val="0"/>
        <w:rPr>
          <w:rFonts w:hint="eastAsia" w:ascii="宋体" w:hAnsi="宋体" w:eastAsia="宋体" w:cs="宋体"/>
          <w:b/>
          <w:color w:val="auto"/>
          <w:sz w:val="32"/>
          <w:highlight w:val="none"/>
        </w:rPr>
      </w:pPr>
      <w:bookmarkStart w:id="1" w:name="_Toc24189"/>
      <w:r>
        <w:rPr>
          <w:rFonts w:hint="eastAsia" w:ascii="宋体" w:hAnsi="宋体" w:eastAsia="宋体" w:cs="宋体"/>
          <w:b/>
          <w:color w:val="auto"/>
          <w:sz w:val="32"/>
          <w:highlight w:val="none"/>
        </w:rPr>
        <w:t>第二部分 投标人须知</w:t>
      </w:r>
      <w:bookmarkEnd w:id="1"/>
    </w:p>
    <w:p>
      <w:pPr>
        <w:spacing w:line="360" w:lineRule="exact"/>
        <w:jc w:val="center"/>
        <w:outlineLvl w:val="1"/>
        <w:rPr>
          <w:rFonts w:hint="eastAsia" w:ascii="宋体" w:hAnsi="宋体" w:eastAsia="宋体" w:cs="宋体"/>
          <w:b/>
          <w:bCs/>
          <w:color w:val="auto"/>
          <w:sz w:val="28"/>
          <w:szCs w:val="28"/>
          <w:highlight w:val="none"/>
        </w:rPr>
      </w:pPr>
      <w:bookmarkStart w:id="2" w:name="_Toc13063"/>
      <w:r>
        <w:rPr>
          <w:rFonts w:hint="eastAsia" w:ascii="宋体" w:hAnsi="宋体" w:eastAsia="宋体" w:cs="宋体"/>
          <w:b/>
          <w:bCs/>
          <w:color w:val="auto"/>
          <w:sz w:val="28"/>
          <w:szCs w:val="28"/>
          <w:highlight w:val="none"/>
        </w:rPr>
        <w:t>投标人须知前附表</w:t>
      </w:r>
      <w:bookmarkEnd w:id="2"/>
    </w:p>
    <w:tbl>
      <w:tblPr>
        <w:tblStyle w:val="31"/>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ind w:right="416"/>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rPr>
              <w:t>文成县卫生健康局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项目名称：</w:t>
            </w:r>
            <w:r>
              <w:rPr>
                <w:rFonts w:hint="eastAsia" w:ascii="宋体" w:hAnsi="宋体" w:cs="宋体"/>
                <w:color w:val="auto"/>
                <w:sz w:val="22"/>
                <w:highlight w:val="none"/>
                <w:lang w:eastAsia="zh-CN"/>
              </w:rPr>
              <w:t>螺旋CT和口腔CT</w:t>
            </w:r>
          </w:p>
          <w:p>
            <w:pPr>
              <w:pStyle w:val="2"/>
              <w:keepNext w:val="0"/>
              <w:keepLines w:val="0"/>
              <w:pageBreakBefore w:val="0"/>
              <w:kinsoku/>
              <w:wordWrap/>
              <w:overflowPunct/>
              <w:topLinePunct w:val="0"/>
              <w:bidi w:val="0"/>
              <w:spacing w:line="360" w:lineRule="exact"/>
              <w:ind w:left="440" w:hanging="440"/>
              <w:rPr>
                <w:rFonts w:hint="eastAsia" w:ascii="宋体" w:hAnsi="宋体" w:eastAsia="宋体" w:cs="宋体"/>
                <w:color w:val="auto"/>
                <w:highlight w:val="none"/>
                <w:lang w:eastAsia="zh-CN"/>
              </w:rPr>
            </w:pPr>
            <w:r>
              <w:rPr>
                <w:rFonts w:hint="eastAsia" w:ascii="宋体" w:hAnsi="宋体" w:eastAsia="宋体" w:cs="宋体"/>
                <w:color w:val="auto"/>
                <w:kern w:val="0"/>
                <w:sz w:val="22"/>
                <w:highlight w:val="none"/>
                <w:lang w:val="zh-CN"/>
              </w:rPr>
              <w:t>项目编号：</w:t>
            </w:r>
            <w:r>
              <w:rPr>
                <w:rFonts w:hint="eastAsia" w:ascii="宋体" w:hAnsi="宋体" w:cs="宋体"/>
                <w:color w:val="auto"/>
                <w:kern w:val="0"/>
                <w:sz w:val="22"/>
                <w:highlight w:val="none"/>
                <w:lang w:eastAsia="zh-CN"/>
              </w:rPr>
              <w:t>ZJYC2023138（GK）</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预算金额</w:t>
            </w:r>
            <w:r>
              <w:rPr>
                <w:rFonts w:hint="eastAsia" w:ascii="宋体" w:hAnsi="宋体" w:eastAsia="宋体" w:cs="宋体"/>
                <w:color w:val="auto"/>
                <w:kern w:val="0"/>
                <w:sz w:val="22"/>
                <w:highlight w:val="none"/>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w:t>
            </w:r>
            <w:r>
              <w:rPr>
                <w:rFonts w:hint="eastAsia" w:ascii="宋体" w:hAnsi="宋体" w:cs="宋体"/>
                <w:bCs/>
                <w:color w:val="auto"/>
                <w:sz w:val="22"/>
                <w:highlight w:val="none"/>
                <w:u w:val="single"/>
                <w:lang w:val="en-US" w:eastAsia="zh-CN"/>
              </w:rPr>
              <w:t>总</w:t>
            </w:r>
            <w:r>
              <w:rPr>
                <w:rFonts w:hint="eastAsia" w:ascii="宋体" w:hAnsi="宋体" w:eastAsia="宋体" w:cs="宋体"/>
                <w:bCs/>
                <w:color w:val="auto"/>
                <w:sz w:val="22"/>
                <w:highlight w:val="none"/>
                <w:u w:val="single"/>
              </w:rPr>
              <w:t>预算金额：</w:t>
            </w:r>
            <w:r>
              <w:rPr>
                <w:rFonts w:hint="eastAsia" w:ascii="宋体" w:hAnsi="宋体" w:eastAsia="宋体" w:cs="宋体"/>
                <w:bCs/>
                <w:color w:val="auto"/>
                <w:sz w:val="22"/>
                <w:highlight w:val="none"/>
                <w:u w:val="single"/>
                <w:lang w:eastAsia="zh-CN"/>
              </w:rPr>
              <w:t>3500000</w:t>
            </w:r>
            <w:r>
              <w:rPr>
                <w:rFonts w:hint="eastAsia" w:ascii="宋体" w:hAnsi="宋体" w:eastAsia="宋体" w:cs="宋体"/>
                <w:bCs/>
                <w:color w:val="auto"/>
                <w:sz w:val="22"/>
                <w:highlight w:val="none"/>
                <w:u w:val="single"/>
              </w:rPr>
              <w:t>元</w:t>
            </w:r>
            <w:r>
              <w:rPr>
                <w:rFonts w:hint="eastAsia" w:ascii="宋体" w:hAnsi="宋体" w:eastAsia="宋体" w:cs="宋体"/>
                <w:bCs/>
                <w:color w:val="auto"/>
                <w:sz w:val="22"/>
                <w:highlight w:val="none"/>
                <w:u w:val="single"/>
                <w:lang w:eastAsia="zh-CN"/>
              </w:rPr>
              <w:t>，</w:t>
            </w:r>
            <w:r>
              <w:rPr>
                <w:rFonts w:hint="eastAsia" w:ascii="宋体" w:hAnsi="宋体" w:eastAsia="宋体" w:cs="宋体"/>
                <w:bCs/>
                <w:color w:val="auto"/>
                <w:sz w:val="22"/>
                <w:highlight w:val="none"/>
                <w:u w:val="single"/>
                <w:lang w:val="en-US" w:eastAsia="zh-CN"/>
              </w:rPr>
              <w:t>其中</w:t>
            </w:r>
            <w:r>
              <w:rPr>
                <w:rFonts w:hint="eastAsia" w:ascii="宋体" w:hAnsi="宋体" w:eastAsia="宋体" w:cs="宋体"/>
                <w:bCs/>
                <w:color w:val="auto"/>
                <w:sz w:val="22"/>
                <w:highlight w:val="none"/>
                <w:u w:val="single"/>
                <w:lang w:eastAsia="zh-CN"/>
              </w:rPr>
              <w:t>螺旋CT</w:t>
            </w:r>
            <w:r>
              <w:rPr>
                <w:rFonts w:hint="eastAsia" w:ascii="宋体" w:hAnsi="宋体" w:eastAsia="宋体" w:cs="宋体"/>
                <w:bCs/>
                <w:color w:val="auto"/>
                <w:sz w:val="22"/>
                <w:highlight w:val="none"/>
                <w:u w:val="single"/>
              </w:rPr>
              <w:t>预算金额</w:t>
            </w:r>
            <w:r>
              <w:rPr>
                <w:rFonts w:hint="eastAsia" w:ascii="宋体" w:hAnsi="宋体" w:eastAsia="宋体" w:cs="宋体"/>
                <w:bCs/>
                <w:color w:val="auto"/>
                <w:sz w:val="22"/>
                <w:highlight w:val="none"/>
                <w:u w:val="single"/>
                <w:lang w:val="en-US" w:eastAsia="zh-CN"/>
              </w:rPr>
              <w:t>3000000</w:t>
            </w:r>
            <w:r>
              <w:rPr>
                <w:rFonts w:hint="eastAsia" w:ascii="宋体" w:hAnsi="宋体" w:eastAsia="宋体" w:cs="宋体"/>
                <w:bCs/>
                <w:color w:val="auto"/>
                <w:sz w:val="22"/>
                <w:highlight w:val="none"/>
                <w:u w:val="single"/>
              </w:rPr>
              <w:t>元</w:t>
            </w:r>
            <w:r>
              <w:rPr>
                <w:rFonts w:hint="eastAsia" w:ascii="宋体" w:hAnsi="宋体" w:eastAsia="宋体" w:cs="宋体"/>
                <w:bCs/>
                <w:color w:val="auto"/>
                <w:sz w:val="22"/>
                <w:highlight w:val="none"/>
                <w:u w:val="single"/>
                <w:lang w:eastAsia="zh-CN"/>
              </w:rPr>
              <w:t>，口腔CT</w:t>
            </w:r>
            <w:r>
              <w:rPr>
                <w:rFonts w:hint="eastAsia" w:ascii="宋体" w:hAnsi="宋体" w:eastAsia="宋体" w:cs="宋体"/>
                <w:bCs/>
                <w:color w:val="auto"/>
                <w:sz w:val="22"/>
                <w:highlight w:val="none"/>
                <w:u w:val="single"/>
              </w:rPr>
              <w:t>预算金额</w:t>
            </w:r>
            <w:r>
              <w:rPr>
                <w:rFonts w:hint="eastAsia" w:ascii="宋体" w:hAnsi="宋体" w:eastAsia="宋体" w:cs="宋体"/>
                <w:bCs/>
                <w:color w:val="auto"/>
                <w:sz w:val="22"/>
                <w:highlight w:val="none"/>
                <w:u w:val="single"/>
                <w:lang w:val="en-US" w:eastAsia="zh-CN"/>
              </w:rPr>
              <w:t>500000元</w:t>
            </w:r>
            <w:r>
              <w:rPr>
                <w:rFonts w:hint="eastAsia" w:ascii="宋体" w:hAnsi="宋体" w:eastAsia="宋体" w:cs="宋体"/>
                <w:bCs/>
                <w:color w:val="auto"/>
                <w:sz w:val="22"/>
                <w:highlight w:val="none"/>
                <w:u w:val="single"/>
              </w:rPr>
              <w:t>，报价超过</w:t>
            </w:r>
            <w:r>
              <w:rPr>
                <w:rFonts w:hint="eastAsia" w:ascii="宋体" w:hAnsi="宋体" w:cs="宋体"/>
                <w:bCs/>
                <w:color w:val="auto"/>
                <w:sz w:val="22"/>
                <w:highlight w:val="none"/>
                <w:u w:val="single"/>
                <w:lang w:val="en-US" w:eastAsia="zh-CN"/>
              </w:rPr>
              <w:t>对应</w:t>
            </w:r>
            <w:r>
              <w:rPr>
                <w:rFonts w:hint="eastAsia" w:ascii="宋体" w:hAnsi="宋体" w:eastAsia="宋体" w:cs="宋体"/>
                <w:bCs/>
                <w:color w:val="auto"/>
                <w:sz w:val="22"/>
                <w:highlight w:val="none"/>
                <w:u w:val="single"/>
                <w:lang w:val="en-US" w:eastAsia="zh-CN"/>
              </w:rPr>
              <w:t>预算金</w:t>
            </w:r>
            <w:r>
              <w:rPr>
                <w:rFonts w:hint="eastAsia" w:ascii="宋体" w:hAnsi="宋体" w:eastAsia="宋体" w:cs="宋体"/>
                <w:color w:val="auto"/>
                <w:sz w:val="22"/>
                <w:highlight w:val="none"/>
                <w:u w:val="single"/>
                <w:lang w:val="en-US" w:eastAsia="zh-CN"/>
              </w:rPr>
              <w:t>额</w:t>
            </w:r>
            <w:r>
              <w:rPr>
                <w:rFonts w:hint="eastAsia" w:ascii="宋体" w:hAnsi="宋体" w:eastAsia="宋体" w:cs="宋体"/>
                <w:color w:val="auto"/>
                <w:sz w:val="22"/>
                <w:highlight w:val="none"/>
                <w:u w:val="single"/>
              </w:rPr>
              <w:t>的投标无效。</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rPr>
              <w:t>详见第一部分 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1.投标报价是指一次性报出不得更改的价格；</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2.</w:t>
            </w:r>
            <w:r>
              <w:rPr>
                <w:rFonts w:hint="eastAsia" w:ascii="宋体" w:hAnsi="宋体" w:eastAsia="宋体" w:cs="宋体"/>
                <w:b/>
                <w:color w:val="auto"/>
                <w:sz w:val="22"/>
                <w:highlight w:val="none"/>
              </w:rPr>
              <w:t>采用含税人民币报价</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允许进口设备的如所投产品为进口产品则不做免税</w:t>
            </w:r>
            <w:r>
              <w:rPr>
                <w:rFonts w:hint="eastAsia" w:ascii="宋体" w:hAnsi="宋体" w:eastAsia="宋体" w:cs="宋体"/>
                <w:b/>
                <w:color w:val="auto"/>
                <w:sz w:val="22"/>
                <w:highlight w:val="none"/>
              </w:rPr>
              <w:t>。</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eastAsia="zh-CN"/>
              </w:rPr>
            </w:pPr>
            <w:r>
              <w:rPr>
                <w:rFonts w:hint="eastAsia" w:ascii="宋体" w:hAnsi="宋体" w:eastAsia="宋体" w:cs="宋体"/>
                <w:color w:val="auto"/>
                <w:kern w:val="0"/>
                <w:sz w:val="22"/>
                <w:highlight w:val="none"/>
                <w:lang w:eastAsia="zh-CN"/>
              </w:rPr>
              <w:t>投标人资格要求</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rPr>
              <w:t>详见投标邀请书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接受，但必须满足以下条件：</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1.两个以上的自然人、法人或者其他组织可以组成一个联合体，以一个供应商的身份共同参加政府采购。</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 xml:space="preserve">3.投标人以联合体形式参加采购活动的，联合体各方中至少应有一方符合招标文件规定的特定资质条件。如由同一专业的供应商组成的联合体的，评审时应以资质最低的一方为依据。 </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4.联合体中有同类资质的供应商按照联合体分工承担相同工作的，按照资质等级较低的供应商确定资质等级。</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5.联合体各方指定其中一家企业为牵头人，由牵头人之法定代表人或其委托代理人为联合体授权代表执行联合体有关的决议，以联合体名义处理与本项目相关的事务。</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6.以联合体形式参加采购活动的，联合体各方不得再单独参加或者与其他供应商另外组成联合体参加同一合同项下的采购活动。</w:t>
            </w:r>
          </w:p>
          <w:p>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b/>
                <w:bCs/>
                <w:snapToGrid w:val="0"/>
                <w:color w:val="auto"/>
                <w:sz w:val="22"/>
                <w:highlight w:val="none"/>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rPr>
            </w:pPr>
            <w:r>
              <w:rPr>
                <w:rFonts w:hint="eastAsia" w:ascii="宋体" w:hAnsi="宋体" w:eastAsia="宋体" w:cs="宋体"/>
                <w:b/>
                <w:color w:val="auto"/>
                <w:sz w:val="22"/>
                <w:highlight w:val="none"/>
                <w:lang w:bidi="ar"/>
              </w:rPr>
              <w:t>不需要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本项目不允许转包</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2.分包</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2.2</w:t>
            </w:r>
            <w:r>
              <w:rPr>
                <w:rFonts w:hint="eastAsia" w:ascii="宋体" w:hAnsi="宋体" w:eastAsia="宋体" w:cs="宋体"/>
                <w:color w:val="auto"/>
                <w:kern w:val="0"/>
                <w:sz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2.3</w:t>
            </w:r>
            <w:r>
              <w:rPr>
                <w:rFonts w:hint="eastAsia" w:ascii="宋体" w:hAnsi="宋体" w:eastAsia="宋体" w:cs="宋体"/>
                <w:color w:val="auto"/>
                <w:kern w:val="0"/>
                <w:sz w:val="22"/>
                <w:highlight w:val="none"/>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本项目实行网上电子投标。</w:t>
            </w:r>
          </w:p>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投标人应准备电子投标文件、以介质存储的数据电文形式的备份投标文件二类：</w:t>
            </w:r>
          </w:p>
          <w:p>
            <w:pPr>
              <w:pStyle w:val="15"/>
              <w:keepNext w:val="0"/>
              <w:keepLines w:val="0"/>
              <w:pageBreakBefore w:val="0"/>
              <w:kinsoku/>
              <w:wordWrap/>
              <w:overflowPunct/>
              <w:topLinePunct w:val="0"/>
              <w:bidi w:val="0"/>
              <w:snapToGrid w:val="0"/>
              <w:spacing w:line="360" w:lineRule="exact"/>
              <w:ind w:firstLine="221" w:firstLineChars="1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（1）电子投标文件：通过政采云电子交易客户端（政采云投标客户端）完成投标文件编制后生成并加密的数据电文形式的投标文件（文件扩展名为.jmbs）1份</w:t>
            </w:r>
            <w:r>
              <w:rPr>
                <w:rFonts w:hint="eastAsia" w:ascii="宋体" w:hAnsi="宋体" w:eastAsia="宋体" w:cs="宋体"/>
                <w:b/>
                <w:bCs/>
                <w:color w:val="auto"/>
                <w:sz w:val="22"/>
                <w:highlight w:val="none"/>
                <w:lang w:val="zh-CN"/>
              </w:rPr>
              <w:t>。</w:t>
            </w:r>
          </w:p>
          <w:p>
            <w:pPr>
              <w:keepNext w:val="0"/>
              <w:keepLines w:val="0"/>
              <w:pageBreakBefore w:val="0"/>
              <w:kinsoku/>
              <w:wordWrap/>
              <w:overflowPunct/>
              <w:topLinePunct w:val="0"/>
              <w:bidi w:val="0"/>
              <w:spacing w:line="360" w:lineRule="exact"/>
              <w:ind w:firstLine="221" w:firstLineChars="1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（2）以介质存储的数据电文形式的备份投标文件（如有）：</w:t>
            </w:r>
            <w:r>
              <w:rPr>
                <w:rStyle w:val="34"/>
                <w:rFonts w:hint="eastAsia" w:ascii="宋体" w:hAnsi="宋体" w:eastAsia="宋体" w:cs="宋体"/>
                <w:bCs/>
                <w:color w:val="auto"/>
                <w:sz w:val="22"/>
                <w:highlight w:val="none"/>
              </w:rPr>
              <w:t>与“电子投标文件”同时生成的数据电文形式的备份投标文件(文件扩展名为.bfbs)</w:t>
            </w:r>
            <w:r>
              <w:rPr>
                <w:rFonts w:hint="eastAsia" w:ascii="宋体" w:hAnsi="宋体" w:eastAsia="宋体" w:cs="宋体"/>
                <w:b/>
                <w:bCs/>
                <w:color w:val="auto"/>
                <w:sz w:val="22"/>
                <w:highlight w:val="none"/>
              </w:rPr>
              <w:t>，投标文件提交截止时间前以</w:t>
            </w:r>
            <w:r>
              <w:rPr>
                <w:rFonts w:hint="eastAsia" w:ascii="宋体" w:hAnsi="宋体" w:eastAsia="宋体" w:cs="宋体"/>
                <w:b/>
                <w:bCs/>
                <w:color w:val="auto"/>
                <w:sz w:val="22"/>
                <w:highlight w:val="none"/>
                <w:lang w:val="zh-CN"/>
              </w:rPr>
              <w:t>电子邮件方式传送至浙江乐诚工程咨询有限公司电子邮箱</w:t>
            </w:r>
            <w:r>
              <w:rPr>
                <w:rFonts w:hint="eastAsia" w:ascii="宋体" w:hAnsi="宋体" w:eastAsia="宋体" w:cs="宋体"/>
                <w:b/>
                <w:bCs/>
                <w:color w:val="auto"/>
                <w:sz w:val="22"/>
                <w:highlight w:val="none"/>
                <w:lang w:eastAsia="zh-CN"/>
              </w:rPr>
              <w:t>2812799762</w:t>
            </w:r>
            <w:r>
              <w:rPr>
                <w:rFonts w:hint="eastAsia" w:ascii="宋体" w:hAnsi="宋体" w:eastAsia="宋体" w:cs="宋体"/>
                <w:b/>
                <w:bCs/>
                <w:color w:val="auto"/>
                <w:sz w:val="22"/>
                <w:highlight w:val="none"/>
              </w:rPr>
              <w:t>@qq.com，</w:t>
            </w:r>
            <w:r>
              <w:rPr>
                <w:rFonts w:hint="eastAsia" w:ascii="宋体" w:hAnsi="宋体" w:eastAsia="宋体" w:cs="宋体"/>
                <w:b/>
                <w:bCs/>
                <w:color w:val="auto"/>
                <w:sz w:val="22"/>
                <w:highlight w:val="none"/>
                <w:lang w:val="zh-CN"/>
              </w:rPr>
              <w:t>递交</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val="zh-CN"/>
              </w:rPr>
              <w:t>份</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传送的备份投标文件需打包压缩并加密</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加密密码由投标人自行保管</w:t>
            </w:r>
            <w:r>
              <w:rPr>
                <w:rFonts w:hint="eastAsia" w:ascii="宋体" w:hAnsi="宋体" w:eastAsia="宋体" w:cs="宋体"/>
                <w:b/>
                <w:bCs/>
                <w:color w:val="auto"/>
                <w:sz w:val="22"/>
                <w:highlight w:val="none"/>
              </w:rPr>
              <w:t>，未加密导致投标信息泄露的风险由投标人自行承担</w:t>
            </w:r>
            <w:r>
              <w:rPr>
                <w:rStyle w:val="34"/>
                <w:rFonts w:hint="eastAsia" w:ascii="宋体" w:hAnsi="宋体" w:eastAsia="宋体" w:cs="宋体"/>
                <w:bCs/>
                <w:color w:val="auto"/>
                <w:sz w:val="22"/>
                <w:highlight w:val="none"/>
              </w:rPr>
              <w:t>。</w:t>
            </w:r>
          </w:p>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投标文件由报价文件、资格文件、商务和技术文件三部分组成。</w:t>
            </w:r>
          </w:p>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17</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本项目原则上采用政采云电子招投标开标及评审程序，</w:t>
            </w:r>
            <w:r>
              <w:rPr>
                <w:rFonts w:hint="eastAsia" w:ascii="宋体" w:hAnsi="宋体" w:eastAsia="宋体" w:cs="宋体"/>
                <w:b/>
                <w:bCs/>
                <w:color w:val="auto"/>
                <w:sz w:val="22"/>
                <w:highlight w:val="none"/>
                <w:lang w:eastAsia="zh-CN"/>
              </w:rPr>
              <w:t>但有以下情形</w:t>
            </w:r>
            <w:r>
              <w:rPr>
                <w:rFonts w:hint="eastAsia" w:ascii="宋体" w:hAnsi="宋体" w:eastAsia="宋体" w:cs="宋体"/>
                <w:b/>
                <w:bCs/>
                <w:color w:val="auto"/>
                <w:sz w:val="22"/>
                <w:highlight w:val="none"/>
              </w:rPr>
              <w:t>之一的，按以下情况处理：</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ind w:firstLine="31"/>
              <w:rPr>
                <w:rFonts w:hint="eastAsia" w:ascii="宋体" w:hAnsi="宋体" w:eastAsia="宋体" w:cs="宋体"/>
                <w:color w:val="auto"/>
                <w:sz w:val="22"/>
                <w:highlight w:val="none"/>
                <w:lang w:val="zh-CN"/>
              </w:rPr>
            </w:pPr>
            <w:r>
              <w:rPr>
                <w:rFonts w:hint="eastAsia" w:ascii="宋体" w:hAnsi="宋体" w:eastAsia="宋体" w:cs="宋体"/>
                <w:color w:val="auto"/>
                <w:kern w:val="0"/>
                <w:sz w:val="22"/>
                <w:highlight w:val="none"/>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20</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项目属性与核心产品</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货物类，单一产品或</w:t>
            </w:r>
            <w:r>
              <w:rPr>
                <w:rFonts w:hint="eastAsia" w:ascii="宋体" w:hAnsi="宋体" w:eastAsia="宋体" w:cs="宋体"/>
                <w:color w:val="auto"/>
                <w:kern w:val="0"/>
                <w:sz w:val="22"/>
                <w:highlight w:val="none"/>
              </w:rPr>
              <w:t>核心产品</w:t>
            </w:r>
            <w:r>
              <w:rPr>
                <w:rFonts w:hint="eastAsia" w:ascii="宋体" w:hAnsi="宋体" w:eastAsia="宋体" w:cs="宋体"/>
                <w:color w:val="auto"/>
                <w:sz w:val="22"/>
                <w:highlight w:val="none"/>
              </w:rPr>
              <w:t>为：</w:t>
            </w:r>
            <w:r>
              <w:rPr>
                <w:rFonts w:hint="eastAsia" w:ascii="宋体" w:hAnsi="宋体" w:eastAsia="宋体" w:cs="宋体"/>
                <w:color w:val="auto"/>
                <w:sz w:val="22"/>
                <w:highlight w:val="none"/>
                <w:u w:val="single"/>
                <w:lang w:val="en-US" w:eastAsia="zh-CN"/>
              </w:rPr>
              <w:t>螺旋CT</w:t>
            </w:r>
            <w:r>
              <w:rPr>
                <w:rFonts w:hint="eastAsia" w:ascii="宋体" w:hAnsi="宋体" w:eastAsia="宋体" w:cs="宋体"/>
                <w:color w:val="auto"/>
                <w:sz w:val="22"/>
                <w:highlight w:val="none"/>
              </w:rPr>
              <w:t>。</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snapToGrid w:val="0"/>
                <w:color w:val="auto"/>
                <w:sz w:val="22"/>
                <w:highlight w:val="none"/>
              </w:rPr>
            </w:pPr>
            <w:r>
              <w:rPr>
                <w:rFonts w:hint="eastAsia" w:ascii="宋体" w:hAnsi="宋体" w:eastAsia="宋体" w:cs="宋体"/>
                <w:snapToGrid w:val="0"/>
                <w:color w:val="auto"/>
                <w:sz w:val="22"/>
                <w:highlight w:val="none"/>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360" w:lineRule="exact"/>
              <w:textAlignment w:val="bottom"/>
              <w:rPr>
                <w:rFonts w:hint="eastAsia" w:ascii="宋体" w:hAnsi="宋体" w:eastAsia="宋体" w:cs="宋体"/>
                <w:b/>
                <w:bCs/>
                <w:snapToGrid w:val="0"/>
                <w:color w:val="auto"/>
                <w:sz w:val="22"/>
                <w:highlight w:val="none"/>
              </w:rPr>
            </w:pPr>
            <w:r>
              <w:rPr>
                <w:rFonts w:hint="eastAsia" w:ascii="宋体" w:hAnsi="宋体" w:eastAsia="宋体" w:cs="宋体"/>
                <w:b/>
                <w:color w:val="auto"/>
                <w:sz w:val="22"/>
                <w:highlight w:val="none"/>
              </w:rPr>
              <w:t>根据《政府采购促进中小企业发展管理办法》财库〔2020〕46号文件的规定，本项目</w:t>
            </w:r>
            <w:r>
              <w:rPr>
                <w:rFonts w:hint="eastAsia" w:ascii="宋体" w:hAnsi="宋体" w:eastAsia="宋体" w:cs="宋体"/>
                <w:b/>
                <w:color w:val="auto"/>
                <w:sz w:val="22"/>
                <w:highlight w:val="none"/>
                <w:u w:val="none"/>
                <w:lang w:val="en-US" w:eastAsia="zh-CN"/>
              </w:rPr>
              <w:t>不</w:t>
            </w:r>
            <w:r>
              <w:rPr>
                <w:rFonts w:hint="eastAsia" w:ascii="宋体" w:hAnsi="宋体" w:eastAsia="宋体" w:cs="宋体"/>
                <w:b/>
                <w:color w:val="auto"/>
                <w:sz w:val="22"/>
                <w:highlight w:val="none"/>
              </w:rPr>
              <w:t>属于预留份额专门面向中小企业采购的项目。</w:t>
            </w:r>
            <w:r>
              <w:rPr>
                <w:rFonts w:hint="eastAsia" w:ascii="宋体" w:hAnsi="宋体" w:eastAsia="宋体" w:cs="宋体"/>
                <w:snapToGrid w:val="0"/>
                <w:color w:val="auto"/>
                <w:sz w:val="22"/>
                <w:highlight w:val="none"/>
              </w:rPr>
              <w:t xml:space="preserve">  </w:t>
            </w:r>
          </w:p>
        </w:tc>
      </w:tr>
      <w:tr>
        <w:tblPrEx>
          <w:tblCellMar>
            <w:top w:w="0" w:type="dxa"/>
            <w:left w:w="108" w:type="dxa"/>
            <w:bottom w:w="0" w:type="dxa"/>
            <w:right w:w="108" w:type="dxa"/>
          </w:tblCellMar>
        </w:tblPrEx>
        <w:trPr>
          <w:trHeight w:val="324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22</w:t>
            </w: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snapToGrid w:val="0"/>
                <w:color w:val="auto"/>
                <w:sz w:val="22"/>
                <w:highlight w:val="none"/>
              </w:rPr>
            </w:pPr>
            <w:r>
              <w:rPr>
                <w:rFonts w:hint="eastAsia" w:ascii="宋体" w:hAnsi="宋体" w:eastAsia="宋体" w:cs="宋体"/>
                <w:color w:val="auto"/>
                <w:sz w:val="22"/>
                <w:highlight w:val="none"/>
              </w:rPr>
              <w:t>采购标的及其对应的中小企业划分标准所属行业</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color w:val="auto"/>
                <w:sz w:val="22"/>
                <w:highlight w:val="none"/>
              </w:rPr>
            </w:pPr>
            <w:r>
              <w:rPr>
                <w:rFonts w:hint="eastAsia" w:ascii="宋体" w:hAnsi="宋体" w:eastAsia="宋体" w:cs="宋体"/>
                <w:snapToGrid w:val="0"/>
                <w:color w:val="auto"/>
                <w:sz w:val="22"/>
                <w:highlight w:val="none"/>
              </w:rPr>
              <w:t>1.采购标的：</w:t>
            </w:r>
            <w:bookmarkStart w:id="3" w:name="OLE_LINK1"/>
            <w:r>
              <w:rPr>
                <w:rFonts w:hint="eastAsia" w:ascii="宋体" w:hAnsi="宋体" w:eastAsia="宋体" w:cs="宋体"/>
                <w:color w:val="auto"/>
                <w:sz w:val="22"/>
                <w:highlight w:val="none"/>
                <w:u w:val="single"/>
                <w:lang w:val="en-US" w:eastAsia="zh-CN"/>
              </w:rPr>
              <w:t xml:space="preserve">螺旋CT、口腔CT </w:t>
            </w:r>
            <w:r>
              <w:rPr>
                <w:rFonts w:hint="eastAsia" w:ascii="宋体" w:hAnsi="宋体" w:eastAsia="宋体" w:cs="宋体"/>
                <w:color w:val="auto"/>
                <w:sz w:val="22"/>
                <w:highlight w:val="none"/>
              </w:rPr>
              <w:t>。</w:t>
            </w:r>
          </w:p>
          <w:bookmarkEnd w:id="3"/>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2.中小企业划分标准所属行业（具体根据《中小企业划型标准规定》执行）</w:t>
            </w:r>
          </w:p>
          <w:p>
            <w:pPr>
              <w:keepNext w:val="0"/>
              <w:keepLines w:val="0"/>
              <w:pageBreakBefore w:val="0"/>
              <w:tabs>
                <w:tab w:val="left" w:pos="851"/>
                <w:tab w:val="center" w:pos="5812"/>
                <w:tab w:val="decimal" w:pos="7229"/>
                <w:tab w:val="decimal" w:pos="8789"/>
              </w:tabs>
              <w:kinsoku/>
              <w:wordWrap/>
              <w:overflowPunct/>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所属行业：</w:t>
            </w:r>
            <w:r>
              <w:rPr>
                <w:rFonts w:hint="eastAsia" w:ascii="宋体" w:hAnsi="宋体" w:eastAsia="宋体" w:cs="宋体"/>
                <w:color w:val="auto"/>
                <w:sz w:val="22"/>
                <w:highlight w:val="none"/>
                <w:lang w:val="en-US" w:eastAsia="zh-CN"/>
              </w:rPr>
              <w:t>工业</w:t>
            </w:r>
            <w:r>
              <w:rPr>
                <w:rFonts w:hint="eastAsia" w:ascii="宋体" w:hAnsi="宋体" w:eastAsia="宋体" w:cs="宋体"/>
                <w:color w:val="auto"/>
                <w:sz w:val="22"/>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23</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napToGrid w:val="0"/>
                <w:color w:val="auto"/>
                <w:sz w:val="22"/>
                <w:highlight w:val="none"/>
              </w:rPr>
            </w:pPr>
            <w:sdt>
              <w:sdtPr>
                <w:rPr>
                  <w:rFonts w:hint="eastAsia" w:ascii="宋体" w:hAnsi="宋体" w:eastAsia="宋体" w:cs="宋体"/>
                  <w:snapToGrid w:val="0"/>
                  <w:color w:val="auto"/>
                  <w:sz w:val="22"/>
                  <w:highlight w:val="none"/>
                </w:rPr>
                <w:id w:val="-1828425707"/>
                <w14:checkbox>
                  <w14:checked w14:val="0"/>
                  <w14:checkedState w14:val="00FE" w14:font="Wingdings"/>
                  <w14:uncheckedState w14:val="2610" w14:font="MS Gothic"/>
                </w14:checkbox>
              </w:sdtPr>
              <w:sdtEndPr>
                <w:rPr>
                  <w:rFonts w:hint="eastAsia" w:ascii="宋体" w:hAnsi="宋体" w:eastAsia="宋体" w:cs="宋体"/>
                  <w:snapToGrid w:val="0"/>
                  <w:color w:val="auto"/>
                  <w:sz w:val="22"/>
                  <w:highlight w:val="none"/>
                </w:rPr>
              </w:sdtEndPr>
              <w:sdtContent>
                <w:r>
                  <w:rPr>
                    <w:rFonts w:hint="eastAsia" w:ascii="宋体" w:hAnsi="宋体" w:eastAsia="宋体" w:cs="宋体"/>
                    <w:snapToGrid w:val="0"/>
                    <w:color w:val="auto"/>
                    <w:kern w:val="2"/>
                    <w:sz w:val="22"/>
                    <w:szCs w:val="22"/>
                    <w:highlight w:val="none"/>
                    <w:lang w:val="en-US" w:eastAsia="zh-CN" w:bidi="ar-SA"/>
                  </w:rPr>
                  <w:t>☐</w:t>
                </w:r>
              </w:sdtContent>
            </w:sdt>
            <w:r>
              <w:rPr>
                <w:rFonts w:hint="eastAsia" w:ascii="宋体" w:hAnsi="宋体" w:eastAsia="宋体" w:cs="宋体"/>
                <w:snapToGrid w:val="0"/>
                <w:color w:val="auto"/>
                <w:sz w:val="22"/>
                <w:highlight w:val="none"/>
              </w:rPr>
              <w:t>本项目不允许采购进口产品。</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napToGrid w:val="0"/>
                <w:color w:val="auto"/>
                <w:sz w:val="22"/>
                <w:highlight w:val="none"/>
              </w:rPr>
            </w:pPr>
            <w:r>
              <w:rPr>
                <w:rFonts w:hint="eastAsia" w:ascii="宋体" w:hAnsi="宋体" w:cs="宋体"/>
                <w:snapToGrid w:val="0"/>
                <w:color w:val="auto"/>
                <w:sz w:val="22"/>
                <w:highlight w:val="none"/>
                <w:lang w:val="en-US" w:eastAsia="zh-CN"/>
              </w:rPr>
              <w:sym w:font="Wingdings 2" w:char="0052"/>
            </w:r>
            <w:r>
              <w:rPr>
                <w:rFonts w:hint="eastAsia" w:ascii="宋体" w:hAnsi="宋体" w:eastAsia="宋体" w:cs="宋体"/>
                <w:snapToGrid w:val="0"/>
                <w:color w:val="auto"/>
                <w:sz w:val="22"/>
                <w:highlight w:val="none"/>
                <w:lang w:val="en-US" w:eastAsia="zh-CN"/>
              </w:rPr>
              <w:t>部分允许进口，</w:t>
            </w:r>
            <w:r>
              <w:rPr>
                <w:rFonts w:hint="eastAsia" w:ascii="宋体" w:hAnsi="宋体" w:eastAsia="宋体" w:cs="宋体"/>
                <w:snapToGrid w:val="0"/>
                <w:color w:val="auto"/>
                <w:sz w:val="22"/>
                <w:highlight w:val="none"/>
              </w:rPr>
              <w:t>可以就</w:t>
            </w:r>
            <w:r>
              <w:rPr>
                <w:rFonts w:hint="eastAsia" w:ascii="宋体" w:hAnsi="宋体" w:eastAsia="宋体" w:cs="宋体"/>
                <w:color w:val="auto"/>
                <w:sz w:val="22"/>
                <w:highlight w:val="none"/>
                <w:u w:val="single"/>
                <w:lang w:val="en-US" w:eastAsia="zh-CN"/>
              </w:rPr>
              <w:t>口腔CT</w:t>
            </w:r>
            <w:r>
              <w:rPr>
                <w:rFonts w:hint="eastAsia" w:ascii="宋体" w:hAnsi="宋体" w:eastAsia="宋体" w:cs="宋体"/>
                <w:snapToGrid w:val="0"/>
                <w:color w:val="auto"/>
                <w:sz w:val="22"/>
                <w:highlight w:val="none"/>
              </w:rPr>
              <w:t>采购进口产品。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snapToGrid w:val="0"/>
                <w:color w:val="auto"/>
                <w:sz w:val="22"/>
                <w:highlight w:val="none"/>
              </w:rPr>
            </w:pPr>
            <w:r>
              <w:rPr>
                <w:rFonts w:hint="eastAsia" w:ascii="宋体" w:hAnsi="宋体" w:eastAsia="宋体" w:cs="宋体"/>
                <w:color w:val="auto"/>
                <w:sz w:val="22"/>
                <w:highlight w:val="none"/>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ind w:firstLine="31"/>
              <w:rPr>
                <w:rFonts w:hint="eastAsia" w:ascii="宋体" w:hAnsi="宋体" w:eastAsia="宋体" w:cs="宋体"/>
                <w:b/>
                <w:bCs/>
                <w:color w:val="auto"/>
                <w:sz w:val="22"/>
                <w:highlight w:val="none"/>
                <w:lang w:val="zh-CN"/>
              </w:rPr>
            </w:pPr>
            <w:r>
              <w:rPr>
                <w:rFonts w:hint="eastAsia" w:ascii="宋体" w:hAnsi="宋体" w:eastAsia="宋体" w:cs="宋体"/>
                <w:color w:val="auto"/>
                <w:sz w:val="22"/>
                <w:highlight w:val="none"/>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中标人须在中标通知书发出之日起30日历天内与采购人签订合同。</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27</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其他</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公开招标公告属于本招标文件的一部分</w:t>
            </w:r>
          </w:p>
          <w:p>
            <w:pPr>
              <w:keepNext w:val="0"/>
              <w:keepLines w:val="0"/>
              <w:pageBreakBefore w:val="0"/>
              <w:numPr>
                <w:ilvl w:val="0"/>
                <w:numId w:val="3"/>
              </w:numPr>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电子评标注意事项：</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2.1投标人必须先在政府采购云平台进行登记注册，相关事宜请参照（《供应商网上注册操作指南》“浙江政府采购网首页-办事指南-注册-供应商注册申请”），登录政府采购云平台后台依法进行网上自主下载。</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2.2本项目实行电子投标，应按照本项目招标文件和政采云平台的要求编制、加密并递交投标文件。投标人在使用系统进行投标的过程中遇到涉及平台使用的任何问题，可致电政采云平台技术支持热线咨询，联系方式：</w:t>
            </w:r>
            <w:r>
              <w:rPr>
                <w:rFonts w:hint="eastAsia" w:ascii="宋体" w:hAnsi="宋体" w:eastAsia="宋体" w:cs="宋体"/>
                <w:color w:val="auto"/>
                <w:sz w:val="22"/>
                <w:highlight w:val="none"/>
                <w:lang w:eastAsia="zh-CN"/>
              </w:rPr>
              <w:t>95763</w:t>
            </w:r>
            <w:r>
              <w:rPr>
                <w:rFonts w:hint="eastAsia" w:ascii="宋体" w:hAnsi="宋体" w:eastAsia="宋体" w:cs="宋体"/>
                <w:color w:val="auto"/>
                <w:sz w:val="22"/>
                <w:highlight w:val="none"/>
              </w:rPr>
              <w:t>。</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w:t>
            </w:r>
            <w:r>
              <w:rPr>
                <w:rFonts w:hint="eastAsia" w:ascii="宋体" w:hAnsi="宋体" w:eastAsia="宋体" w:cs="宋体"/>
                <w:color w:val="auto"/>
                <w:sz w:val="22"/>
                <w:highlight w:val="none"/>
                <w:lang w:val="en-US" w:eastAsia="zh-CN"/>
              </w:rPr>
              <w:t>在浙江政府采购网下载专区查看</w:t>
            </w:r>
            <w:r>
              <w:rPr>
                <w:rFonts w:hint="eastAsia" w:ascii="宋体" w:hAnsi="宋体" w:eastAsia="宋体" w:cs="宋体"/>
                <w:color w:val="auto"/>
                <w:sz w:val="22"/>
                <w:highlight w:val="none"/>
              </w:rPr>
              <w:t>。</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2.4投标人通过政采云平台电子投标工具制作投标文件，电子投标工具请投标人自行前往浙江省政府采购网下载并安装，（电子交易客户端</w:t>
            </w:r>
            <w:r>
              <w:rPr>
                <w:rFonts w:hint="eastAsia" w:ascii="宋体" w:hAnsi="宋体" w:eastAsia="宋体" w:cs="宋体"/>
                <w:color w:val="auto"/>
                <w:sz w:val="22"/>
                <w:highlight w:val="none"/>
                <w:lang w:val="en-US" w:eastAsia="zh-CN"/>
              </w:rPr>
              <w:t>在浙江政府采购网下载专区查看</w:t>
            </w:r>
            <w:r>
              <w:rPr>
                <w:rFonts w:hint="eastAsia" w:ascii="宋体" w:hAnsi="宋体" w:eastAsia="宋体" w:cs="宋体"/>
                <w:color w:val="auto"/>
                <w:sz w:val="22"/>
                <w:highlight w:val="none"/>
              </w:rPr>
              <w:t>。</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2.5投标人可通过浙江省“电子交易/不见面开评标”学习专题提前进行专题学习，熟悉操作，避免影响采购活动（https://edu.zcygov.cn/luban/e-biding）。</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3.请务必确保投标文件制作客户端为最新版本，旧版本可能导致投标文件解密失败。</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4.请务必确保投标文件制作时所用的 CA 锁与投标文件解密时的 CA 锁为同一把，否则可能导致投标文件解密失败。</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5.在投标文件解密前，请务必检验 CA 锁与所用电脑的兼容性，部分电脑因 CA 驱动未正常安装、USB 接口兼容性差等原因可能造成投标文件解密失败。</w:t>
            </w:r>
          </w:p>
          <w:p>
            <w:pPr>
              <w:keepNext w:val="0"/>
              <w:keepLines w:val="0"/>
              <w:pageBreakBefore w:val="0"/>
              <w:kinsoku/>
              <w:wordWrap/>
              <w:overflowPunct/>
              <w:topLinePunct w:val="0"/>
              <w:bidi w:val="0"/>
              <w:spacing w:line="360" w:lineRule="exact"/>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6.</w:t>
            </w:r>
            <w:r>
              <w:rPr>
                <w:rFonts w:hint="eastAsia" w:ascii="宋体" w:hAnsi="宋体" w:eastAsia="宋体" w:cs="宋体"/>
                <w:b/>
                <w:color w:val="auto"/>
                <w:sz w:val="22"/>
                <w:highlight w:val="none"/>
              </w:rPr>
              <w:t>投标人未按招标文件规定及提醒操作的，引起的一切后果由投标人自行负责。</w:t>
            </w:r>
          </w:p>
          <w:p>
            <w:pPr>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b/>
                <w:color w:val="auto"/>
                <w:sz w:val="22"/>
                <w:highlight w:val="none"/>
              </w:rPr>
              <w:t>7.投标截止时间同</w:t>
            </w:r>
            <w:r>
              <w:rPr>
                <w:rStyle w:val="34"/>
                <w:rFonts w:hint="eastAsia" w:ascii="宋体" w:hAnsi="宋体" w:eastAsia="宋体" w:cs="宋体"/>
                <w:color w:val="auto"/>
                <w:sz w:val="22"/>
                <w:highlight w:val="none"/>
              </w:rPr>
              <w:t>提交投标文件截止时间。</w:t>
            </w:r>
          </w:p>
        </w:tc>
      </w:tr>
    </w:tbl>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00" w:lineRule="exact"/>
        <w:jc w:val="center"/>
        <w:outlineLvl w:val="1"/>
        <w:rPr>
          <w:rFonts w:hint="eastAsia" w:ascii="宋体" w:hAnsi="宋体" w:eastAsia="宋体" w:cs="宋体"/>
          <w:b/>
          <w:color w:val="auto"/>
          <w:sz w:val="28"/>
          <w:szCs w:val="28"/>
          <w:highlight w:val="none"/>
        </w:rPr>
      </w:pPr>
      <w:bookmarkStart w:id="4" w:name="_Toc32069"/>
      <w:r>
        <w:rPr>
          <w:rFonts w:hint="eastAsia" w:ascii="宋体" w:hAnsi="宋体" w:eastAsia="宋体" w:cs="宋体"/>
          <w:b/>
          <w:color w:val="auto"/>
          <w:sz w:val="28"/>
          <w:szCs w:val="28"/>
          <w:highlight w:val="none"/>
        </w:rPr>
        <w:t>一、说明</w:t>
      </w:r>
      <w:bookmarkEnd w:id="4"/>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2.定义</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2.1“采购人”系指</w:t>
      </w:r>
      <w:r>
        <w:rPr>
          <w:rFonts w:hint="eastAsia" w:ascii="宋体" w:hAnsi="宋体" w:eastAsia="宋体" w:cs="宋体"/>
          <w:color w:val="auto"/>
          <w:sz w:val="22"/>
          <w:highlight w:val="none"/>
          <w:lang w:eastAsia="zh-CN"/>
        </w:rPr>
        <w:t>文成县卫生健康局</w:t>
      </w:r>
      <w:r>
        <w:rPr>
          <w:rFonts w:hint="eastAsia" w:ascii="宋体" w:hAnsi="宋体" w:eastAsia="宋体" w:cs="宋体"/>
          <w:color w:val="auto"/>
          <w:sz w:val="22"/>
          <w:highlight w:val="none"/>
        </w:rPr>
        <w:t>；</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2.2“采购代理机构”系指组织本次招标的浙江乐诚工程咨询有限公司；</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2.3“投标人”系指响应招标、参加投标竞争的法人、其他组织或者自然人；</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2.4“书面形式”包括合同书、信件和数据电文(包括电报、电传、传真、电子数据交换和电子邮件)等可以有形地表现所载内容的形式。</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5" w:name="_Hlk96327615"/>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2.6“电子签章”系指数据电文中以电子形式所含、所附用于识别签名人身份并表明签名人认可其中内容的数据；“公章”系指单位法定名称章。</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2.7招标文件对投标文件签署、盖章的要求适用于电子签章。</w:t>
      </w:r>
      <w:bookmarkEnd w:id="5"/>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2.8“▲且加下划线”系指实质性要求条款，投标人应当做出实质性响应。</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sz w:val="22"/>
          <w:highlight w:val="none"/>
        </w:rPr>
        <w:t>投标人代表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4.投标费用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4.2</w:t>
      </w:r>
      <w:r>
        <w:rPr>
          <w:rFonts w:hint="eastAsia" w:ascii="宋体" w:hAnsi="宋体" w:eastAsia="宋体" w:cs="宋体"/>
          <w:color w:val="auto"/>
          <w:spacing w:val="-6"/>
          <w:sz w:val="22"/>
          <w:highlight w:val="none"/>
        </w:rPr>
        <w:t>采购代理服务费：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u w:val="single"/>
        </w:rPr>
        <w:t>▲</w:t>
      </w:r>
      <w:r>
        <w:rPr>
          <w:rFonts w:hint="eastAsia" w:ascii="宋体" w:hAnsi="宋体" w:eastAsia="宋体" w:cs="宋体"/>
          <w:bCs/>
          <w:color w:val="auto"/>
          <w:sz w:val="22"/>
          <w:szCs w:val="22"/>
          <w:highlight w:val="none"/>
          <w:u w:val="single"/>
        </w:rPr>
        <w:t>采购代理服务费系根据国家计委印发的《招标代理服务收费管理暂行办法》计价格【2002】1980号文（货物类）的规定按标准收取</w:t>
      </w:r>
      <w:r>
        <w:rPr>
          <w:rFonts w:hint="eastAsia" w:ascii="宋体" w:hAnsi="宋体" w:eastAsia="宋体" w:cs="宋体"/>
          <w:caps/>
          <w:color w:val="auto"/>
          <w:sz w:val="22"/>
          <w:szCs w:val="22"/>
          <w:highlight w:val="none"/>
          <w:u w:val="single"/>
        </w:rPr>
        <w:t>，不足</w:t>
      </w:r>
      <w:r>
        <w:rPr>
          <w:rFonts w:hint="eastAsia" w:ascii="宋体" w:hAnsi="宋体" w:eastAsia="宋体" w:cs="宋体"/>
          <w:caps/>
          <w:color w:val="auto"/>
          <w:sz w:val="22"/>
          <w:szCs w:val="22"/>
          <w:highlight w:val="none"/>
          <w:u w:val="single"/>
          <w:lang w:val="en-US" w:eastAsia="zh-CN"/>
        </w:rPr>
        <w:t>5</w:t>
      </w:r>
      <w:r>
        <w:rPr>
          <w:rFonts w:hint="eastAsia" w:ascii="宋体" w:hAnsi="宋体" w:eastAsia="宋体" w:cs="宋体"/>
          <w:caps/>
          <w:color w:val="auto"/>
          <w:sz w:val="22"/>
          <w:szCs w:val="22"/>
          <w:highlight w:val="none"/>
          <w:u w:val="single"/>
        </w:rPr>
        <w:t>000元的按</w:t>
      </w:r>
      <w:r>
        <w:rPr>
          <w:rFonts w:hint="eastAsia" w:ascii="宋体" w:hAnsi="宋体" w:eastAsia="宋体" w:cs="宋体"/>
          <w:caps/>
          <w:color w:val="auto"/>
          <w:sz w:val="22"/>
          <w:szCs w:val="22"/>
          <w:highlight w:val="none"/>
          <w:u w:val="single"/>
          <w:lang w:val="en-US" w:eastAsia="zh-CN"/>
        </w:rPr>
        <w:t>5</w:t>
      </w:r>
      <w:r>
        <w:rPr>
          <w:rFonts w:hint="eastAsia" w:ascii="宋体" w:hAnsi="宋体" w:eastAsia="宋体" w:cs="宋体"/>
          <w:caps/>
          <w:color w:val="auto"/>
          <w:sz w:val="22"/>
          <w:szCs w:val="22"/>
          <w:highlight w:val="none"/>
          <w:u w:val="single"/>
        </w:rPr>
        <w:t>000元收取。</w:t>
      </w:r>
      <w:r>
        <w:rPr>
          <w:rFonts w:hint="eastAsia" w:ascii="宋体" w:hAnsi="宋体" w:eastAsia="宋体" w:cs="宋体"/>
          <w:color w:val="auto"/>
          <w:sz w:val="22"/>
          <w:szCs w:val="22"/>
          <w:highlight w:val="none"/>
          <w:u w:val="single"/>
        </w:rPr>
        <w:t>由</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在领取</w:t>
      </w:r>
      <w:r>
        <w:rPr>
          <w:rFonts w:hint="eastAsia" w:ascii="宋体" w:hAnsi="宋体" w:eastAsia="宋体" w:cs="宋体"/>
          <w:color w:val="auto"/>
          <w:sz w:val="22"/>
          <w:szCs w:val="22"/>
          <w:highlight w:val="none"/>
          <w:u w:val="single"/>
          <w:lang w:eastAsia="zh-CN"/>
        </w:rPr>
        <w:t>中标</w:t>
      </w:r>
      <w:r>
        <w:rPr>
          <w:rFonts w:hint="eastAsia" w:ascii="宋体" w:hAnsi="宋体" w:eastAsia="宋体" w:cs="宋体"/>
          <w:color w:val="auto"/>
          <w:sz w:val="22"/>
          <w:szCs w:val="22"/>
          <w:highlight w:val="none"/>
          <w:u w:val="single"/>
        </w:rPr>
        <w:t>通知书时支付</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536" w:leftChars="208" w:hanging="99" w:hangingChars="45"/>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采购代理服务费可以是现金、支票或汇票。</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采购代理服务费汇入账户：</w:t>
      </w:r>
    </w:p>
    <w:p>
      <w:pPr>
        <w:keepNext w:val="0"/>
        <w:keepLines w:val="0"/>
        <w:pageBreakBefore w:val="0"/>
        <w:widowControl w:val="0"/>
        <w:kinsoku/>
        <w:wordWrap/>
        <w:overflowPunct/>
        <w:topLinePunct w:val="0"/>
        <w:autoSpaceDE/>
        <w:autoSpaceDN/>
        <w:bidi w:val="0"/>
        <w:adjustRightInd/>
        <w:snapToGrid/>
        <w:spacing w:line="360" w:lineRule="exact"/>
        <w:ind w:firstLine="880" w:firstLineChars="4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户  名：浙江乐诚工程咨询有限公司</w:t>
      </w:r>
    </w:p>
    <w:p>
      <w:pPr>
        <w:keepNext w:val="0"/>
        <w:keepLines w:val="0"/>
        <w:pageBreakBefore w:val="0"/>
        <w:widowControl w:val="0"/>
        <w:kinsoku/>
        <w:wordWrap/>
        <w:overflowPunct/>
        <w:topLinePunct w:val="0"/>
        <w:autoSpaceDE/>
        <w:autoSpaceDN/>
        <w:bidi w:val="0"/>
        <w:adjustRightInd/>
        <w:snapToGrid/>
        <w:spacing w:line="360" w:lineRule="exact"/>
        <w:ind w:firstLine="880" w:firstLineChars="4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账  号：33050161982700000693</w:t>
      </w:r>
    </w:p>
    <w:p>
      <w:pPr>
        <w:keepNext w:val="0"/>
        <w:keepLines w:val="0"/>
        <w:pageBreakBefore w:val="0"/>
        <w:widowControl w:val="0"/>
        <w:kinsoku/>
        <w:wordWrap/>
        <w:overflowPunct/>
        <w:topLinePunct w:val="0"/>
        <w:autoSpaceDE/>
        <w:autoSpaceDN/>
        <w:bidi w:val="0"/>
        <w:adjustRightInd/>
        <w:snapToGrid/>
        <w:spacing w:line="360" w:lineRule="exact"/>
        <w:ind w:firstLine="880" w:firstLineChars="4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开户行：建设银行杭州之江支行</w:t>
      </w:r>
    </w:p>
    <w:p>
      <w:pPr>
        <w:keepNext w:val="0"/>
        <w:keepLines w:val="0"/>
        <w:pageBreakBefore w:val="0"/>
        <w:widowControl w:val="0"/>
        <w:kinsoku/>
        <w:wordWrap/>
        <w:overflowPunct/>
        <w:topLinePunct w:val="0"/>
        <w:autoSpaceDE/>
        <w:autoSpaceDN/>
        <w:bidi w:val="0"/>
        <w:adjustRightInd/>
        <w:snapToGrid/>
        <w:spacing w:line="360" w:lineRule="exact"/>
        <w:ind w:left="536" w:leftChars="208" w:hanging="99" w:hangingChars="45"/>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关于采购代理服务费的详细事宜请咨询采购代理机构</w:t>
      </w:r>
      <w:r>
        <w:rPr>
          <w:rFonts w:hint="eastAsia" w:ascii="宋体" w:hAnsi="宋体" w:eastAsia="宋体" w:cs="宋体"/>
          <w:color w:val="auto"/>
          <w:sz w:val="22"/>
          <w:highlight w:val="none"/>
          <w:lang w:val="en-US" w:eastAsia="zh-CN"/>
        </w:rPr>
        <w:t>王</w:t>
      </w:r>
      <w:r>
        <w:rPr>
          <w:rFonts w:hint="eastAsia" w:ascii="宋体" w:hAnsi="宋体" w:eastAsia="宋体" w:cs="宋体"/>
          <w:color w:val="auto"/>
          <w:sz w:val="22"/>
          <w:highlight w:val="none"/>
          <w:lang w:eastAsia="zh-CN"/>
        </w:rPr>
        <w:t>女士</w:t>
      </w:r>
      <w:r>
        <w:rPr>
          <w:rFonts w:hint="eastAsia" w:ascii="宋体" w:hAnsi="宋体" w:eastAsia="宋体" w:cs="宋体"/>
          <w:color w:val="auto"/>
          <w:sz w:val="22"/>
          <w:highlight w:val="none"/>
        </w:rPr>
        <w:t>（0577-</w:t>
      </w:r>
      <w:r>
        <w:rPr>
          <w:rFonts w:hint="eastAsia" w:ascii="宋体" w:hAnsi="宋体" w:eastAsia="宋体" w:cs="宋体"/>
          <w:color w:val="auto"/>
          <w:sz w:val="22"/>
          <w:highlight w:val="none"/>
          <w:lang w:val="en-US" w:eastAsia="zh-CN"/>
        </w:rPr>
        <w:t>86077700</w:t>
      </w:r>
      <w:r>
        <w:rPr>
          <w:rFonts w:hint="eastAsia" w:ascii="宋体" w:hAnsi="宋体" w:eastAsia="宋体" w:cs="宋体"/>
          <w:color w:val="auto"/>
          <w:sz w:val="2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536" w:leftChars="208" w:hanging="99" w:hangingChars="45"/>
        <w:textAlignment w:val="auto"/>
        <w:rPr>
          <w:rFonts w:hint="eastAsia" w:ascii="宋体" w:hAnsi="宋体" w:eastAsia="宋体" w:cs="宋体"/>
          <w:caps/>
          <w:color w:val="auto"/>
          <w:sz w:val="22"/>
          <w:highlight w:val="none"/>
        </w:rPr>
      </w:pPr>
      <w:bookmarkStart w:id="6" w:name="_Toc403719949"/>
      <w:r>
        <w:rPr>
          <w:rFonts w:hint="eastAsia" w:ascii="宋体" w:hAnsi="宋体" w:eastAsia="宋体" w:cs="宋体"/>
          <w:caps/>
          <w:color w:val="auto"/>
          <w:sz w:val="22"/>
          <w:highlight w:val="none"/>
        </w:rPr>
        <w:t>招标代理服务收费标准</w:t>
      </w:r>
      <w:bookmarkEnd w:id="6"/>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caps/>
          <w:color w:val="auto"/>
          <w:sz w:val="22"/>
          <w:szCs w:val="22"/>
          <w:highlight w:val="none"/>
        </w:rPr>
      </w:pPr>
      <w:bookmarkStart w:id="7" w:name="_Hlk6312070"/>
      <w:r>
        <w:rPr>
          <w:rFonts w:hint="eastAsia" w:ascii="宋体" w:hAnsi="宋体" w:eastAsia="宋体" w:cs="宋体"/>
          <w:b/>
          <w:bCs/>
          <w:caps/>
          <w:color w:val="auto"/>
          <w:sz w:val="22"/>
          <w:szCs w:val="22"/>
          <w:highlight w:val="none"/>
        </w:rPr>
        <w:t>招标代理服务收费标准</w:t>
      </w:r>
    </w:p>
    <w:tbl>
      <w:tblPr>
        <w:tblStyle w:val="31"/>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highlight w:val="none"/>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29210</wp:posOffset>
                      </wp:positionV>
                      <wp:extent cx="1511300" cy="1073150"/>
                      <wp:effectExtent l="1905" t="3175" r="10795" b="9525"/>
                      <wp:wrapNone/>
                      <wp:docPr id="2" name="组合 2"/>
                      <wp:cNvGraphicFramePr/>
                      <a:graphic xmlns:a="http://schemas.openxmlformats.org/drawingml/2006/main">
                        <a:graphicData uri="http://schemas.microsoft.com/office/word/2010/wordprocessingGroup">
                          <wpg:wgp>
                            <wpg:cNvGrpSpPr/>
                            <wpg:grpSpPr>
                              <a:xfrm>
                                <a:off x="0" y="0"/>
                                <a:ext cx="1511300" cy="1073150"/>
                                <a:chOff x="0" y="0"/>
                                <a:chExt cx="2415" cy="1299"/>
                              </a:xfrm>
                              <a:effectLst/>
                            </wpg:grpSpPr>
                            <wps:wsp>
                              <wps:cNvPr id="3" name="Line 3"/>
                              <wps:cNvCnPr>
                                <a:cxnSpLocks noChangeShapeType="1"/>
                              </wps:cNvCnPr>
                              <wps:spPr bwMode="auto">
                                <a:xfrm>
                                  <a:off x="0" y="363"/>
                                  <a:ext cx="2415" cy="936"/>
                                </a:xfrm>
                                <a:prstGeom prst="line">
                                  <a:avLst/>
                                </a:prstGeom>
                                <a:noFill/>
                                <a:ln w="9525">
                                  <a:solidFill>
                                    <a:srgbClr val="000000"/>
                                  </a:solidFill>
                                  <a:round/>
                                </a:ln>
                                <a:effectLst/>
                              </wps:spPr>
                              <wps:bodyPr/>
                            </wps:wsp>
                            <wps:wsp>
                              <wps:cNvPr id="4" name="Line 4"/>
                              <wps:cNvCnPr>
                                <a:cxnSpLocks noChangeShapeType="1"/>
                              </wps:cNvCnPr>
                              <wps:spPr bwMode="auto">
                                <a:xfrm>
                                  <a:off x="945" y="0"/>
                                  <a:ext cx="1470" cy="1299"/>
                                </a:xfrm>
                                <a:prstGeom prst="line">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0pt;margin-top:2.3pt;height:84.5pt;width:119pt;z-index:251665408;mso-width-relative:page;mso-height-relative:page;" coordsize="2415,1299" o:gfxdata="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wnOnWAAAABgEAAA8AAAAAAAAAAQAgAAAAIgAAAGRycy9kb3ducmV2LnhtbFBLAQIU&#10;ABQAAAAIAIdO4kBBYE3SZwIAALgGAAAOAAAAAAAAAAEAIAAAACUBAABkcnMvZTJvRG9jLnhtbFBL&#10;BQYAAAAABgAGAFkBAAD+BQAAAAA=&#10;">
                      <o:lock v:ext="edit" aspectratio="f"/>
                      <v:line id="Line 3" o:spid="_x0000_s1026" o:spt="20" style="position:absolute;left:0;top:363;height:936;width:2415;"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 o:spid="_x0000_s1026" o:spt="20" style="position:absolute;left:945;top:0;height:1299;width:147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宋体" w:hAnsi="宋体" w:eastAsia="宋体" w:cs="宋体"/>
                <w:caps/>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29210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2.3pt;height:0pt;width:0.05pt;z-index:251664384;mso-width-relative:page;mso-height-relative:page;" filled="f" stroked="t" coordsize="21600,21600" o:gfxdata="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0Aw411QAAAAcB&#10;AAAPAAAAAAAAAAEAIAAAACIAAABkcnMvZG93bnJldi54bWxQSwECFAAUAAAACACHTuJAoXJBN+UB&#10;AAC0AwAADgAAAAAAAAABACAAAAAk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caps/>
                <w:color w:val="auto"/>
                <w:sz w:val="22"/>
                <w:szCs w:val="22"/>
                <w:highlight w:val="none"/>
              </w:rPr>
              <w:t xml:space="preserve">         服务类型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ind w:firstLine="1011" w:firstLineChars="460"/>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费率</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中标金额（万元）</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货物招标</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服务招标</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100以下</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100-500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500-1000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0.45%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1000-5000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0.25%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5000-10000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0.25%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10000-100000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1000000以上</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0.01%</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aps/>
          <w:color w:val="auto"/>
          <w:sz w:val="22"/>
          <w:szCs w:val="22"/>
          <w:highlight w:val="none"/>
        </w:rPr>
      </w:pPr>
      <w:r>
        <w:rPr>
          <w:rFonts w:hint="eastAsia" w:ascii="宋体" w:hAnsi="宋体" w:eastAsia="宋体" w:cs="宋体"/>
          <w:b/>
          <w:caps/>
          <w:color w:val="auto"/>
          <w:sz w:val="22"/>
          <w:szCs w:val="22"/>
          <w:highlight w:val="none"/>
        </w:rPr>
        <w:t>注：本次招标为货物招标，招标代理服务收费按货物类的差额定率累进法计算。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例：某货物招标代理业务中标金额为300万元，计算招标代理服务收费额如下：</w:t>
      </w:r>
    </w:p>
    <w:p>
      <w:pPr>
        <w:keepNext w:val="0"/>
        <w:keepLines w:val="0"/>
        <w:pageBreakBefore w:val="0"/>
        <w:widowControl w:val="0"/>
        <w:kinsoku/>
        <w:wordWrap/>
        <w:overflowPunct/>
        <w:topLinePunct w:val="0"/>
        <w:autoSpaceDE/>
        <w:autoSpaceDN/>
        <w:bidi w:val="0"/>
        <w:adjustRightInd/>
        <w:snapToGrid/>
        <w:spacing w:line="360" w:lineRule="exact"/>
        <w:ind w:firstLine="110" w:firstLineChars="50"/>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100万元×1.5%＝1.5万元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（300－100）万元×1.1%＝2.2万元</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b/>
          <w:bCs/>
          <w:color w:val="auto"/>
          <w:sz w:val="22"/>
          <w:highlight w:val="none"/>
        </w:rPr>
      </w:pPr>
      <w:r>
        <w:rPr>
          <w:rFonts w:hint="eastAsia" w:ascii="宋体" w:hAnsi="宋体" w:eastAsia="宋体" w:cs="宋体"/>
          <w:caps/>
          <w:color w:val="auto"/>
          <w:sz w:val="22"/>
          <w:szCs w:val="22"/>
          <w:highlight w:val="none"/>
        </w:rPr>
        <w:t>合计收费=1.5+2.2＝</w:t>
      </w:r>
      <w:r>
        <w:rPr>
          <w:rFonts w:hint="eastAsia" w:ascii="宋体" w:hAnsi="宋体" w:eastAsia="宋体" w:cs="宋体"/>
          <w:caps/>
          <w:color w:val="auto"/>
          <w:sz w:val="22"/>
          <w:szCs w:val="22"/>
          <w:highlight w:val="none"/>
          <w:lang w:val="en-US" w:eastAsia="zh-CN"/>
        </w:rPr>
        <w:t>3.7</w:t>
      </w:r>
      <w:r>
        <w:rPr>
          <w:rFonts w:hint="eastAsia" w:ascii="宋体" w:hAnsi="宋体" w:eastAsia="宋体" w:cs="宋体"/>
          <w:caps/>
          <w:color w:val="auto"/>
          <w:sz w:val="22"/>
          <w:szCs w:val="22"/>
          <w:highlight w:val="none"/>
        </w:rPr>
        <w:t>（万元）</w:t>
      </w:r>
      <w:bookmarkEnd w:id="7"/>
    </w:p>
    <w:p>
      <w:pPr>
        <w:tabs>
          <w:tab w:val="left" w:pos="360"/>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5.信用记录：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5.1.</w:t>
      </w:r>
      <w:r>
        <w:rPr>
          <w:rFonts w:hint="eastAsia" w:ascii="宋体" w:hAnsi="宋体" w:eastAsia="宋体" w:cs="宋体"/>
          <w:b/>
          <w:bCs/>
          <w:snapToGrid w:val="0"/>
          <w:color w:val="auto"/>
          <w:sz w:val="22"/>
          <w:highlight w:val="none"/>
        </w:rPr>
        <w:t>信用信息查询的截止时点为从本项目投标截止日往前追溯三年。</w:t>
      </w:r>
    </w:p>
    <w:p>
      <w:pPr>
        <w:tabs>
          <w:tab w:val="left" w:pos="360"/>
        </w:tabs>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5.2.查询渠道：“信用中国（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https://www.creditchina.gov.cn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http://www.ccgp.gov.cn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w:t>
      </w:r>
      <w:r>
        <w:rPr>
          <w:rFonts w:hint="eastAsia" w:ascii="宋体" w:hAnsi="宋体" w:eastAsia="宋体" w:cs="宋体"/>
          <w:color w:val="auto"/>
          <w:sz w:val="22"/>
          <w:highlight w:val="none"/>
        </w:rPr>
        <w:t>。</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5.3.信用信息查询记录和证据留存具体方式：采购代理机构经办人或监督人员将查询网页打印与其他招标文件一并保存。</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5.4.信用信息的使用规则：投标人存在不良信用记录的，其投标将被作为投标无效被拒绝。</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不良信用记录指：被列入失信被执行人、重大税收违法案件当事人名单、政府采购严重违法失信行为记录名单。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6.特别说明：</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6.1投标人应仔细阅读招标文件的所有内容，按照招标文件的要求提交投标文件，并对所提供的全部资料的真实性承担法律责任。</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7.采购项目需要落实的政府采购政策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 支持绿色发展</w:t>
      </w:r>
    </w:p>
    <w:p>
      <w:pPr>
        <w:snapToGrid w:val="0"/>
        <w:spacing w:line="360" w:lineRule="exact"/>
        <w:ind w:firstLine="442" w:firstLineChars="201"/>
        <w:rPr>
          <w:rFonts w:hint="eastAsia" w:ascii="宋体" w:hAnsi="宋体" w:eastAsia="宋体" w:cs="宋体"/>
          <w:b/>
          <w:color w:val="auto"/>
          <w:sz w:val="22"/>
          <w:highlight w:val="none"/>
        </w:rPr>
      </w:pPr>
      <w:r>
        <w:rPr>
          <w:rFonts w:hint="eastAsia" w:ascii="宋体" w:hAnsi="宋体" w:eastAsia="宋体" w:cs="宋体"/>
          <w:color w:val="auto"/>
          <w:sz w:val="22"/>
          <w:highlight w:val="none"/>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bCs/>
          <w:color w:val="auto"/>
          <w:sz w:val="22"/>
          <w:highlight w:val="none"/>
          <w:u w:val="single"/>
        </w:rPr>
        <w:t>▲采购人拟采购的产品属于政府强制采购的节能产品品目清单范围的，投标人相应的投标产品未获得国家确定的认证机构出具的、处于有效期之内的节能产品认证证书的，投标无效。</w:t>
      </w:r>
    </w:p>
    <w:p>
      <w:pPr>
        <w:spacing w:line="360" w:lineRule="exact"/>
        <w:ind w:firstLine="3"/>
        <w:rPr>
          <w:rFonts w:hint="eastAsia" w:ascii="宋体" w:hAnsi="宋体" w:eastAsia="宋体" w:cs="宋体"/>
          <w:color w:val="auto"/>
          <w:spacing w:val="15"/>
          <w:sz w:val="22"/>
          <w:highlight w:val="none"/>
        </w:rPr>
      </w:pPr>
      <w:r>
        <w:rPr>
          <w:rFonts w:hint="eastAsia" w:ascii="宋体" w:hAnsi="宋体" w:eastAsia="宋体" w:cs="宋体"/>
          <w:b/>
          <w:bCs/>
          <w:color w:val="auto"/>
          <w:sz w:val="22"/>
          <w:highlight w:val="none"/>
        </w:rPr>
        <w:t>政府强制采购的节能产品清单如下：</w:t>
      </w:r>
    </w:p>
    <w:tbl>
      <w:tblPr>
        <w:tblStyle w:val="91"/>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2149"/>
        <w:gridCol w:w="1602"/>
        <w:gridCol w:w="40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品目 序号</w:t>
            </w:r>
          </w:p>
        </w:tc>
        <w:tc>
          <w:tcPr>
            <w:tcW w:w="4917" w:type="dxa"/>
            <w:gridSpan w:val="3"/>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名称</w:t>
            </w:r>
          </w:p>
        </w:tc>
        <w:tc>
          <w:tcPr>
            <w:tcW w:w="4079" w:type="dxa"/>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1166" w:type="dxa"/>
            <w:vMerge w:val="restart"/>
            <w:tcBorders>
              <w:tl2br w:val="nil"/>
              <w:tr2bl w:val="nil"/>
            </w:tcBorders>
            <w:vAlign w:val="center"/>
          </w:tcPr>
          <w:p>
            <w:pPr>
              <w:spacing w:line="360" w:lineRule="exact"/>
              <w:ind w:hanging="5"/>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101 计算 </w:t>
            </w:r>
            <w:r>
              <w:rPr>
                <w:rFonts w:hint="eastAsia" w:ascii="宋体" w:hAnsi="宋体" w:eastAsia="宋体" w:cs="宋体"/>
                <w:color w:val="auto"/>
                <w:spacing w:val="7"/>
                <w:sz w:val="22"/>
                <w:highlight w:val="none"/>
              </w:rPr>
              <w:t>机设</w:t>
            </w:r>
            <w:r>
              <w:rPr>
                <w:rFonts w:hint="eastAsia" w:ascii="宋体" w:hAnsi="宋体" w:eastAsia="宋体" w:cs="宋体"/>
                <w:color w:val="auto"/>
                <w:spacing w:val="6"/>
                <w:sz w:val="22"/>
                <w:highlight w:val="none"/>
              </w:rPr>
              <w:t>备</w:t>
            </w:r>
          </w:p>
        </w:tc>
        <w:tc>
          <w:tcPr>
            <w:tcW w:w="2149" w:type="dxa"/>
            <w:tcBorders>
              <w:tl2br w:val="nil"/>
              <w:tr2bl w:val="nil"/>
            </w:tcBorders>
            <w:vAlign w:val="center"/>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02010104 台式计</w:t>
            </w:r>
            <w:r>
              <w:rPr>
                <w:rFonts w:hint="eastAsia" w:ascii="宋体" w:hAnsi="宋体" w:eastAsia="宋体" w:cs="宋体"/>
                <w:color w:val="auto"/>
                <w:spacing w:val="5"/>
                <w:sz w:val="22"/>
                <w:highlight w:val="none"/>
              </w:rPr>
              <w:t>算</w:t>
            </w:r>
            <w:r>
              <w:rPr>
                <w:rFonts w:hint="eastAsia" w:ascii="宋体" w:hAnsi="宋体" w:eastAsia="宋体" w:cs="宋体"/>
                <w:color w:val="auto"/>
                <w:spacing w:val="4"/>
                <w:sz w:val="22"/>
                <w:highlight w:val="none"/>
              </w:rPr>
              <w:t>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02010105 便携式</w:t>
            </w:r>
            <w:r>
              <w:rPr>
                <w:rFonts w:hint="eastAsia" w:ascii="宋体" w:hAnsi="宋体" w:eastAsia="宋体" w:cs="宋体"/>
                <w:color w:val="auto"/>
                <w:spacing w:val="7"/>
                <w:sz w:val="22"/>
                <w:highlight w:val="none"/>
              </w:rPr>
              <w:t>计</w:t>
            </w:r>
            <w:r>
              <w:rPr>
                <w:rFonts w:hint="eastAsia" w:ascii="宋体" w:hAnsi="宋体" w:eastAsia="宋体" w:cs="宋体"/>
                <w:color w:val="auto"/>
                <w:spacing w:val="6"/>
                <w:sz w:val="22"/>
                <w:highlight w:val="none"/>
              </w:rPr>
              <w:t>算机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02010107 平板式</w:t>
            </w:r>
            <w:r>
              <w:rPr>
                <w:rFonts w:hint="eastAsia" w:ascii="宋体" w:hAnsi="宋体" w:eastAsia="宋体" w:cs="宋体"/>
                <w:color w:val="auto"/>
                <w:spacing w:val="8"/>
                <w:sz w:val="22"/>
                <w:highlight w:val="none"/>
              </w:rPr>
              <w:t>微型计算机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1166" w:type="dxa"/>
            <w:vMerge w:val="restart"/>
            <w:tcBorders>
              <w:tl2br w:val="nil"/>
              <w:tr2bl w:val="nil"/>
            </w:tcBorders>
            <w:vAlign w:val="center"/>
          </w:tcPr>
          <w:p>
            <w:pPr>
              <w:spacing w:line="360" w:lineRule="exact"/>
              <w:ind w:hanging="5"/>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106 输入 </w:t>
            </w:r>
            <w:r>
              <w:rPr>
                <w:rFonts w:hint="eastAsia" w:ascii="宋体" w:hAnsi="宋体" w:eastAsia="宋体" w:cs="宋体"/>
                <w:color w:val="auto"/>
                <w:spacing w:val="8"/>
                <w:sz w:val="22"/>
                <w:highlight w:val="none"/>
              </w:rPr>
              <w:t>输</w:t>
            </w:r>
            <w:r>
              <w:rPr>
                <w:rFonts w:hint="eastAsia" w:ascii="宋体" w:hAnsi="宋体" w:eastAsia="宋体" w:cs="宋体"/>
                <w:color w:val="auto"/>
                <w:spacing w:val="7"/>
                <w:sz w:val="22"/>
                <w:highlight w:val="none"/>
              </w:rPr>
              <w:t>出设备</w:t>
            </w:r>
          </w:p>
        </w:tc>
        <w:tc>
          <w:tcPr>
            <w:tcW w:w="2149" w:type="dxa"/>
            <w:vMerge w:val="restart"/>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3"/>
                <w:sz w:val="22"/>
                <w:highlight w:val="none"/>
              </w:rPr>
              <w:t>02010601 打印设</w:t>
            </w:r>
            <w:r>
              <w:rPr>
                <w:rFonts w:hint="eastAsia" w:ascii="宋体" w:hAnsi="宋体" w:eastAsia="宋体" w:cs="宋体"/>
                <w:color w:val="auto"/>
                <w:spacing w:val="2"/>
                <w:sz w:val="22"/>
                <w:highlight w:val="none"/>
              </w:rPr>
              <w:t>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201060102 激 光</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打</w:t>
            </w:r>
            <w:r>
              <w:rPr>
                <w:rFonts w:hint="eastAsia" w:ascii="宋体" w:hAnsi="宋体" w:eastAsia="宋体" w:cs="宋体"/>
                <w:color w:val="auto"/>
                <w:spacing w:val="5"/>
                <w:sz w:val="22"/>
                <w:highlight w:val="none"/>
              </w:rPr>
              <w:t>印机</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w:t>
            </w:r>
            <w:r>
              <w:rPr>
                <w:rFonts w:hint="eastAsia" w:ascii="宋体" w:hAnsi="宋体" w:eastAsia="宋体" w:cs="宋体"/>
                <w:color w:val="auto"/>
                <w:spacing w:val="5"/>
                <w:sz w:val="22"/>
                <w:highlight w:val="none"/>
              </w:rPr>
              <w:t>复印机、打印机和传真机能效限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201060104 针 式</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打</w:t>
            </w:r>
            <w:r>
              <w:rPr>
                <w:rFonts w:hint="eastAsia" w:ascii="宋体" w:hAnsi="宋体" w:eastAsia="宋体" w:cs="宋体"/>
                <w:color w:val="auto"/>
                <w:spacing w:val="5"/>
                <w:sz w:val="22"/>
                <w:highlight w:val="none"/>
              </w:rPr>
              <w:t>印机</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w:t>
            </w:r>
            <w:r>
              <w:rPr>
                <w:rFonts w:hint="eastAsia" w:ascii="宋体" w:hAnsi="宋体" w:eastAsia="宋体" w:cs="宋体"/>
                <w:color w:val="auto"/>
                <w:spacing w:val="5"/>
                <w:sz w:val="22"/>
                <w:highlight w:val="none"/>
              </w:rPr>
              <w:t>复印机、打印机和传真机能效限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3"/>
                <w:sz w:val="22"/>
                <w:highlight w:val="none"/>
              </w:rPr>
              <w:t>02010604 显示设</w:t>
            </w:r>
            <w:r>
              <w:rPr>
                <w:rFonts w:hint="eastAsia" w:ascii="宋体" w:hAnsi="宋体" w:eastAsia="宋体" w:cs="宋体"/>
                <w:color w:val="auto"/>
                <w:spacing w:val="2"/>
                <w:sz w:val="22"/>
                <w:highlight w:val="none"/>
              </w:rPr>
              <w:t>备</w:t>
            </w:r>
          </w:p>
        </w:tc>
        <w:tc>
          <w:tcPr>
            <w:tcW w:w="1602" w:type="dxa"/>
            <w:tcBorders>
              <w:tl2br w:val="nil"/>
              <w:tr2bl w:val="nil"/>
            </w:tcBorders>
          </w:tcPr>
          <w:p>
            <w:pPr>
              <w:spacing w:line="360" w:lineRule="exact"/>
              <w:ind w:hanging="1"/>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201060401 液 晶</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显示器</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计算机显示器能效限定值及能</w:t>
            </w:r>
            <w:r>
              <w:rPr>
                <w:rFonts w:hint="eastAsia" w:ascii="宋体" w:hAnsi="宋体" w:eastAsia="宋体" w:cs="宋体"/>
                <w:color w:val="auto"/>
                <w:sz w:val="22"/>
                <w:highlight w:val="none"/>
              </w:rPr>
              <w:t xml:space="preserve"> </w:t>
            </w:r>
            <w:r>
              <w:rPr>
                <w:rFonts w:hint="eastAsia" w:ascii="宋体" w:hAnsi="宋体" w:eastAsia="宋体" w:cs="宋体"/>
                <w:color w:val="auto"/>
                <w:spacing w:val="19"/>
                <w:sz w:val="22"/>
                <w:highlight w:val="none"/>
              </w:rPr>
              <w:t>效</w:t>
            </w:r>
            <w:r>
              <w:rPr>
                <w:rFonts w:hint="eastAsia" w:ascii="宋体" w:hAnsi="宋体" w:eastAsia="宋体" w:cs="宋体"/>
                <w:color w:val="auto"/>
                <w:spacing w:val="14"/>
                <w:sz w:val="22"/>
                <w:highlight w:val="none"/>
              </w:rPr>
              <w:t>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1166" w:type="dxa"/>
            <w:vMerge w:val="restart"/>
            <w:tcBorders>
              <w:tl2br w:val="nil"/>
              <w:tr2bl w:val="nil"/>
            </w:tcBorders>
            <w:vAlign w:val="center"/>
          </w:tcPr>
          <w:p>
            <w:pPr>
              <w:spacing w:line="360" w:lineRule="exact"/>
              <w:ind w:hanging="12"/>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523 制冷 </w:t>
            </w:r>
            <w:r>
              <w:rPr>
                <w:rFonts w:hint="eastAsia" w:ascii="宋体" w:hAnsi="宋体" w:eastAsia="宋体" w:cs="宋体"/>
                <w:color w:val="auto"/>
                <w:spacing w:val="7"/>
                <w:sz w:val="22"/>
                <w:highlight w:val="none"/>
              </w:rPr>
              <w:t>空</w:t>
            </w:r>
            <w:r>
              <w:rPr>
                <w:rFonts w:hint="eastAsia" w:ascii="宋体" w:hAnsi="宋体" w:eastAsia="宋体" w:cs="宋体"/>
                <w:color w:val="auto"/>
                <w:spacing w:val="5"/>
                <w:sz w:val="22"/>
                <w:highlight w:val="none"/>
              </w:rPr>
              <w:t>调设备</w:t>
            </w:r>
          </w:p>
        </w:tc>
        <w:tc>
          <w:tcPr>
            <w:tcW w:w="2149"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02052301 制冷压</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缩机</w:t>
            </w:r>
          </w:p>
        </w:tc>
        <w:tc>
          <w:tcPr>
            <w:tcW w:w="1602"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冷水机</w:t>
            </w:r>
            <w:r>
              <w:rPr>
                <w:rFonts w:hint="eastAsia" w:ascii="宋体" w:hAnsi="宋体" w:eastAsia="宋体" w:cs="宋体"/>
                <w:color w:val="auto"/>
                <w:spacing w:val="6"/>
                <w:sz w:val="22"/>
                <w:highlight w:val="none"/>
              </w:rPr>
              <w:t>组</w:t>
            </w:r>
          </w:p>
        </w:tc>
        <w:tc>
          <w:tcPr>
            <w:tcW w:w="4079" w:type="dxa"/>
            <w:tcBorders>
              <w:tl2br w:val="nil"/>
              <w:tr2bl w:val="nil"/>
            </w:tcBorders>
          </w:tcPr>
          <w:p>
            <w:pPr>
              <w:spacing w:line="360" w:lineRule="exact"/>
              <w:ind w:firstLine="5"/>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冷水机组能效限定值及能效等</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0"/>
                <w:sz w:val="22"/>
                <w:highlight w:val="none"/>
              </w:rPr>
              <w:t xml:space="preserve"> 19577) ，《低环境温</w:t>
            </w:r>
            <w:r>
              <w:rPr>
                <w:rFonts w:hint="eastAsia" w:ascii="宋体" w:hAnsi="宋体" w:eastAsia="宋体" w:cs="宋体"/>
                <w:color w:val="auto"/>
                <w:spacing w:val="7"/>
                <w:sz w:val="22"/>
                <w:highlight w:val="none"/>
              </w:rPr>
              <w:t>度</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空气源热泵 (冷水) 机组能效限</w:t>
            </w:r>
            <w:r>
              <w:rPr>
                <w:rFonts w:hint="eastAsia" w:ascii="宋体" w:hAnsi="宋体" w:eastAsia="宋体" w:cs="宋体"/>
                <w:color w:val="auto"/>
                <w:spacing w:val="2"/>
                <w:sz w:val="22"/>
                <w:highlight w:val="none"/>
              </w:rPr>
              <w:t>定</w:t>
            </w:r>
            <w:r>
              <w:rPr>
                <w:rFonts w:hint="eastAsia" w:ascii="宋体" w:hAnsi="宋体" w:eastAsia="宋体" w:cs="宋体"/>
                <w:color w:val="auto"/>
                <w:sz w:val="22"/>
                <w:highlight w:val="none"/>
              </w:rPr>
              <w:t xml:space="preserve"> </w:t>
            </w:r>
            <w:r>
              <w:rPr>
                <w:rFonts w:hint="eastAsia" w:ascii="宋体" w:hAnsi="宋体" w:eastAsia="宋体" w:cs="宋体"/>
                <w:color w:val="auto"/>
                <w:spacing w:val="14"/>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37480</w:t>
            </w:r>
            <w:r>
              <w:rPr>
                <w:rFonts w:hint="eastAsia" w:ascii="宋体" w:hAnsi="宋体" w:eastAsia="宋体" w:cs="宋体"/>
                <w:color w:val="auto"/>
                <w:spacing w:val="12"/>
                <w:sz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水源热泵机</w:t>
            </w:r>
            <w:r>
              <w:rPr>
                <w:rFonts w:hint="eastAsia" w:ascii="宋体" w:hAnsi="宋体" w:eastAsia="宋体" w:cs="宋体"/>
                <w:color w:val="auto"/>
                <w:spacing w:val="7"/>
                <w:sz w:val="22"/>
                <w:highlight w:val="none"/>
              </w:rPr>
              <w:t>组</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《水</w:t>
            </w:r>
            <w:r>
              <w:rPr>
                <w:rFonts w:hint="eastAsia" w:ascii="宋体" w:hAnsi="宋体" w:eastAsia="宋体" w:cs="宋体"/>
                <w:color w:val="auto"/>
                <w:spacing w:val="4"/>
                <w:sz w:val="22"/>
                <w:highlight w:val="none"/>
              </w:rPr>
              <w:t xml:space="preserve"> (地) 源热泵机组能效限定值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30721)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23"/>
                <w:sz w:val="22"/>
                <w:highlight w:val="none"/>
              </w:rPr>
              <w:t>溴</w:t>
            </w:r>
            <w:r>
              <w:rPr>
                <w:rFonts w:hint="eastAsia" w:ascii="宋体" w:hAnsi="宋体" w:eastAsia="宋体" w:cs="宋体"/>
                <w:color w:val="auto"/>
                <w:spacing w:val="18"/>
                <w:sz w:val="22"/>
                <w:highlight w:val="none"/>
              </w:rPr>
              <w:t>化锂吸收式冷水机</w:t>
            </w:r>
            <w:r>
              <w:rPr>
                <w:rFonts w:hint="eastAsia" w:ascii="宋体" w:hAnsi="宋体" w:eastAsia="宋体" w:cs="宋体"/>
                <w:color w:val="auto"/>
                <w:sz w:val="22"/>
                <w:highlight w:val="none"/>
              </w:rPr>
              <w:t xml:space="preserve"> 组</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溴化锂吸收式冷水机组能效限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restart"/>
            <w:tcBorders>
              <w:tl2br w:val="nil"/>
              <w:tr2bl w:val="nil"/>
            </w:tcBorders>
            <w:vAlign w:val="center"/>
          </w:tcPr>
          <w:p>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02052305 空调机</w:t>
            </w:r>
            <w:r>
              <w:rPr>
                <w:rFonts w:hint="eastAsia" w:ascii="宋体" w:hAnsi="宋体" w:eastAsia="宋体" w:cs="宋体"/>
                <w:color w:val="auto"/>
                <w:sz w:val="22"/>
                <w:highlight w:val="none"/>
              </w:rPr>
              <w:t xml:space="preserve"> 组</w:t>
            </w:r>
          </w:p>
        </w:tc>
        <w:tc>
          <w:tcPr>
            <w:tcW w:w="1602" w:type="dxa"/>
            <w:tcBorders>
              <w:tl2br w:val="nil"/>
              <w:tr2bl w:val="nil"/>
            </w:tcBorders>
          </w:tcPr>
          <w:p>
            <w:pPr>
              <w:spacing w:line="360" w:lineRule="exact"/>
              <w:ind w:firstLine="10"/>
              <w:rPr>
                <w:rFonts w:hint="eastAsia" w:ascii="宋体" w:hAnsi="宋体" w:eastAsia="宋体" w:cs="宋体"/>
                <w:color w:val="auto"/>
                <w:sz w:val="22"/>
                <w:highlight w:val="none"/>
              </w:rPr>
            </w:pPr>
            <w:r>
              <w:rPr>
                <w:rFonts w:hint="eastAsia" w:ascii="宋体" w:hAnsi="宋体" w:eastAsia="宋体" w:cs="宋体"/>
                <w:color w:val="auto"/>
                <w:spacing w:val="17"/>
                <w:sz w:val="22"/>
                <w:highlight w:val="none"/>
              </w:rPr>
              <w:t>多</w:t>
            </w:r>
            <w:r>
              <w:rPr>
                <w:rFonts w:hint="eastAsia" w:ascii="宋体" w:hAnsi="宋体" w:eastAsia="宋体" w:cs="宋体"/>
                <w:color w:val="auto"/>
                <w:spacing w:val="14"/>
                <w:sz w:val="22"/>
                <w:highlight w:val="none"/>
              </w:rPr>
              <w:t>联式空调(热泵)</w:t>
            </w:r>
            <w:r>
              <w:rPr>
                <w:rFonts w:hint="eastAsia" w:ascii="宋体" w:hAnsi="宋体" w:eastAsia="宋体" w:cs="宋体"/>
                <w:color w:val="auto"/>
                <w:spacing w:val="15"/>
                <w:sz w:val="22"/>
                <w:highlight w:val="none"/>
              </w:rPr>
              <w:t>机</w:t>
            </w:r>
            <w:r>
              <w:rPr>
                <w:rFonts w:hint="eastAsia" w:ascii="宋体" w:hAnsi="宋体" w:eastAsia="宋体" w:cs="宋体"/>
                <w:color w:val="auto"/>
                <w:spacing w:val="12"/>
                <w:sz w:val="22"/>
                <w:highlight w:val="none"/>
              </w:rPr>
              <w:t>组(制冷</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量</w:t>
            </w:r>
            <w:r>
              <w:rPr>
                <w:rFonts w:hint="eastAsia" w:ascii="宋体" w:hAnsi="宋体" w:eastAsia="宋体" w:cs="宋体"/>
                <w:color w:val="auto"/>
                <w:spacing w:val="5"/>
                <w:sz w:val="22"/>
                <w:highlight w:val="none"/>
              </w:rPr>
              <w:t>&gt;14000</w:t>
            </w:r>
            <w:r>
              <w:rPr>
                <w:rFonts w:hint="eastAsia" w:ascii="宋体" w:hAnsi="宋体" w:eastAsia="宋体" w:cs="宋体"/>
                <w:color w:val="auto"/>
                <w:sz w:val="22"/>
                <w:highlight w:val="none"/>
              </w:rPr>
              <w:t>W</w:t>
            </w:r>
            <w:r>
              <w:rPr>
                <w:rFonts w:hint="eastAsia" w:ascii="宋体" w:hAnsi="宋体" w:eastAsia="宋体" w:cs="宋体"/>
                <w:color w:val="auto"/>
                <w:spacing w:val="5"/>
                <w:sz w:val="22"/>
                <w:highlight w:val="none"/>
              </w:rPr>
              <w:t>)</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《多联式空</w:t>
            </w:r>
            <w:r>
              <w:rPr>
                <w:rFonts w:hint="eastAsia" w:ascii="宋体" w:hAnsi="宋体" w:eastAsia="宋体" w:cs="宋体"/>
                <w:color w:val="auto"/>
                <w:sz w:val="22"/>
                <w:highlight w:val="none"/>
              </w:rPr>
              <w:t xml:space="preserve">调 (热泵) 机组能效限 </w:t>
            </w:r>
            <w:r>
              <w:rPr>
                <w:rFonts w:hint="eastAsia" w:ascii="宋体" w:hAnsi="宋体" w:eastAsia="宋体" w:cs="宋体"/>
                <w:color w:val="auto"/>
                <w:spacing w:val="-1"/>
                <w:sz w:val="22"/>
                <w:highlight w:val="none"/>
              </w:rPr>
              <w:t>定值</w:t>
            </w:r>
            <w:r>
              <w:rPr>
                <w:rFonts w:hint="eastAsia" w:ascii="宋体" w:hAnsi="宋体" w:eastAsia="宋体" w:cs="宋体"/>
                <w:color w:val="auto"/>
                <w:sz w:val="22"/>
                <w:highlight w:val="none"/>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hanging="33"/>
              <w:rPr>
                <w:rFonts w:hint="eastAsia" w:ascii="宋体" w:hAnsi="宋体" w:eastAsia="宋体" w:cs="宋体"/>
                <w:color w:val="auto"/>
                <w:sz w:val="22"/>
                <w:highlight w:val="none"/>
              </w:rPr>
            </w:pPr>
            <w:r>
              <w:rPr>
                <w:rFonts w:hint="eastAsia" w:ascii="宋体" w:hAnsi="宋体" w:eastAsia="宋体" w:cs="宋体"/>
                <w:color w:val="auto"/>
                <w:spacing w:val="-26"/>
                <w:sz w:val="22"/>
                <w:highlight w:val="none"/>
              </w:rPr>
              <w:t>单</w:t>
            </w:r>
            <w:r>
              <w:rPr>
                <w:rFonts w:hint="eastAsia" w:ascii="宋体" w:hAnsi="宋体" w:eastAsia="宋体" w:cs="宋体"/>
                <w:color w:val="auto"/>
                <w:spacing w:val="-20"/>
                <w:sz w:val="22"/>
                <w:highlight w:val="none"/>
              </w:rPr>
              <w:t xml:space="preserve"> 元 式 空 气 调 节 机</w:t>
            </w:r>
            <w:r>
              <w:rPr>
                <w:rFonts w:hint="eastAsia" w:ascii="宋体" w:hAnsi="宋体" w:eastAsia="宋体" w:cs="宋体"/>
                <w:color w:val="auto"/>
                <w:sz w:val="22"/>
                <w:highlight w:val="none"/>
              </w:rPr>
              <w:t xml:space="preserve"> </w:t>
            </w:r>
            <w:r>
              <w:rPr>
                <w:rFonts w:hint="eastAsia" w:ascii="宋体" w:hAnsi="宋体" w:eastAsia="宋体" w:cs="宋体"/>
                <w:color w:val="auto"/>
                <w:spacing w:val="3"/>
                <w:sz w:val="22"/>
                <w:highlight w:val="none"/>
              </w:rPr>
              <w:t>(制冷量&gt;14000</w:t>
            </w:r>
            <w:r>
              <w:rPr>
                <w:rFonts w:hint="eastAsia" w:ascii="宋体" w:hAnsi="宋体" w:eastAsia="宋体" w:cs="宋体"/>
                <w:color w:val="auto"/>
                <w:sz w:val="22"/>
                <w:highlight w:val="none"/>
              </w:rPr>
              <w:t>W</w:t>
            </w:r>
            <w:r>
              <w:rPr>
                <w:rFonts w:hint="eastAsia" w:ascii="宋体" w:hAnsi="宋体" w:eastAsia="宋体" w:cs="宋体"/>
                <w:color w:val="auto"/>
                <w:spacing w:val="3"/>
                <w:sz w:val="22"/>
                <w:highlight w:val="none"/>
              </w:rPr>
              <w:t>)</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8"/>
                <w:sz w:val="22"/>
                <w:highlight w:val="none"/>
              </w:rPr>
              <w:t>及能</w:t>
            </w:r>
            <w:r>
              <w:rPr>
                <w:rFonts w:hint="eastAsia" w:ascii="宋体" w:hAnsi="宋体" w:eastAsia="宋体" w:cs="宋体"/>
                <w:color w:val="auto"/>
                <w:spacing w:val="4"/>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4"/>
                <w:sz w:val="22"/>
                <w:highlight w:val="none"/>
              </w:rPr>
              <w:t xml:space="preserve"> 19576)  《风管</w:t>
            </w:r>
            <w:r>
              <w:rPr>
                <w:rFonts w:hint="eastAsia" w:ascii="宋体" w:hAnsi="宋体" w:eastAsia="宋体" w:cs="宋体"/>
                <w:color w:val="auto"/>
                <w:sz w:val="22"/>
                <w:highlight w:val="none"/>
              </w:rPr>
              <w:t xml:space="preserve"> </w:t>
            </w:r>
            <w:r>
              <w:rPr>
                <w:rFonts w:hint="eastAsia" w:ascii="宋体" w:hAnsi="宋体" w:eastAsia="宋体" w:cs="宋体"/>
                <w:color w:val="auto"/>
                <w:spacing w:val="29"/>
                <w:sz w:val="22"/>
                <w:highlight w:val="none"/>
              </w:rPr>
              <w:t>送</w:t>
            </w:r>
            <w:r>
              <w:rPr>
                <w:rFonts w:hint="eastAsia" w:ascii="宋体" w:hAnsi="宋体" w:eastAsia="宋体" w:cs="宋体"/>
                <w:color w:val="auto"/>
                <w:spacing w:val="19"/>
                <w:sz w:val="22"/>
                <w:highlight w:val="none"/>
              </w:rPr>
              <w:t>风式空调机组能效限定值及能</w:t>
            </w:r>
            <w:r>
              <w:rPr>
                <w:rFonts w:hint="eastAsia" w:ascii="宋体" w:hAnsi="宋体" w:eastAsia="宋体" w:cs="宋体"/>
                <w:color w:val="auto"/>
                <w:sz w:val="22"/>
                <w:highlight w:val="none"/>
              </w:rPr>
              <w:t xml:space="preserve"> </w:t>
            </w:r>
            <w:r>
              <w:rPr>
                <w:rFonts w:hint="eastAsia" w:ascii="宋体" w:hAnsi="宋体" w:eastAsia="宋体" w:cs="宋体"/>
                <w:color w:val="auto"/>
                <w:spacing w:val="15"/>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tcBorders>
              <w:tl2br w:val="nil"/>
              <w:tr2bl w:val="nil"/>
            </w:tcBorders>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02052309 专用制</w:t>
            </w:r>
            <w:r>
              <w:rPr>
                <w:rFonts w:hint="eastAsia" w:ascii="宋体" w:hAnsi="宋体" w:eastAsia="宋体" w:cs="宋体"/>
                <w:color w:val="auto"/>
                <w:sz w:val="22"/>
                <w:highlight w:val="none"/>
              </w:rPr>
              <w:t xml:space="preserve"> </w:t>
            </w:r>
            <w:r>
              <w:rPr>
                <w:rFonts w:hint="eastAsia" w:ascii="宋体" w:hAnsi="宋体" w:eastAsia="宋体" w:cs="宋体"/>
                <w:color w:val="auto"/>
                <w:spacing w:val="8"/>
                <w:sz w:val="22"/>
                <w:highlight w:val="none"/>
              </w:rPr>
              <w:t>冷、空调设备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机</w:t>
            </w:r>
            <w:r>
              <w:rPr>
                <w:rFonts w:hint="eastAsia" w:ascii="宋体" w:hAnsi="宋体" w:eastAsia="宋体" w:cs="宋体"/>
                <w:color w:val="auto"/>
                <w:spacing w:val="7"/>
                <w:sz w:val="22"/>
                <w:highlight w:val="none"/>
              </w:rPr>
              <w:t>房空调</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1166" w:type="dxa"/>
            <w:tcBorders>
              <w:tl2br w:val="nil"/>
              <w:tr2bl w:val="nil"/>
            </w:tcBorders>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020609</w:t>
            </w:r>
            <w:r>
              <w:rPr>
                <w:rFonts w:hint="eastAsia" w:ascii="宋体" w:hAnsi="宋体" w:eastAsia="宋体" w:cs="宋体"/>
                <w:color w:val="auto"/>
                <w:sz w:val="22"/>
                <w:highlight w:val="none"/>
              </w:rPr>
              <w:t xml:space="preserve"> 镇 </w:t>
            </w:r>
            <w:r>
              <w:rPr>
                <w:rFonts w:hint="eastAsia" w:ascii="宋体" w:hAnsi="宋体" w:eastAsia="宋体" w:cs="宋体"/>
                <w:color w:val="auto"/>
                <w:spacing w:val="5"/>
                <w:sz w:val="22"/>
                <w:highlight w:val="none"/>
              </w:rPr>
              <w:t>流</w:t>
            </w:r>
            <w:r>
              <w:rPr>
                <w:rFonts w:hint="eastAsia" w:ascii="宋体" w:hAnsi="宋体" w:eastAsia="宋体" w:cs="宋体"/>
                <w:color w:val="auto"/>
                <w:spacing w:val="4"/>
                <w:sz w:val="22"/>
                <w:highlight w:val="none"/>
              </w:rPr>
              <w:t>器</w:t>
            </w:r>
          </w:p>
        </w:tc>
        <w:tc>
          <w:tcPr>
            <w:tcW w:w="214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0"/>
                <w:sz w:val="22"/>
                <w:highlight w:val="none"/>
              </w:rPr>
              <w:t>管</w:t>
            </w:r>
            <w:r>
              <w:rPr>
                <w:rFonts w:hint="eastAsia" w:ascii="宋体" w:hAnsi="宋体" w:eastAsia="宋体" w:cs="宋体"/>
                <w:color w:val="auto"/>
                <w:spacing w:val="8"/>
                <w:sz w:val="22"/>
                <w:highlight w:val="none"/>
              </w:rPr>
              <w:t>型荧光灯镇流器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管形荧光灯镇流器能效限定值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0</w:t>
            </w:r>
          </w:p>
        </w:tc>
        <w:tc>
          <w:tcPr>
            <w:tcW w:w="1166" w:type="dxa"/>
            <w:vMerge w:val="restart"/>
            <w:tcBorders>
              <w:tl2br w:val="nil"/>
              <w:tr2bl w:val="nil"/>
            </w:tcBorders>
            <w:vAlign w:val="center"/>
          </w:tcPr>
          <w:p>
            <w:pPr>
              <w:spacing w:line="360" w:lineRule="exact"/>
              <w:ind w:hanging="7"/>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618 生活 </w:t>
            </w:r>
            <w:r>
              <w:rPr>
                <w:rFonts w:hint="eastAsia" w:ascii="宋体" w:hAnsi="宋体" w:eastAsia="宋体" w:cs="宋体"/>
                <w:color w:val="auto"/>
                <w:spacing w:val="6"/>
                <w:sz w:val="22"/>
                <w:highlight w:val="none"/>
              </w:rPr>
              <w:t>用电器</w:t>
            </w:r>
          </w:p>
        </w:tc>
        <w:tc>
          <w:tcPr>
            <w:tcW w:w="2149"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4"/>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0206180203 空</w:t>
            </w:r>
            <w:r>
              <w:rPr>
                <w:rFonts w:hint="eastAsia" w:ascii="宋体" w:hAnsi="宋体" w:eastAsia="宋体" w:cs="宋体"/>
                <w:color w:val="auto"/>
                <w:spacing w:val="3"/>
                <w:sz w:val="22"/>
                <w:highlight w:val="none"/>
              </w:rPr>
              <w:t>调</w:t>
            </w:r>
            <w:r>
              <w:rPr>
                <w:rFonts w:hint="eastAsia" w:ascii="宋体" w:hAnsi="宋体" w:eastAsia="宋体" w:cs="宋体"/>
                <w:color w:val="auto"/>
                <w:sz w:val="22"/>
                <w:highlight w:val="none"/>
              </w:rPr>
              <w:t xml:space="preserve"> </w:t>
            </w:r>
            <w:r>
              <w:rPr>
                <w:rFonts w:hint="eastAsia" w:ascii="宋体" w:hAnsi="宋体" w:eastAsia="宋体" w:cs="宋体"/>
                <w:color w:val="auto"/>
                <w:spacing w:val="2"/>
                <w:sz w:val="22"/>
                <w:highlight w:val="none"/>
              </w:rPr>
              <w:t>机</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0"/>
                <w:sz w:val="22"/>
                <w:highlight w:val="none"/>
              </w:rPr>
              <w:t>房</w:t>
            </w:r>
            <w:r>
              <w:rPr>
                <w:rFonts w:hint="eastAsia" w:ascii="宋体" w:hAnsi="宋体" w:eastAsia="宋体" w:cs="宋体"/>
                <w:color w:val="auto"/>
                <w:spacing w:val="8"/>
                <w:sz w:val="22"/>
                <w:highlight w:val="none"/>
              </w:rPr>
              <w:t>间空气调节器</w:t>
            </w:r>
          </w:p>
        </w:tc>
        <w:tc>
          <w:tcPr>
            <w:tcW w:w="4079" w:type="dxa"/>
            <w:tcBorders>
              <w:tl2br w:val="nil"/>
              <w:tr2bl w:val="nil"/>
            </w:tcBorders>
          </w:tcPr>
          <w:p>
            <w:pPr>
              <w:spacing w:line="360" w:lineRule="exact"/>
              <w:ind w:firstLine="5"/>
              <w:rPr>
                <w:rFonts w:hint="eastAsia" w:ascii="宋体" w:hAnsi="宋体" w:eastAsia="宋体" w:cs="宋体"/>
                <w:color w:val="auto"/>
                <w:sz w:val="22"/>
                <w:highlight w:val="none"/>
              </w:rPr>
            </w:pPr>
            <w:r>
              <w:rPr>
                <w:rFonts w:hint="eastAsia" w:ascii="宋体" w:hAnsi="宋体" w:eastAsia="宋体" w:cs="宋体"/>
                <w:color w:val="auto"/>
                <w:spacing w:val="15"/>
                <w:sz w:val="22"/>
                <w:highlight w:val="none"/>
              </w:rPr>
              <w:t>《</w:t>
            </w:r>
            <w:r>
              <w:rPr>
                <w:rFonts w:hint="eastAsia" w:ascii="宋体" w:hAnsi="宋体" w:eastAsia="宋体" w:cs="宋体"/>
                <w:color w:val="auto"/>
                <w:spacing w:val="14"/>
                <w:sz w:val="22"/>
                <w:highlight w:val="none"/>
              </w:rPr>
              <w:t>转速可控型房间空气调节器能</w:t>
            </w:r>
            <w:r>
              <w:rPr>
                <w:rFonts w:hint="eastAsia" w:ascii="宋体" w:hAnsi="宋体" w:eastAsia="宋体" w:cs="宋体"/>
                <w:color w:val="auto"/>
                <w:sz w:val="22"/>
                <w:highlight w:val="none"/>
              </w:rPr>
              <w:t xml:space="preserve"> </w:t>
            </w:r>
            <w:r>
              <w:rPr>
                <w:rFonts w:hint="eastAsia" w:ascii="宋体" w:hAnsi="宋体" w:eastAsia="宋体" w:cs="宋体"/>
                <w:color w:val="auto"/>
                <w:spacing w:val="-29"/>
                <w:sz w:val="22"/>
                <w:highlight w:val="none"/>
              </w:rPr>
              <w:t>效</w:t>
            </w:r>
            <w:r>
              <w:rPr>
                <w:rFonts w:hint="eastAsia" w:ascii="宋体" w:hAnsi="宋体" w:eastAsia="宋体" w:cs="宋体"/>
                <w:color w:val="auto"/>
                <w:spacing w:val="-18"/>
                <w:sz w:val="22"/>
                <w:highlight w:val="none"/>
              </w:rPr>
              <w:t xml:space="preserve"> 限 定 值 及 能 效 等 级 》  ( GB</w:t>
            </w:r>
            <w:r>
              <w:rPr>
                <w:rFonts w:hint="eastAsia" w:ascii="宋体" w:hAnsi="宋体" w:eastAsia="宋体" w:cs="宋体"/>
                <w:color w:val="auto"/>
                <w:sz w:val="22"/>
                <w:highlight w:val="none"/>
              </w:rPr>
              <w:t xml:space="preserve"> </w:t>
            </w:r>
            <w:r>
              <w:rPr>
                <w:rFonts w:hint="eastAsia" w:ascii="宋体" w:hAnsi="宋体" w:eastAsia="宋体" w:cs="宋体"/>
                <w:color w:val="auto"/>
                <w:spacing w:val="1"/>
                <w:sz w:val="22"/>
                <w:highlight w:val="none"/>
              </w:rPr>
              <w:t>21455-2013</w:t>
            </w:r>
            <w:r>
              <w:rPr>
                <w:rFonts w:hint="eastAsia" w:ascii="宋体" w:hAnsi="宋体" w:eastAsia="宋体" w:cs="宋体"/>
                <w:color w:val="auto"/>
                <w:sz w:val="22"/>
                <w:highlight w:val="none"/>
              </w:rPr>
              <w:t xml:space="preserve">) ，待 2019 年修订发 </w:t>
            </w:r>
            <w:r>
              <w:rPr>
                <w:rFonts w:hint="eastAsia" w:ascii="宋体" w:hAnsi="宋体" w:eastAsia="宋体" w:cs="宋体"/>
                <w:color w:val="auto"/>
                <w:spacing w:val="1"/>
                <w:sz w:val="22"/>
                <w:highlight w:val="none"/>
              </w:rPr>
              <w:t>布后，按《房间空气调</w:t>
            </w:r>
            <w:r>
              <w:rPr>
                <w:rFonts w:hint="eastAsia" w:ascii="宋体" w:hAnsi="宋体" w:eastAsia="宋体" w:cs="宋体"/>
                <w:color w:val="auto"/>
                <w:sz w:val="22"/>
                <w:highlight w:val="none"/>
              </w:rPr>
              <w:t xml:space="preserve">节器能效限 </w:t>
            </w:r>
            <w:r>
              <w:rPr>
                <w:rFonts w:hint="eastAsia" w:ascii="宋体" w:hAnsi="宋体" w:eastAsia="宋体" w:cs="宋体"/>
                <w:color w:val="auto"/>
                <w:spacing w:val="1"/>
                <w:sz w:val="22"/>
                <w:highlight w:val="none"/>
              </w:rPr>
              <w:t>定值及</w:t>
            </w:r>
            <w:r>
              <w:rPr>
                <w:rFonts w:hint="eastAsia" w:ascii="宋体" w:hAnsi="宋体" w:eastAsia="宋体" w:cs="宋体"/>
                <w:color w:val="auto"/>
                <w:sz w:val="22"/>
                <w:highlight w:val="none"/>
              </w:rPr>
              <w:t xml:space="preserve">能效等级》(GB21455-2019) </w:t>
            </w:r>
            <w:r>
              <w:rPr>
                <w:rFonts w:hint="eastAsia" w:ascii="宋体" w:hAnsi="宋体" w:eastAsia="宋体" w:cs="宋体"/>
                <w:color w:val="auto"/>
                <w:spacing w:val="1"/>
                <w:sz w:val="22"/>
                <w:highlight w:val="none"/>
              </w:rPr>
              <w:t>实</w:t>
            </w:r>
            <w:r>
              <w:rPr>
                <w:rFonts w:hint="eastAsia" w:ascii="宋体" w:hAnsi="宋体" w:eastAsia="宋体" w:cs="宋体"/>
                <w:color w:val="auto"/>
                <w:sz w:val="22"/>
                <w:highlight w:val="none"/>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ind w:firstLine="3"/>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firstLine="10"/>
              <w:rPr>
                <w:rFonts w:hint="eastAsia" w:ascii="宋体" w:hAnsi="宋体" w:eastAsia="宋体" w:cs="宋体"/>
                <w:color w:val="auto"/>
                <w:sz w:val="22"/>
                <w:highlight w:val="none"/>
              </w:rPr>
            </w:pPr>
            <w:r>
              <w:rPr>
                <w:rFonts w:hint="eastAsia" w:ascii="宋体" w:hAnsi="宋体" w:eastAsia="宋体" w:cs="宋体"/>
                <w:color w:val="auto"/>
                <w:spacing w:val="17"/>
                <w:sz w:val="22"/>
                <w:highlight w:val="none"/>
              </w:rPr>
              <w:t>多</w:t>
            </w:r>
            <w:r>
              <w:rPr>
                <w:rFonts w:hint="eastAsia" w:ascii="宋体" w:hAnsi="宋体" w:eastAsia="宋体" w:cs="宋体"/>
                <w:color w:val="auto"/>
                <w:spacing w:val="14"/>
                <w:sz w:val="22"/>
                <w:highlight w:val="none"/>
              </w:rPr>
              <w:t>联式空调 (热泵)</w:t>
            </w:r>
            <w:r>
              <w:rPr>
                <w:rFonts w:hint="eastAsia" w:ascii="宋体" w:hAnsi="宋体" w:eastAsia="宋体" w:cs="宋体"/>
                <w:color w:val="auto"/>
                <w:sz w:val="22"/>
                <w:highlight w:val="none"/>
              </w:rPr>
              <w:t xml:space="preserve"> </w:t>
            </w:r>
            <w:r>
              <w:rPr>
                <w:rFonts w:hint="eastAsia" w:ascii="宋体" w:hAnsi="宋体" w:eastAsia="宋体" w:cs="宋体"/>
                <w:color w:val="auto"/>
                <w:spacing w:val="-2"/>
                <w:sz w:val="22"/>
                <w:highlight w:val="none"/>
              </w:rPr>
              <w:t xml:space="preserve">机 组  </w:t>
            </w:r>
            <w:r>
              <w:rPr>
                <w:rFonts w:hint="eastAsia" w:ascii="宋体" w:hAnsi="宋体" w:eastAsia="宋体" w:cs="宋体"/>
                <w:color w:val="auto"/>
                <w:spacing w:val="-1"/>
                <w:sz w:val="22"/>
                <w:highlight w:val="none"/>
              </w:rPr>
              <w:t>( 制 冷 量 ≤</w:t>
            </w:r>
            <w:r>
              <w:rPr>
                <w:rFonts w:hint="eastAsia" w:ascii="宋体" w:hAnsi="宋体" w:eastAsia="宋体" w:cs="宋体"/>
                <w:color w:val="auto"/>
                <w:sz w:val="22"/>
                <w:highlight w:val="none"/>
              </w:rPr>
              <w:t xml:space="preserve"> </w:t>
            </w:r>
            <w:r>
              <w:rPr>
                <w:rFonts w:hint="eastAsia" w:ascii="宋体" w:hAnsi="宋体" w:eastAsia="宋体" w:cs="宋体"/>
                <w:color w:val="auto"/>
                <w:spacing w:val="4"/>
                <w:sz w:val="22"/>
                <w:highlight w:val="none"/>
              </w:rPr>
              <w:t>14000</w:t>
            </w:r>
            <w:r>
              <w:rPr>
                <w:rFonts w:hint="eastAsia" w:ascii="宋体" w:hAnsi="宋体" w:eastAsia="宋体" w:cs="宋体"/>
                <w:color w:val="auto"/>
                <w:sz w:val="22"/>
                <w:highlight w:val="none"/>
              </w:rPr>
              <w:t>W</w:t>
            </w:r>
            <w:r>
              <w:rPr>
                <w:rFonts w:hint="eastAsia" w:ascii="宋体" w:hAnsi="宋体" w:eastAsia="宋体" w:cs="宋体"/>
                <w:color w:val="auto"/>
                <w:spacing w:val="4"/>
                <w:sz w:val="22"/>
                <w:highlight w:val="none"/>
              </w:rPr>
              <w:t>)</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《多联式空</w:t>
            </w:r>
            <w:r>
              <w:rPr>
                <w:rFonts w:hint="eastAsia" w:ascii="宋体" w:hAnsi="宋体" w:eastAsia="宋体" w:cs="宋体"/>
                <w:color w:val="auto"/>
                <w:sz w:val="22"/>
                <w:highlight w:val="none"/>
              </w:rPr>
              <w:t xml:space="preserve">调 (热泵) 机组能效限 </w:t>
            </w:r>
            <w:r>
              <w:rPr>
                <w:rFonts w:hint="eastAsia" w:ascii="宋体" w:hAnsi="宋体" w:eastAsia="宋体" w:cs="宋体"/>
                <w:color w:val="auto"/>
                <w:spacing w:val="-1"/>
                <w:sz w:val="22"/>
                <w:highlight w:val="none"/>
              </w:rPr>
              <w:t>定值</w:t>
            </w:r>
            <w:r>
              <w:rPr>
                <w:rFonts w:hint="eastAsia" w:ascii="宋体" w:hAnsi="宋体" w:eastAsia="宋体" w:cs="宋体"/>
                <w:color w:val="auto"/>
                <w:sz w:val="22"/>
                <w:highlight w:val="none"/>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ind w:hanging="33"/>
              <w:rPr>
                <w:rFonts w:hint="eastAsia" w:ascii="宋体" w:hAnsi="宋体" w:eastAsia="宋体" w:cs="宋体"/>
                <w:color w:val="auto"/>
                <w:sz w:val="22"/>
                <w:highlight w:val="none"/>
              </w:rPr>
            </w:pPr>
            <w:r>
              <w:rPr>
                <w:rFonts w:hint="eastAsia" w:ascii="宋体" w:hAnsi="宋体" w:eastAsia="宋体" w:cs="宋体"/>
                <w:color w:val="auto"/>
                <w:spacing w:val="-26"/>
                <w:sz w:val="22"/>
                <w:highlight w:val="none"/>
              </w:rPr>
              <w:t>单</w:t>
            </w:r>
            <w:r>
              <w:rPr>
                <w:rFonts w:hint="eastAsia" w:ascii="宋体" w:hAnsi="宋体" w:eastAsia="宋体" w:cs="宋体"/>
                <w:color w:val="auto"/>
                <w:spacing w:val="-20"/>
                <w:sz w:val="22"/>
                <w:highlight w:val="none"/>
              </w:rPr>
              <w:t xml:space="preserve"> 元 式 空 气 调 节 机</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(制</w:t>
            </w:r>
            <w:r>
              <w:rPr>
                <w:rFonts w:hint="eastAsia" w:ascii="宋体" w:hAnsi="宋体" w:eastAsia="宋体" w:cs="宋体"/>
                <w:color w:val="auto"/>
                <w:spacing w:val="3"/>
                <w:sz w:val="22"/>
                <w:highlight w:val="none"/>
              </w:rPr>
              <w:t>冷量≤14000</w:t>
            </w:r>
            <w:r>
              <w:rPr>
                <w:rFonts w:hint="eastAsia" w:ascii="宋体" w:hAnsi="宋体" w:eastAsia="宋体" w:cs="宋体"/>
                <w:color w:val="auto"/>
                <w:sz w:val="22"/>
                <w:highlight w:val="none"/>
              </w:rPr>
              <w:t>W</w:t>
            </w:r>
            <w:r>
              <w:rPr>
                <w:rFonts w:hint="eastAsia" w:ascii="宋体" w:hAnsi="宋体" w:eastAsia="宋体" w:cs="宋体"/>
                <w:color w:val="auto"/>
                <w:spacing w:val="3"/>
                <w:sz w:val="22"/>
                <w:highlight w:val="none"/>
              </w:rPr>
              <w:t>)</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8"/>
                <w:sz w:val="22"/>
                <w:highlight w:val="none"/>
              </w:rPr>
              <w:t>及能</w:t>
            </w:r>
            <w:r>
              <w:rPr>
                <w:rFonts w:hint="eastAsia" w:ascii="宋体" w:hAnsi="宋体" w:eastAsia="宋体" w:cs="宋体"/>
                <w:color w:val="auto"/>
                <w:spacing w:val="7"/>
                <w:sz w:val="22"/>
                <w:highlight w:val="none"/>
              </w:rPr>
              <w:t>源</w:t>
            </w:r>
            <w:r>
              <w:rPr>
                <w:rFonts w:hint="eastAsia" w:ascii="宋体" w:hAnsi="宋体" w:eastAsia="宋体" w:cs="宋体"/>
                <w:color w:val="auto"/>
                <w:spacing w:val="4"/>
                <w:sz w:val="22"/>
                <w:highlight w:val="none"/>
              </w:rPr>
              <w:t>效率等级》(</w:t>
            </w:r>
            <w:r>
              <w:rPr>
                <w:rFonts w:hint="eastAsia" w:ascii="宋体" w:hAnsi="宋体" w:eastAsia="宋体" w:cs="宋体"/>
                <w:color w:val="auto"/>
                <w:sz w:val="22"/>
                <w:highlight w:val="none"/>
              </w:rPr>
              <w:t>GB</w:t>
            </w:r>
            <w:r>
              <w:rPr>
                <w:rFonts w:hint="eastAsia" w:ascii="宋体" w:hAnsi="宋体" w:eastAsia="宋体" w:cs="宋体"/>
                <w:color w:val="auto"/>
                <w:spacing w:val="4"/>
                <w:sz w:val="22"/>
                <w:highlight w:val="none"/>
              </w:rPr>
              <w:t xml:space="preserve"> 19576)《风</w:t>
            </w:r>
            <w:r>
              <w:rPr>
                <w:rFonts w:hint="eastAsia" w:ascii="宋体" w:hAnsi="宋体" w:eastAsia="宋体" w:cs="宋体"/>
                <w:color w:val="auto"/>
                <w:sz w:val="22"/>
                <w:highlight w:val="none"/>
              </w:rPr>
              <w:t xml:space="preserve"> </w:t>
            </w:r>
            <w:r>
              <w:rPr>
                <w:rFonts w:hint="eastAsia" w:ascii="宋体" w:hAnsi="宋体" w:eastAsia="宋体" w:cs="宋体"/>
                <w:color w:val="auto"/>
                <w:spacing w:val="28"/>
                <w:sz w:val="22"/>
                <w:highlight w:val="none"/>
              </w:rPr>
              <w:t>管</w:t>
            </w:r>
            <w:r>
              <w:rPr>
                <w:rFonts w:hint="eastAsia" w:ascii="宋体" w:hAnsi="宋体" w:eastAsia="宋体" w:cs="宋体"/>
                <w:color w:val="auto"/>
                <w:spacing w:val="19"/>
                <w:sz w:val="22"/>
                <w:highlight w:val="none"/>
              </w:rPr>
              <w:t>送风式空调机组能效限定值及</w:t>
            </w:r>
            <w:r>
              <w:rPr>
                <w:rFonts w:hint="eastAsia" w:ascii="宋体" w:hAnsi="宋体" w:eastAsia="宋体" w:cs="宋体"/>
                <w:color w:val="auto"/>
                <w:sz w:val="22"/>
                <w:highlight w:val="none"/>
              </w:rPr>
              <w:t xml:space="preserve"> </w:t>
            </w:r>
            <w:r>
              <w:rPr>
                <w:rFonts w:hint="eastAsia" w:ascii="宋体" w:hAnsi="宋体" w:eastAsia="宋体" w:cs="宋体"/>
                <w:color w:val="auto"/>
                <w:spacing w:val="21"/>
                <w:sz w:val="22"/>
                <w:highlight w:val="none"/>
              </w:rPr>
              <w:t>能</w:t>
            </w:r>
            <w:r>
              <w:rPr>
                <w:rFonts w:hint="eastAsia" w:ascii="宋体" w:hAnsi="宋体" w:eastAsia="宋体" w:cs="宋体"/>
                <w:color w:val="auto"/>
                <w:spacing w:val="14"/>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w:t>
            </w:r>
            <w:r>
              <w:rPr>
                <w:rFonts w:hint="eastAsia" w:ascii="宋体" w:hAnsi="宋体" w:eastAsia="宋体" w:cs="宋体"/>
                <w:color w:val="auto"/>
                <w:spacing w:val="2"/>
                <w:sz w:val="22"/>
                <w:highlight w:val="none"/>
              </w:rPr>
              <w:t>061808 热水器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9"/>
                <w:sz w:val="22"/>
                <w:highlight w:val="none"/>
              </w:rPr>
              <w:t>★</w:t>
            </w:r>
            <w:r>
              <w:rPr>
                <w:rFonts w:hint="eastAsia" w:ascii="宋体" w:hAnsi="宋体" w:eastAsia="宋体" w:cs="宋体"/>
                <w:color w:val="auto"/>
                <w:spacing w:val="7"/>
                <w:sz w:val="22"/>
                <w:highlight w:val="none"/>
              </w:rPr>
              <w:t>电热水器</w:t>
            </w:r>
          </w:p>
        </w:tc>
        <w:tc>
          <w:tcPr>
            <w:tcW w:w="4079" w:type="dxa"/>
            <w:tcBorders>
              <w:tl2br w:val="nil"/>
              <w:tr2bl w:val="nil"/>
            </w:tcBorders>
          </w:tcPr>
          <w:p>
            <w:pPr>
              <w:spacing w:line="360" w:lineRule="exact"/>
              <w:ind w:hanging="2"/>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储水式电热水器能效限定值及</w:t>
            </w:r>
            <w:r>
              <w:rPr>
                <w:rFonts w:hint="eastAsia" w:ascii="宋体" w:hAnsi="宋体" w:eastAsia="宋体" w:cs="宋体"/>
                <w:color w:val="auto"/>
                <w:sz w:val="22"/>
                <w:highlight w:val="none"/>
              </w:rPr>
              <w:t xml:space="preserve"> </w:t>
            </w:r>
            <w:r>
              <w:rPr>
                <w:rFonts w:hint="eastAsia" w:ascii="宋体" w:hAnsi="宋体" w:eastAsia="宋体" w:cs="宋体"/>
                <w:color w:val="auto"/>
                <w:spacing w:val="16"/>
                <w:sz w:val="22"/>
                <w:highlight w:val="none"/>
              </w:rPr>
              <w:t>能</w:t>
            </w:r>
            <w:r>
              <w:rPr>
                <w:rFonts w:hint="eastAsia" w:ascii="宋体" w:hAnsi="宋体" w:eastAsia="宋体" w:cs="宋体"/>
                <w:color w:val="auto"/>
                <w:spacing w:val="13"/>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1</w:t>
            </w:r>
          </w:p>
        </w:tc>
        <w:tc>
          <w:tcPr>
            <w:tcW w:w="1166"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619 照明 </w:t>
            </w:r>
            <w:r>
              <w:rPr>
                <w:rFonts w:hint="eastAsia" w:ascii="宋体" w:hAnsi="宋体" w:eastAsia="宋体" w:cs="宋体"/>
                <w:color w:val="auto"/>
                <w:spacing w:val="4"/>
                <w:sz w:val="22"/>
                <w:highlight w:val="none"/>
              </w:rPr>
              <w:t>设</w:t>
            </w:r>
            <w:r>
              <w:rPr>
                <w:rFonts w:hint="eastAsia" w:ascii="宋体" w:hAnsi="宋体" w:eastAsia="宋体" w:cs="宋体"/>
                <w:color w:val="auto"/>
                <w:spacing w:val="3"/>
                <w:sz w:val="22"/>
                <w:highlight w:val="none"/>
              </w:rPr>
              <w:t>备</w:t>
            </w:r>
          </w:p>
        </w:tc>
        <w:tc>
          <w:tcPr>
            <w:tcW w:w="2149" w:type="dxa"/>
            <w:tcBorders>
              <w:tl2br w:val="nil"/>
              <w:tr2bl w:val="nil"/>
            </w:tcBorders>
            <w:vAlign w:val="center"/>
          </w:tcPr>
          <w:p>
            <w:pPr>
              <w:spacing w:line="360" w:lineRule="exact"/>
              <w:ind w:hanging="2"/>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pacing w:val="5"/>
                <w:sz w:val="22"/>
                <w:highlight w:val="none"/>
              </w:rPr>
              <w:t>普通照 明用双端</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荧光</w:t>
            </w:r>
            <w:r>
              <w:rPr>
                <w:rFonts w:hint="eastAsia" w:ascii="宋体" w:hAnsi="宋体" w:eastAsia="宋体" w:cs="宋体"/>
                <w:color w:val="auto"/>
                <w:spacing w:val="4"/>
                <w:sz w:val="22"/>
                <w:highlight w:val="none"/>
              </w:rPr>
              <w:t>灯</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普通照明用双端荧光灯能效限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2</w:t>
            </w:r>
          </w:p>
        </w:tc>
        <w:tc>
          <w:tcPr>
            <w:tcW w:w="1166"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020910</w:t>
            </w:r>
            <w:r>
              <w:rPr>
                <w:rFonts w:hint="eastAsia" w:ascii="宋体" w:hAnsi="宋体" w:eastAsia="宋体" w:cs="宋体"/>
                <w:color w:val="auto"/>
                <w:sz w:val="22"/>
                <w:highlight w:val="none"/>
              </w:rPr>
              <w:t xml:space="preserve"> 电 </w:t>
            </w:r>
            <w:r>
              <w:rPr>
                <w:rFonts w:hint="eastAsia" w:ascii="宋体" w:hAnsi="宋体" w:eastAsia="宋体" w:cs="宋体"/>
                <w:color w:val="auto"/>
                <w:spacing w:val="7"/>
                <w:sz w:val="22"/>
                <w:highlight w:val="none"/>
              </w:rPr>
              <w:t>视设</w:t>
            </w:r>
            <w:r>
              <w:rPr>
                <w:rFonts w:hint="eastAsia" w:ascii="宋体" w:hAnsi="宋体" w:eastAsia="宋体" w:cs="宋体"/>
                <w:color w:val="auto"/>
                <w:spacing w:val="6"/>
                <w:sz w:val="22"/>
                <w:highlight w:val="none"/>
              </w:rPr>
              <w:t>备</w:t>
            </w:r>
          </w:p>
        </w:tc>
        <w:tc>
          <w:tcPr>
            <w:tcW w:w="2149"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5"/>
                <w:sz w:val="22"/>
                <w:highlight w:val="none"/>
              </w:rPr>
              <w:t>02091001 普通电</w:t>
            </w:r>
            <w:r>
              <w:rPr>
                <w:rFonts w:hint="eastAsia" w:ascii="宋体" w:hAnsi="宋体" w:eastAsia="宋体" w:cs="宋体"/>
                <w:color w:val="auto"/>
                <w:spacing w:val="4"/>
                <w:sz w:val="22"/>
                <w:highlight w:val="none"/>
              </w:rPr>
              <w:t>视</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设备 (电视机</w:t>
            </w:r>
            <w:r>
              <w:rPr>
                <w:rFonts w:hint="eastAsia" w:ascii="宋体" w:hAnsi="宋体" w:eastAsia="宋体" w:cs="宋体"/>
                <w:color w:val="auto"/>
                <w:spacing w:val="4"/>
                <w:sz w:val="22"/>
                <w:highlight w:val="none"/>
              </w:rPr>
              <w:t>)</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平板电视能效限定值及能效等</w:t>
            </w:r>
            <w:r>
              <w:rPr>
                <w:rFonts w:hint="eastAsia" w:ascii="宋体" w:hAnsi="宋体" w:eastAsia="宋体" w:cs="宋体"/>
                <w:color w:val="auto"/>
                <w:sz w:val="22"/>
                <w:highlight w:val="none"/>
              </w:rPr>
              <w:t xml:space="preserve"> </w:t>
            </w:r>
            <w:r>
              <w:rPr>
                <w:rFonts w:hint="eastAsia" w:ascii="宋体" w:hAnsi="宋体" w:eastAsia="宋体" w:cs="宋体"/>
                <w:color w:val="auto"/>
                <w:spacing w:val="20"/>
                <w:sz w:val="22"/>
                <w:highlight w:val="none"/>
              </w:rPr>
              <w:t>级</w:t>
            </w:r>
            <w:r>
              <w:rPr>
                <w:rFonts w:hint="eastAsia" w:ascii="宋体" w:hAnsi="宋体" w:eastAsia="宋体" w:cs="宋体"/>
                <w:color w:val="auto"/>
                <w:spacing w:val="15"/>
                <w:sz w:val="22"/>
                <w:highlight w:val="none"/>
              </w:rPr>
              <w:t>》(</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3</w:t>
            </w:r>
          </w:p>
        </w:tc>
        <w:tc>
          <w:tcPr>
            <w:tcW w:w="1166" w:type="dxa"/>
            <w:tcBorders>
              <w:tl2br w:val="nil"/>
              <w:tr2bl w:val="nil"/>
            </w:tcBorders>
            <w:vAlign w:val="center"/>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020911</w:t>
            </w:r>
            <w:r>
              <w:rPr>
                <w:rFonts w:hint="eastAsia" w:ascii="宋体" w:hAnsi="宋体" w:eastAsia="宋体" w:cs="宋体"/>
                <w:color w:val="auto"/>
                <w:sz w:val="22"/>
                <w:highlight w:val="none"/>
              </w:rPr>
              <w:t xml:space="preserve"> 视 </w:t>
            </w:r>
            <w:r>
              <w:rPr>
                <w:rFonts w:hint="eastAsia" w:ascii="宋体" w:hAnsi="宋体" w:eastAsia="宋体" w:cs="宋体"/>
                <w:color w:val="auto"/>
                <w:spacing w:val="7"/>
                <w:sz w:val="22"/>
                <w:highlight w:val="none"/>
              </w:rPr>
              <w:t>频</w:t>
            </w:r>
            <w:r>
              <w:rPr>
                <w:rFonts w:hint="eastAsia" w:ascii="宋体" w:hAnsi="宋体" w:eastAsia="宋体" w:cs="宋体"/>
                <w:color w:val="auto"/>
                <w:spacing w:val="6"/>
                <w:sz w:val="22"/>
                <w:highlight w:val="none"/>
              </w:rPr>
              <w:t>设备</w:t>
            </w:r>
          </w:p>
        </w:tc>
        <w:tc>
          <w:tcPr>
            <w:tcW w:w="2149"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5"/>
                <w:sz w:val="22"/>
                <w:highlight w:val="none"/>
              </w:rPr>
              <w:t>02091107 视频监</w:t>
            </w:r>
            <w:r>
              <w:rPr>
                <w:rFonts w:hint="eastAsia" w:ascii="宋体" w:hAnsi="宋体" w:eastAsia="宋体" w:cs="宋体"/>
                <w:color w:val="auto"/>
                <w:spacing w:val="4"/>
                <w:sz w:val="22"/>
                <w:highlight w:val="none"/>
              </w:rPr>
              <w:t>控</w:t>
            </w:r>
            <w:r>
              <w:rPr>
                <w:rFonts w:hint="eastAsia" w:ascii="宋体" w:hAnsi="宋体" w:eastAsia="宋体" w:cs="宋体"/>
                <w:color w:val="auto"/>
                <w:sz w:val="22"/>
                <w:highlight w:val="none"/>
              </w:rPr>
              <w:t xml:space="preserve"> </w:t>
            </w:r>
            <w:r>
              <w:rPr>
                <w:rFonts w:hint="eastAsia" w:ascii="宋体" w:hAnsi="宋体" w:eastAsia="宋体" w:cs="宋体"/>
                <w:color w:val="auto"/>
                <w:spacing w:val="4"/>
                <w:sz w:val="22"/>
                <w:highlight w:val="none"/>
              </w:rPr>
              <w:t>设</w:t>
            </w:r>
            <w:r>
              <w:rPr>
                <w:rFonts w:hint="eastAsia" w:ascii="宋体" w:hAnsi="宋体" w:eastAsia="宋体" w:cs="宋体"/>
                <w:color w:val="auto"/>
                <w:spacing w:val="3"/>
                <w:sz w:val="22"/>
                <w:highlight w:val="none"/>
              </w:rPr>
              <w:t>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监</w:t>
            </w:r>
            <w:r>
              <w:rPr>
                <w:rFonts w:hint="eastAsia" w:ascii="宋体" w:hAnsi="宋体" w:eastAsia="宋体" w:cs="宋体"/>
                <w:color w:val="auto"/>
                <w:spacing w:val="6"/>
                <w:sz w:val="22"/>
                <w:highlight w:val="none"/>
              </w:rPr>
              <w:t>视器</w:t>
            </w:r>
          </w:p>
        </w:tc>
        <w:tc>
          <w:tcPr>
            <w:tcW w:w="4079" w:type="dxa"/>
            <w:tcBorders>
              <w:tl2br w:val="nil"/>
              <w:tr2bl w:val="nil"/>
            </w:tcBorders>
          </w:tcPr>
          <w:p>
            <w:pPr>
              <w:spacing w:line="360" w:lineRule="exact"/>
              <w:ind w:firstLine="23"/>
              <w:rPr>
                <w:rFonts w:hint="eastAsia" w:ascii="宋体" w:hAnsi="宋体" w:eastAsia="宋体" w:cs="宋体"/>
                <w:color w:val="auto"/>
                <w:sz w:val="22"/>
                <w:highlight w:val="none"/>
              </w:rPr>
            </w:pPr>
            <w:r>
              <w:rPr>
                <w:rFonts w:hint="eastAsia" w:ascii="宋体" w:hAnsi="宋体" w:eastAsia="宋体" w:cs="宋体"/>
                <w:color w:val="auto"/>
                <w:spacing w:val="18"/>
                <w:sz w:val="22"/>
                <w:highlight w:val="none"/>
              </w:rPr>
              <w:t>以射频信号为主要信号输入的监</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视</w:t>
            </w:r>
            <w:r>
              <w:rPr>
                <w:rFonts w:hint="eastAsia" w:ascii="宋体" w:hAnsi="宋体" w:eastAsia="宋体" w:cs="宋体"/>
                <w:color w:val="auto"/>
                <w:spacing w:val="8"/>
                <w:sz w:val="22"/>
                <w:highlight w:val="none"/>
              </w:rPr>
              <w:t>器</w:t>
            </w:r>
            <w:r>
              <w:rPr>
                <w:rFonts w:hint="eastAsia" w:ascii="宋体" w:hAnsi="宋体" w:eastAsia="宋体" w:cs="宋体"/>
                <w:color w:val="auto"/>
                <w:spacing w:val="5"/>
                <w:sz w:val="22"/>
                <w:highlight w:val="none"/>
              </w:rPr>
              <w:t>应符合《平板电视能效限定值</w:t>
            </w:r>
            <w:r>
              <w:rPr>
                <w:rFonts w:hint="eastAsia" w:ascii="宋体" w:hAnsi="宋体" w:eastAsia="宋体" w:cs="宋体"/>
                <w:color w:val="auto"/>
                <w:spacing w:val="14"/>
                <w:sz w:val="22"/>
                <w:highlight w:val="none"/>
              </w:rPr>
              <w:t>及</w:t>
            </w:r>
            <w:r>
              <w:rPr>
                <w:rFonts w:hint="eastAsia" w:ascii="宋体" w:hAnsi="宋体" w:eastAsia="宋体" w:cs="宋体"/>
                <w:color w:val="auto"/>
                <w:spacing w:val="13"/>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24850) ，</w:t>
            </w:r>
          </w:p>
          <w:p>
            <w:pPr>
              <w:spacing w:line="360" w:lineRule="exact"/>
              <w:ind w:firstLine="23"/>
              <w:rPr>
                <w:rFonts w:hint="eastAsia" w:ascii="宋体" w:hAnsi="宋体" w:eastAsia="宋体" w:cs="宋体"/>
                <w:color w:val="auto"/>
                <w:sz w:val="22"/>
                <w:highlight w:val="none"/>
              </w:rPr>
            </w:pPr>
            <w:r>
              <w:rPr>
                <w:rFonts w:hint="eastAsia" w:ascii="宋体" w:hAnsi="宋体" w:eastAsia="宋体" w:cs="宋体"/>
                <w:color w:val="auto"/>
                <w:spacing w:val="18"/>
                <w:sz w:val="22"/>
                <w:highlight w:val="none"/>
              </w:rPr>
              <w:t>以数字信号为主要信号输入的监</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视</w:t>
            </w:r>
            <w:r>
              <w:rPr>
                <w:rFonts w:hint="eastAsia" w:ascii="宋体" w:hAnsi="宋体" w:eastAsia="宋体" w:cs="宋体"/>
                <w:color w:val="auto"/>
                <w:spacing w:val="8"/>
                <w:sz w:val="22"/>
                <w:highlight w:val="none"/>
              </w:rPr>
              <w:t>器</w:t>
            </w:r>
            <w:r>
              <w:rPr>
                <w:rFonts w:hint="eastAsia" w:ascii="宋体" w:hAnsi="宋体" w:eastAsia="宋体" w:cs="宋体"/>
                <w:color w:val="auto"/>
                <w:spacing w:val="5"/>
                <w:sz w:val="22"/>
                <w:highlight w:val="none"/>
              </w:rPr>
              <w:t>应符合《计算机显示器能效限</w:t>
            </w:r>
            <w:r>
              <w:rPr>
                <w:rFonts w:hint="eastAsia" w:ascii="宋体" w:hAnsi="宋体" w:eastAsia="宋体" w:cs="宋体"/>
                <w:color w:val="auto"/>
                <w:spacing w:val="23"/>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5</w:t>
            </w:r>
          </w:p>
        </w:tc>
        <w:tc>
          <w:tcPr>
            <w:tcW w:w="1166"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060805</w:t>
            </w:r>
            <w:r>
              <w:rPr>
                <w:rFonts w:hint="eastAsia" w:ascii="宋体" w:hAnsi="宋体" w:eastAsia="宋体" w:cs="宋体"/>
                <w:color w:val="auto"/>
                <w:sz w:val="22"/>
                <w:highlight w:val="none"/>
              </w:rPr>
              <w:t xml:space="preserve"> 便 </w:t>
            </w:r>
            <w:r>
              <w:rPr>
                <w:rFonts w:hint="eastAsia" w:ascii="宋体" w:hAnsi="宋体" w:eastAsia="宋体" w:cs="宋体"/>
                <w:color w:val="auto"/>
                <w:spacing w:val="1"/>
                <w:sz w:val="22"/>
                <w:highlight w:val="none"/>
              </w:rPr>
              <w:t>器</w:t>
            </w: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坐</w:t>
            </w:r>
            <w:r>
              <w:rPr>
                <w:rFonts w:hint="eastAsia" w:ascii="宋体" w:hAnsi="宋体" w:eastAsia="宋体" w:cs="宋体"/>
                <w:color w:val="auto"/>
                <w:spacing w:val="6"/>
                <w:sz w:val="22"/>
                <w:highlight w:val="none"/>
              </w:rPr>
              <w:t>便器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hanging="4"/>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《坐便器水效限定值及水效等级》</w:t>
            </w:r>
            <w:r>
              <w:rPr>
                <w:rFonts w:hint="eastAsia" w:ascii="宋体" w:hAnsi="宋体" w:eastAsia="宋体" w:cs="宋体"/>
                <w:color w:val="auto"/>
                <w:sz w:val="22"/>
                <w:highlight w:val="none"/>
              </w:rPr>
              <w:t xml:space="preserve"> </w:t>
            </w:r>
            <w:r>
              <w:rPr>
                <w:rFonts w:hint="eastAsia" w:ascii="宋体" w:hAnsi="宋体" w:eastAsia="宋体" w:cs="宋体"/>
                <w:color w:val="auto"/>
                <w:spacing w:val="15"/>
                <w:sz w:val="22"/>
                <w:highlight w:val="none"/>
              </w:rPr>
              <w:t>(</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25502</w:t>
            </w:r>
            <w:r>
              <w:rPr>
                <w:rFonts w:hint="eastAsia" w:ascii="宋体" w:hAnsi="宋体" w:eastAsia="宋体" w:cs="宋体"/>
                <w:color w:val="auto"/>
                <w:spacing w:val="13"/>
                <w:sz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蹲便</w:t>
            </w:r>
            <w:r>
              <w:rPr>
                <w:rFonts w:hint="eastAsia" w:ascii="宋体" w:hAnsi="宋体" w:eastAsia="宋体" w:cs="宋体"/>
                <w:color w:val="auto"/>
                <w:spacing w:val="6"/>
                <w:sz w:val="22"/>
                <w:highlight w:val="none"/>
              </w:rPr>
              <w:t>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蹲便器用水效率限定值及用水</w:t>
            </w:r>
            <w:r>
              <w:rPr>
                <w:rFonts w:hint="eastAsia" w:ascii="宋体" w:hAnsi="宋体" w:eastAsia="宋体" w:cs="宋体"/>
                <w:color w:val="auto"/>
                <w:sz w:val="22"/>
                <w:highlight w:val="none"/>
              </w:rPr>
              <w:t xml:space="preserve"> </w:t>
            </w:r>
            <w:r>
              <w:rPr>
                <w:rFonts w:hint="eastAsia" w:ascii="宋体" w:hAnsi="宋体" w:eastAsia="宋体" w:cs="宋体"/>
                <w:color w:val="auto"/>
                <w:spacing w:val="16"/>
                <w:sz w:val="22"/>
                <w:highlight w:val="none"/>
              </w:rPr>
              <w:t>效</w:t>
            </w:r>
            <w:r>
              <w:rPr>
                <w:rFonts w:hint="eastAsia" w:ascii="宋体" w:hAnsi="宋体" w:eastAsia="宋体" w:cs="宋体"/>
                <w:color w:val="auto"/>
                <w:spacing w:val="14"/>
                <w:sz w:val="22"/>
                <w:highlight w:val="none"/>
              </w:rPr>
              <w:t>率等级》(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5"/>
                <w:sz w:val="22"/>
                <w:highlight w:val="none"/>
              </w:rPr>
              <w:t>小便</w:t>
            </w:r>
            <w:r>
              <w:rPr>
                <w:rFonts w:hint="eastAsia" w:ascii="宋体" w:hAnsi="宋体" w:eastAsia="宋体" w:cs="宋体"/>
                <w:color w:val="auto"/>
                <w:spacing w:val="4"/>
                <w:sz w:val="22"/>
                <w:highlight w:val="none"/>
              </w:rPr>
              <w:t>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小便器用水效率限定值及用水</w:t>
            </w:r>
            <w:r>
              <w:rPr>
                <w:rFonts w:hint="eastAsia" w:ascii="宋体" w:hAnsi="宋体" w:eastAsia="宋体" w:cs="宋体"/>
                <w:color w:val="auto"/>
                <w:sz w:val="22"/>
                <w:highlight w:val="none"/>
              </w:rPr>
              <w:t xml:space="preserve"> </w:t>
            </w:r>
            <w:r>
              <w:rPr>
                <w:rFonts w:hint="eastAsia" w:ascii="宋体" w:hAnsi="宋体" w:eastAsia="宋体" w:cs="宋体"/>
                <w:color w:val="auto"/>
                <w:spacing w:val="16"/>
                <w:sz w:val="22"/>
                <w:highlight w:val="none"/>
              </w:rPr>
              <w:t>效</w:t>
            </w:r>
            <w:r>
              <w:rPr>
                <w:rFonts w:hint="eastAsia" w:ascii="宋体" w:hAnsi="宋体" w:eastAsia="宋体" w:cs="宋体"/>
                <w:color w:val="auto"/>
                <w:spacing w:val="14"/>
                <w:sz w:val="22"/>
                <w:highlight w:val="none"/>
              </w:rPr>
              <w:t>率等级》(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28377)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6</w:t>
            </w:r>
          </w:p>
        </w:tc>
        <w:tc>
          <w:tcPr>
            <w:tcW w:w="1166" w:type="dxa"/>
            <w:tcBorders>
              <w:tl2br w:val="nil"/>
              <w:tr2bl w:val="nil"/>
            </w:tcBorders>
          </w:tcPr>
          <w:p>
            <w:pPr>
              <w:spacing w:line="360" w:lineRule="exact"/>
              <w:ind w:hanging="4"/>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060806</w:t>
            </w:r>
            <w:r>
              <w:rPr>
                <w:rFonts w:hint="eastAsia" w:ascii="宋体" w:hAnsi="宋体" w:eastAsia="宋体" w:cs="宋体"/>
                <w:color w:val="auto"/>
                <w:sz w:val="22"/>
                <w:highlight w:val="none"/>
              </w:rPr>
              <w:t xml:space="preserve"> 水嘴</w:t>
            </w:r>
          </w:p>
        </w:tc>
        <w:tc>
          <w:tcPr>
            <w:tcW w:w="2149" w:type="dxa"/>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水嘴用水效率限定值及用水效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23"/>
                <w:sz w:val="22"/>
                <w:highlight w:val="none"/>
              </w:rPr>
              <w:t>率</w:t>
            </w:r>
            <w:r>
              <w:rPr>
                <w:rFonts w:hint="eastAsia" w:ascii="宋体" w:hAnsi="宋体" w:eastAsia="宋体" w:cs="宋体"/>
                <w:color w:val="auto"/>
                <w:spacing w:val="14"/>
                <w:sz w:val="22"/>
                <w:highlight w:val="none"/>
              </w:rPr>
              <w:t>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25501)</w:t>
            </w:r>
          </w:p>
        </w:tc>
      </w:tr>
    </w:tbl>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p>
    <w:p>
      <w:pPr>
        <w:numPr>
          <w:ilvl w:val="0"/>
          <w:numId w:val="4"/>
        </w:numPr>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节能产品认证应依据相关国家标准的最新版本，依据国家标准中二级能效（水效）指标。 </w:t>
      </w:r>
    </w:p>
    <w:p>
      <w:pPr>
        <w:numPr>
          <w:ilvl w:val="0"/>
          <w:numId w:val="4"/>
        </w:numPr>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以“★”标注的为政府强制采购产品。</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8" w:name="_Hlk107568539"/>
      <w:r>
        <w:rPr>
          <w:rFonts w:hint="eastAsia" w:ascii="宋体" w:hAnsi="宋体" w:eastAsia="宋体" w:cs="宋体"/>
          <w:color w:val="auto"/>
          <w:sz w:val="22"/>
          <w:highlight w:val="none"/>
        </w:rPr>
        <w:t>鼓励采购单位优先采购秸秆环保板材等资源综合利用产品。鼓励采购单位优先采购绿色物流配送服务、提供新能源交通工具的租赁服务。</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7.2.3 鼓励供应商在参加政府采购过程中开展绿色设计、选择绿色材料、打造绿色制造工艺、开展绿色运输、做好废弃产品回收处理，实现产品全周期的绿色环保。</w:t>
      </w:r>
      <w:bookmarkEnd w:id="8"/>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7.3支持中小企业发展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符合中小企业划分标准的个体工商户，在政府采购活动中视同中小企业。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bCs/>
          <w:color w:val="auto"/>
          <w:sz w:val="22"/>
          <w:highlight w:val="none"/>
        </w:rPr>
        <w:t>7.3.2</w:t>
      </w:r>
      <w:r>
        <w:rPr>
          <w:rFonts w:hint="eastAsia" w:ascii="宋体" w:hAnsi="宋体" w:eastAsia="宋体" w:cs="宋体"/>
          <w:color w:val="auto"/>
          <w:kern w:val="0"/>
          <w:sz w:val="22"/>
          <w:highlight w:val="none"/>
        </w:rPr>
        <w:t>在政府采购活动中，投标人提供的货物、工程或者服务符合下列情形的，享受中小企业扶持政策：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7.3.2.2在工程采购项目中，工程由中小企业承建，即工程施工单位为中小企业；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w:t>
      </w:r>
      <w:r>
        <w:rPr>
          <w:rFonts w:hint="eastAsia" w:ascii="宋体" w:hAnsi="宋体" w:eastAsia="宋体" w:cs="宋体"/>
          <w:bCs/>
          <w:color w:val="auto"/>
          <w:sz w:val="22"/>
          <w:highlight w:val="none"/>
        </w:rPr>
        <w:t>支持创新发展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7.4.1采购人优先采购被认定为首台套产品和“制造精品”的自主创新产品。</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7.5平等对待内外资企业和符合条件的破产重整企业</w:t>
      </w:r>
    </w:p>
    <w:p>
      <w:pPr>
        <w:snapToGrid w:val="0"/>
        <w:spacing w:line="360" w:lineRule="exact"/>
        <w:ind w:firstLine="442" w:firstLineChars="201"/>
        <w:rPr>
          <w:rFonts w:hint="eastAsia" w:ascii="宋体" w:hAnsi="宋体" w:eastAsia="宋体" w:cs="宋体"/>
          <w:color w:val="auto"/>
          <w:highlight w:val="none"/>
        </w:rPr>
      </w:pPr>
      <w:r>
        <w:rPr>
          <w:rFonts w:hint="eastAsia" w:ascii="宋体" w:hAnsi="宋体" w:eastAsia="宋体" w:cs="宋体"/>
          <w:color w:val="auto"/>
          <w:sz w:val="22"/>
          <w:highlight w:val="none"/>
        </w:rPr>
        <w:t>平等对待内外资企业和符合条件的破产重整企业，切实保障企业公平竞争，平等维护企业的合法利益。</w:t>
      </w:r>
    </w:p>
    <w:p>
      <w:pPr>
        <w:spacing w:line="400" w:lineRule="exact"/>
        <w:ind w:firstLine="522" w:firstLineChars="200"/>
        <w:jc w:val="center"/>
        <w:outlineLvl w:val="1"/>
        <w:rPr>
          <w:rFonts w:hint="eastAsia" w:ascii="宋体" w:hAnsi="宋体" w:eastAsia="宋体" w:cs="宋体"/>
          <w:b/>
          <w:color w:val="auto"/>
          <w:sz w:val="26"/>
          <w:highlight w:val="none"/>
        </w:rPr>
      </w:pPr>
      <w:bookmarkStart w:id="9" w:name="_Toc26092"/>
      <w:r>
        <w:rPr>
          <w:rFonts w:hint="eastAsia" w:ascii="宋体" w:hAnsi="宋体" w:eastAsia="宋体" w:cs="宋体"/>
          <w:b/>
          <w:color w:val="auto"/>
          <w:sz w:val="26"/>
          <w:highlight w:val="none"/>
        </w:rPr>
        <w:t>二、招标文件</w:t>
      </w:r>
      <w:bookmarkEnd w:id="9"/>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1.招标文件由招标文件目录所列内容及相关资料组成。</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2.质疑</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2.2投标人提出质疑应当提交质疑函和必要的证明材料，质疑函范本请到“浙江政府采购网下载专区”下载，质疑函应当包括下列内容：</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（一）投标人的姓名或者名称、地址、邮编、联系人及联系方式；</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（二）质疑项目的名称、编号；</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（三）具体、明确的质疑事项和与质疑事项相关的请求；</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（四）事实依据；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（五）必要的法律依据；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（六）提出质疑的日期。</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2.3提出质疑的投标人应当是参与本项目招标活动的投标人。</w:t>
      </w:r>
      <w:r>
        <w:rPr>
          <w:rFonts w:hint="eastAsia" w:ascii="宋体" w:hAnsi="宋体" w:eastAsia="宋体" w:cs="宋体"/>
          <w:b/>
          <w:bCs/>
          <w:color w:val="auto"/>
          <w:spacing w:val="6"/>
          <w:sz w:val="22"/>
          <w:highlight w:val="none"/>
        </w:rPr>
        <w:t>投标人在法定质疑期内一次性提出针对同一采购程序环节的质疑。</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2.4根据《政府采购质疑和投诉办法》第三十七条的规定，投诉人在全国范围12个月内三次以上投诉查无实据的，由财政部门列入不良行为记录名单。</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投诉人有下列行为之一的，属于虚假、恶意投诉，由财政部门列入不良行为记录名单，禁止其1至3年内参加政府采购活动：</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（一）捏造事实；</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（二）提供虚假材料；</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（三）以非法手段取得证明材料。证据来源的合法性存在明显疑问，投诉人无法证明其取得方式合法的，视为以非法手段取得证明材料。</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3.投诉</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以联合体形式参加政府采购活动的，其质疑或投诉应当由组成联合体的所有供应商共同提出。</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4.澄清或修改</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4.1采购人或者采购代理机构可以对已发出的招标文件进行必要的澄清或者修改。澄清或者修改</w:t>
      </w:r>
      <w:r>
        <w:rPr>
          <w:rStyle w:val="34"/>
          <w:rFonts w:hint="eastAsia" w:ascii="宋体" w:hAnsi="宋体" w:eastAsia="宋体" w:cs="宋体"/>
          <w:b w:val="0"/>
          <w:color w:val="auto"/>
          <w:sz w:val="22"/>
          <w:highlight w:val="none"/>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eastAsia="宋体" w:cs="宋体"/>
          <w:color w:val="auto"/>
          <w:spacing w:val="6"/>
          <w:sz w:val="22"/>
          <w:highlight w:val="none"/>
        </w:rPr>
        <w:t>澄清或者修改的内容为招标文件的组成部分。</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4.2澄清或者修改的内容可能影响投标文件编制的，采购人或者采购代理机构应当在投标文件提交截止时间至少15日前，以书面形式（</w:t>
      </w:r>
      <w:r>
        <w:rPr>
          <w:rStyle w:val="34"/>
          <w:rFonts w:hint="eastAsia" w:ascii="宋体" w:hAnsi="宋体" w:eastAsia="宋体" w:cs="宋体"/>
          <w:b w:val="0"/>
          <w:color w:val="auto"/>
          <w:sz w:val="22"/>
          <w:highlight w:val="none"/>
        </w:rPr>
        <w:t>在浙江政府采购网上发布公告</w:t>
      </w:r>
      <w:r>
        <w:rPr>
          <w:rFonts w:hint="eastAsia" w:ascii="宋体" w:hAnsi="宋体" w:eastAsia="宋体" w:cs="宋体"/>
          <w:color w:val="auto"/>
          <w:spacing w:val="6"/>
          <w:sz w:val="22"/>
          <w:highlight w:val="none"/>
        </w:rPr>
        <w:t>）通知所有获取招标文件的潜在投标人；不足15日的，采购人或者采购代理机构应当顺延提交投标文件的截止时间。</w:t>
      </w:r>
    </w:p>
    <w:p>
      <w:pPr>
        <w:spacing w:line="400" w:lineRule="exact"/>
        <w:ind w:firstLine="522" w:firstLineChars="200"/>
        <w:jc w:val="center"/>
        <w:rPr>
          <w:rFonts w:hint="eastAsia" w:ascii="宋体" w:hAnsi="宋体" w:eastAsia="宋体" w:cs="宋体"/>
          <w:b/>
          <w:color w:val="auto"/>
          <w:sz w:val="26"/>
          <w:highlight w:val="none"/>
        </w:rPr>
      </w:pPr>
    </w:p>
    <w:p>
      <w:pPr>
        <w:spacing w:line="400" w:lineRule="exact"/>
        <w:ind w:firstLine="522" w:firstLineChars="200"/>
        <w:jc w:val="center"/>
        <w:outlineLvl w:val="1"/>
        <w:rPr>
          <w:rFonts w:hint="eastAsia" w:ascii="宋体" w:hAnsi="宋体" w:eastAsia="宋体" w:cs="宋体"/>
          <w:color w:val="auto"/>
          <w:sz w:val="22"/>
          <w:highlight w:val="none"/>
        </w:rPr>
      </w:pPr>
      <w:bookmarkStart w:id="10" w:name="_Toc14601"/>
      <w:r>
        <w:rPr>
          <w:rFonts w:hint="eastAsia" w:ascii="宋体" w:hAnsi="宋体" w:eastAsia="宋体" w:cs="宋体"/>
          <w:b/>
          <w:color w:val="auto"/>
          <w:sz w:val="26"/>
          <w:highlight w:val="none"/>
        </w:rPr>
        <w:t>三、投标文件的编制</w:t>
      </w:r>
      <w:bookmarkEnd w:id="10"/>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1.投标文件的形式</w:t>
      </w:r>
    </w:p>
    <w:p>
      <w:pPr>
        <w:pStyle w:val="15"/>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投标文件分为电子投标文件以及备份投标文件，备份文件为以介质存储的数据电文形式的备份投标文件。</w:t>
      </w:r>
    </w:p>
    <w:p>
      <w:pPr>
        <w:spacing w:line="360" w:lineRule="exact"/>
        <w:ind w:firstLine="442" w:firstLineChars="200"/>
        <w:rPr>
          <w:rFonts w:hint="eastAsia" w:ascii="宋体" w:hAnsi="宋体" w:eastAsia="宋体" w:cs="宋体"/>
          <w:color w:val="auto"/>
          <w:kern w:val="0"/>
          <w:sz w:val="22"/>
          <w:highlight w:val="none"/>
        </w:rPr>
      </w:pPr>
      <w:r>
        <w:rPr>
          <w:rFonts w:hint="eastAsia" w:ascii="宋体" w:hAnsi="宋体" w:eastAsia="宋体" w:cs="宋体"/>
          <w:b/>
          <w:bCs/>
          <w:color w:val="auto"/>
          <w:sz w:val="22"/>
          <w:highlight w:val="none"/>
        </w:rPr>
        <w:t>1.1电子投标文件，通过政采云电子交易客户端（政采云投标客户端）完成投标文件编制后生成并加密的数据电文形式的投标文件（文件扩展名为.jmbs）</w:t>
      </w:r>
      <w:r>
        <w:rPr>
          <w:rFonts w:hint="eastAsia" w:ascii="宋体" w:hAnsi="宋体" w:eastAsia="宋体" w:cs="宋体"/>
          <w:color w:val="auto"/>
          <w:kern w:val="0"/>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1.2以介质存储的数据电文形式的备份投标文件：</w:t>
      </w:r>
      <w:r>
        <w:rPr>
          <w:rStyle w:val="34"/>
          <w:rFonts w:hint="eastAsia" w:ascii="宋体" w:hAnsi="宋体" w:eastAsia="宋体" w:cs="宋体"/>
          <w:bCs/>
          <w:color w:val="auto"/>
          <w:sz w:val="22"/>
          <w:highlight w:val="none"/>
        </w:rPr>
        <w:t>与“电子投标文件”同时生成的数据电文形式的备份投标文件</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文件扩展名为</w:t>
      </w:r>
      <w:r>
        <w:rPr>
          <w:rFonts w:hint="eastAsia" w:ascii="宋体" w:hAnsi="宋体" w:eastAsia="宋体" w:cs="宋体"/>
          <w:b/>
          <w:bCs/>
          <w:color w:val="auto"/>
          <w:sz w:val="22"/>
          <w:highlight w:val="none"/>
        </w:rPr>
        <w:t>.bfbs)，</w:t>
      </w:r>
      <w:r>
        <w:rPr>
          <w:rFonts w:hint="eastAsia" w:ascii="宋体" w:hAnsi="宋体" w:eastAsia="宋体" w:cs="宋体"/>
          <w:b/>
          <w:bCs/>
          <w:color w:val="auto"/>
          <w:sz w:val="22"/>
          <w:highlight w:val="none"/>
          <w:lang w:val="zh-CN"/>
        </w:rPr>
        <w:t>投标文件提交截止时间前以电子邮件方式传送至浙江乐诚工程咨询有限公司电子邮箱</w:t>
      </w:r>
      <w:r>
        <w:rPr>
          <w:rFonts w:hint="eastAsia" w:ascii="宋体" w:hAnsi="宋体" w:eastAsia="宋体" w:cs="宋体"/>
          <w:b/>
          <w:bCs/>
          <w:color w:val="auto"/>
          <w:sz w:val="22"/>
          <w:highlight w:val="none"/>
          <w:lang w:eastAsia="zh-CN"/>
        </w:rPr>
        <w:t>2812799762</w:t>
      </w:r>
      <w:r>
        <w:rPr>
          <w:rFonts w:hint="eastAsia" w:ascii="宋体" w:hAnsi="宋体" w:eastAsia="宋体" w:cs="宋体"/>
          <w:b/>
          <w:bCs/>
          <w:color w:val="auto"/>
          <w:sz w:val="22"/>
          <w:highlight w:val="none"/>
        </w:rPr>
        <w:t>@qq.com，</w:t>
      </w:r>
      <w:r>
        <w:rPr>
          <w:rFonts w:hint="eastAsia" w:ascii="宋体" w:hAnsi="宋体" w:eastAsia="宋体" w:cs="宋体"/>
          <w:b/>
          <w:bCs/>
          <w:color w:val="auto"/>
          <w:sz w:val="22"/>
          <w:highlight w:val="none"/>
          <w:lang w:val="zh-CN"/>
        </w:rPr>
        <w:t>递交</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val="zh-CN"/>
        </w:rPr>
        <w:t>份</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传送的备份投标文件需打包压缩并加密</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加密密码由投标人自行保管</w:t>
      </w:r>
      <w:r>
        <w:rPr>
          <w:rFonts w:hint="eastAsia" w:ascii="宋体" w:hAnsi="宋体" w:eastAsia="宋体" w:cs="宋体"/>
          <w:b/>
          <w:bCs/>
          <w:color w:val="auto"/>
          <w:sz w:val="22"/>
          <w:highlight w:val="none"/>
        </w:rPr>
        <w:t>，未加密导致投标信息泄露的风险由投标人自行承担</w:t>
      </w:r>
      <w:r>
        <w:rPr>
          <w:rStyle w:val="34"/>
          <w:rFonts w:hint="eastAsia" w:ascii="宋体" w:hAnsi="宋体" w:eastAsia="宋体" w:cs="宋体"/>
          <w:bCs/>
          <w:color w:val="auto"/>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1.3 投标文件的效力</w:t>
      </w:r>
    </w:p>
    <w:p>
      <w:pPr>
        <w:spacing w:line="360" w:lineRule="exact"/>
        <w:ind w:firstLine="442" w:firstLineChars="200"/>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2.投标人应认真阅读招标文件中所有事项格式、条款和技术规范等。</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投标人没有对招标文件各个方面做出实质性响应，导致投标被拒绝的风险由投标人自行承担。</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3.</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rPr>
        <w:t>4.投标文件的构成：</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（1）报价文件</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1）开标一览表；（见附件1）</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2）投标报价明细表；（见附件2）</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）中小企业声明函（货物）</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附件3</w:t>
      </w:r>
      <w:r>
        <w:rPr>
          <w:rFonts w:hint="eastAsia" w:ascii="宋体" w:hAnsi="宋体" w:eastAsia="宋体" w:cs="宋体"/>
          <w:color w:val="auto"/>
          <w:sz w:val="22"/>
          <w:highlight w:val="none"/>
        </w:rPr>
        <w:t>）</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投标报价部分其他内容（如有，格式自拟）。</w:t>
      </w:r>
    </w:p>
    <w:p>
      <w:pPr>
        <w:tabs>
          <w:tab w:val="left" w:pos="535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（2）资格文件：（见</w:t>
      </w:r>
      <w:r>
        <w:rPr>
          <w:rFonts w:hint="eastAsia" w:ascii="宋体" w:hAnsi="宋体" w:eastAsia="宋体" w:cs="宋体"/>
          <w:b/>
          <w:bCs/>
          <w:color w:val="auto"/>
          <w:sz w:val="22"/>
          <w:highlight w:val="none"/>
          <w:lang w:eastAsia="zh-CN"/>
        </w:rPr>
        <w:t>附件4</w:t>
      </w:r>
      <w:r>
        <w:rPr>
          <w:rFonts w:hint="eastAsia" w:ascii="宋体" w:hAnsi="宋体" w:eastAsia="宋体" w:cs="宋体"/>
          <w:b/>
          <w:bCs/>
          <w:color w:val="auto"/>
          <w:sz w:val="22"/>
          <w:highlight w:val="none"/>
        </w:rPr>
        <w:t>）</w:t>
      </w:r>
    </w:p>
    <w:p>
      <w:pPr>
        <w:autoSpaceDE w:val="0"/>
        <w:autoSpaceDN w:val="0"/>
        <w:adjustRightInd w:val="0"/>
        <w:snapToGrid w:val="0"/>
        <w:spacing w:line="360" w:lineRule="exact"/>
        <w:ind w:firstLine="416" w:firstLineChars="200"/>
        <w:textAlignment w:val="bottom"/>
        <w:rPr>
          <w:rFonts w:hint="eastAsia" w:ascii="宋体" w:hAnsi="宋体" w:eastAsia="宋体" w:cs="宋体"/>
          <w:b/>
          <w:bCs/>
          <w:snapToGrid w:val="0"/>
          <w:color w:val="auto"/>
          <w:sz w:val="22"/>
          <w:highlight w:val="none"/>
        </w:rPr>
      </w:pPr>
      <w:r>
        <w:rPr>
          <w:rFonts w:hint="eastAsia" w:ascii="宋体" w:hAnsi="宋体" w:eastAsia="宋体" w:cs="宋体"/>
          <w:color w:val="auto"/>
          <w:spacing w:val="-6"/>
          <w:sz w:val="22"/>
          <w:highlight w:val="none"/>
        </w:rPr>
        <w:t>1）</w:t>
      </w:r>
      <w:r>
        <w:rPr>
          <w:rFonts w:hint="eastAsia" w:ascii="宋体" w:hAnsi="宋体" w:eastAsia="宋体" w:cs="宋体"/>
          <w:snapToGrid w:val="0"/>
          <w:color w:val="auto"/>
          <w:sz w:val="22"/>
          <w:highlight w:val="none"/>
        </w:rPr>
        <w:t>有效的法人或者其他组织的营业执照等证明文件，自然人的身份证明（五选一）</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附件4</w:t>
      </w:r>
      <w:r>
        <w:rPr>
          <w:rFonts w:hint="eastAsia" w:ascii="宋体" w:hAnsi="宋体" w:eastAsia="宋体" w:cs="宋体"/>
          <w:color w:val="auto"/>
          <w:sz w:val="22"/>
          <w:highlight w:val="none"/>
        </w:rPr>
        <w:t>-1）</w:t>
      </w:r>
      <w:r>
        <w:rPr>
          <w:rFonts w:hint="eastAsia" w:ascii="宋体" w:hAnsi="宋体" w:eastAsia="宋体" w:cs="宋体"/>
          <w:b/>
          <w:bCs/>
          <w:color w:val="auto"/>
          <w:sz w:val="22"/>
          <w:highlight w:val="none"/>
          <w:u w:val="single"/>
        </w:rPr>
        <w:t>（如为联合体投标，则联合体各方均须提供）</w:t>
      </w:r>
    </w:p>
    <w:p>
      <w:pPr>
        <w:tabs>
          <w:tab w:val="left" w:pos="0"/>
        </w:tabs>
        <w:adjustRightInd w:val="0"/>
        <w:snapToGrid w:val="0"/>
        <w:spacing w:line="360" w:lineRule="exact"/>
        <w:ind w:firstLine="416" w:firstLineChars="200"/>
        <w:rPr>
          <w:rFonts w:hint="eastAsia" w:ascii="宋体" w:hAnsi="宋体" w:eastAsia="宋体" w:cs="宋体"/>
          <w:color w:val="auto"/>
          <w:highlight w:val="none"/>
        </w:rPr>
      </w:pPr>
      <w:r>
        <w:rPr>
          <w:rFonts w:hint="eastAsia" w:ascii="宋体" w:hAnsi="宋体" w:eastAsia="宋体" w:cs="宋体"/>
          <w:color w:val="auto"/>
          <w:spacing w:val="-6"/>
          <w:sz w:val="22"/>
          <w:highlight w:val="none"/>
        </w:rPr>
        <w:t>2）</w:t>
      </w:r>
      <w:r>
        <w:rPr>
          <w:rFonts w:hint="eastAsia" w:ascii="宋体" w:hAnsi="宋体" w:eastAsia="宋体" w:cs="宋体"/>
          <w:snapToGrid w:val="0"/>
          <w:color w:val="auto"/>
          <w:sz w:val="22"/>
          <w:highlight w:val="none"/>
        </w:rPr>
        <w:t>关于符合《中华人民共和国政府采购法》第二十二条规定的承诺函</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附件4</w:t>
      </w:r>
      <w:r>
        <w:rPr>
          <w:rFonts w:hint="eastAsia" w:ascii="宋体" w:hAnsi="宋体" w:eastAsia="宋体" w:cs="宋体"/>
          <w:color w:val="auto"/>
          <w:sz w:val="22"/>
          <w:highlight w:val="none"/>
        </w:rPr>
        <w:t>-2）</w:t>
      </w:r>
      <w:r>
        <w:rPr>
          <w:rFonts w:hint="eastAsia" w:ascii="宋体" w:hAnsi="宋体" w:eastAsia="宋体" w:cs="宋体"/>
          <w:b/>
          <w:bCs/>
          <w:color w:val="auto"/>
          <w:sz w:val="22"/>
          <w:highlight w:val="none"/>
          <w:u w:val="single"/>
        </w:rPr>
        <w:t>（如为联合体投标，则联合体各方均须提供，并各自加盖公章）</w:t>
      </w:r>
    </w:p>
    <w:p>
      <w:pPr>
        <w:autoSpaceDE w:val="0"/>
        <w:autoSpaceDN w:val="0"/>
        <w:adjustRightInd w:val="0"/>
        <w:snapToGrid w:val="0"/>
        <w:spacing w:line="360" w:lineRule="exact"/>
        <w:ind w:firstLine="440" w:firstLineChars="200"/>
        <w:textAlignment w:val="bottom"/>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rPr>
        <w:t>3）联合体投标协议书</w:t>
      </w:r>
      <w:r>
        <w:rPr>
          <w:rFonts w:hint="eastAsia" w:ascii="宋体" w:hAnsi="宋体" w:eastAsia="宋体" w:cs="宋体"/>
          <w:snapToGrid w:val="0"/>
          <w:color w:val="auto"/>
          <w:sz w:val="22"/>
          <w:highlight w:val="none"/>
        </w:rPr>
        <w:t>（见</w:t>
      </w:r>
      <w:r>
        <w:rPr>
          <w:rFonts w:hint="eastAsia" w:ascii="宋体" w:hAnsi="宋体" w:eastAsia="宋体" w:cs="宋体"/>
          <w:snapToGrid w:val="0"/>
          <w:color w:val="auto"/>
          <w:sz w:val="22"/>
          <w:highlight w:val="none"/>
          <w:lang w:eastAsia="zh-CN"/>
        </w:rPr>
        <w:t>附件4-3</w:t>
      </w:r>
      <w:r>
        <w:rPr>
          <w:rFonts w:hint="eastAsia" w:ascii="宋体" w:hAnsi="宋体" w:eastAsia="宋体" w:cs="宋体"/>
          <w:snapToGrid w:val="0"/>
          <w:color w:val="auto"/>
          <w:sz w:val="22"/>
          <w:highlight w:val="none"/>
        </w:rPr>
        <w:t>）</w:t>
      </w:r>
      <w:r>
        <w:rPr>
          <w:rFonts w:hint="eastAsia" w:ascii="宋体" w:hAnsi="宋体" w:eastAsia="宋体" w:cs="宋体"/>
          <w:b/>
          <w:bCs/>
          <w:color w:val="auto"/>
          <w:sz w:val="22"/>
          <w:highlight w:val="none"/>
          <w:u w:val="single"/>
        </w:rPr>
        <w:t>(以联合体形式投标的提供联合投标协议，项目不接受联合体投标或投标人不以联合体形式投标的则不需要提供）</w:t>
      </w:r>
    </w:p>
    <w:p>
      <w:pPr>
        <w:pStyle w:val="3"/>
        <w:spacing w:line="360" w:lineRule="exact"/>
        <w:ind w:left="0" w:firstLine="442" w:firstLineChars="200"/>
        <w:rPr>
          <w:rFonts w:hint="eastAsia" w:ascii="宋体" w:hAnsi="宋体" w:eastAsia="宋体" w:cs="宋体"/>
          <w:color w:val="auto"/>
          <w:highlight w:val="none"/>
        </w:rPr>
      </w:pPr>
      <w:r>
        <w:rPr>
          <w:rFonts w:hint="eastAsia" w:ascii="宋体" w:hAnsi="宋体" w:eastAsia="宋体" w:cs="宋体"/>
          <w:b/>
          <w:bCs/>
          <w:color w:val="auto"/>
          <w:sz w:val="22"/>
          <w:highlight w:val="none"/>
          <w:lang w:val="en-US" w:eastAsia="zh-CN"/>
        </w:rPr>
        <w:t>4</w:t>
      </w:r>
      <w:r>
        <w:rPr>
          <w:rFonts w:hint="eastAsia" w:ascii="宋体" w:hAnsi="宋体" w:eastAsia="宋体" w:cs="宋体"/>
          <w:b/>
          <w:bCs/>
          <w:color w:val="auto"/>
          <w:sz w:val="22"/>
          <w:highlight w:val="none"/>
        </w:rPr>
        <w:t>）</w:t>
      </w:r>
      <w:r>
        <w:rPr>
          <w:rFonts w:hint="eastAsia" w:ascii="宋体" w:hAnsi="宋体" w:eastAsia="宋体" w:cs="宋体"/>
          <w:color w:val="auto"/>
          <w:sz w:val="22"/>
          <w:highlight w:val="none"/>
        </w:rPr>
        <w:t>分包意向协议（见</w:t>
      </w:r>
      <w:r>
        <w:rPr>
          <w:rFonts w:hint="eastAsia" w:ascii="宋体" w:hAnsi="宋体" w:eastAsia="宋体" w:cs="宋体"/>
          <w:color w:val="auto"/>
          <w:sz w:val="22"/>
          <w:highlight w:val="none"/>
          <w:lang w:eastAsia="zh-CN"/>
        </w:rPr>
        <w:t>附件4-4</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u w:val="single"/>
        </w:rPr>
        <w:t>(中标后以分包方式履行合同的提供分包意向协议，采购人不同意分包或中标后不以分包方式履行合同的则不需要提供）</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（3）商务和技术文件</w:t>
      </w:r>
    </w:p>
    <w:p>
      <w:pPr>
        <w:tabs>
          <w:tab w:val="left" w:pos="5355"/>
        </w:tabs>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1）评分索引表（见</w:t>
      </w:r>
      <w:r>
        <w:rPr>
          <w:rFonts w:hint="eastAsia" w:ascii="宋体" w:hAnsi="宋体" w:eastAsia="宋体" w:cs="宋体"/>
          <w:color w:val="auto"/>
          <w:sz w:val="22"/>
          <w:highlight w:val="none"/>
          <w:lang w:eastAsia="zh-CN"/>
        </w:rPr>
        <w:t>附件5</w:t>
      </w:r>
      <w:r>
        <w:rPr>
          <w:rFonts w:hint="eastAsia" w:ascii="宋体" w:hAnsi="宋体" w:eastAsia="宋体" w:cs="宋体"/>
          <w:color w:val="auto"/>
          <w:sz w:val="22"/>
          <w:highlight w:val="none"/>
        </w:rPr>
        <w:t>）</w:t>
      </w:r>
    </w:p>
    <w:p>
      <w:pPr>
        <w:tabs>
          <w:tab w:val="left" w:pos="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2）法定代表人资格证明书/法定代表人授权委托书；（见附</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3）投标函（见</w:t>
      </w:r>
      <w:r>
        <w:rPr>
          <w:rFonts w:hint="eastAsia" w:ascii="宋体" w:hAnsi="宋体" w:eastAsia="宋体" w:cs="宋体"/>
          <w:color w:val="auto"/>
          <w:sz w:val="22"/>
          <w:highlight w:val="none"/>
          <w:lang w:eastAsia="zh-CN"/>
        </w:rPr>
        <w:t>附件7</w:t>
      </w:r>
      <w:r>
        <w:rPr>
          <w:rFonts w:hint="eastAsia" w:ascii="宋体" w:hAnsi="宋体" w:eastAsia="宋体" w:cs="宋体"/>
          <w:color w:val="auto"/>
          <w:sz w:val="22"/>
          <w:highlight w:val="none"/>
        </w:rPr>
        <w:t>）</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4）投标声明书（见</w:t>
      </w:r>
      <w:r>
        <w:rPr>
          <w:rFonts w:hint="eastAsia" w:ascii="宋体" w:hAnsi="宋体" w:eastAsia="宋体" w:cs="宋体"/>
          <w:color w:val="auto"/>
          <w:sz w:val="22"/>
          <w:highlight w:val="none"/>
          <w:lang w:eastAsia="zh-CN"/>
        </w:rPr>
        <w:t>附件8</w:t>
      </w:r>
      <w:r>
        <w:rPr>
          <w:rFonts w:hint="eastAsia" w:ascii="宋体" w:hAnsi="宋体" w:eastAsia="宋体" w:cs="宋体"/>
          <w:color w:val="auto"/>
          <w:sz w:val="22"/>
          <w:highlight w:val="none"/>
        </w:rPr>
        <w:t xml:space="preserve">）  </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5）投标人基本情况表（见</w:t>
      </w:r>
      <w:r>
        <w:rPr>
          <w:rFonts w:hint="eastAsia" w:ascii="宋体" w:hAnsi="宋体" w:eastAsia="宋体" w:cs="宋体"/>
          <w:color w:val="auto"/>
          <w:sz w:val="22"/>
          <w:highlight w:val="none"/>
          <w:lang w:eastAsia="zh-CN"/>
        </w:rPr>
        <w:t>附件9</w:t>
      </w:r>
      <w:r>
        <w:rPr>
          <w:rFonts w:hint="eastAsia" w:ascii="宋体" w:hAnsi="宋体" w:eastAsia="宋体" w:cs="宋体"/>
          <w:color w:val="auto"/>
          <w:sz w:val="22"/>
          <w:highlight w:val="none"/>
        </w:rPr>
        <w:t xml:space="preserve">）                </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6）节能、环保产品证明材料（如有）（见</w:t>
      </w:r>
      <w:r>
        <w:rPr>
          <w:rFonts w:hint="eastAsia" w:ascii="宋体" w:hAnsi="宋体" w:eastAsia="宋体" w:cs="宋体"/>
          <w:color w:val="auto"/>
          <w:sz w:val="22"/>
          <w:highlight w:val="none"/>
          <w:lang w:eastAsia="zh-CN"/>
        </w:rPr>
        <w:t>附件10</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7）投标人同类项目业绩一览表（如有）（见</w:t>
      </w:r>
      <w:r>
        <w:rPr>
          <w:rFonts w:hint="eastAsia" w:ascii="宋体" w:hAnsi="宋体" w:eastAsia="宋体" w:cs="宋体"/>
          <w:color w:val="auto"/>
          <w:sz w:val="22"/>
          <w:highlight w:val="none"/>
          <w:lang w:eastAsia="zh-CN"/>
        </w:rPr>
        <w:t>附件11</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8）采购需求偏离表（见</w:t>
      </w:r>
      <w:r>
        <w:rPr>
          <w:rFonts w:hint="eastAsia" w:ascii="宋体" w:hAnsi="宋体" w:eastAsia="宋体" w:cs="宋体"/>
          <w:color w:val="auto"/>
          <w:sz w:val="22"/>
          <w:highlight w:val="none"/>
          <w:lang w:eastAsia="zh-CN"/>
        </w:rPr>
        <w:t>附件12</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9）货物配置清单（见</w:t>
      </w:r>
      <w:r>
        <w:rPr>
          <w:rFonts w:hint="eastAsia" w:ascii="宋体" w:hAnsi="宋体" w:eastAsia="宋体" w:cs="宋体"/>
          <w:color w:val="auto"/>
          <w:sz w:val="22"/>
          <w:highlight w:val="none"/>
          <w:lang w:eastAsia="zh-CN"/>
        </w:rPr>
        <w:t>附件13</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10）常用材料、零配件及备品备件报价清单（见</w:t>
      </w:r>
      <w:r>
        <w:rPr>
          <w:rFonts w:hint="eastAsia" w:ascii="宋体" w:hAnsi="宋体" w:eastAsia="宋体" w:cs="宋体"/>
          <w:color w:val="auto"/>
          <w:sz w:val="22"/>
          <w:highlight w:val="none"/>
          <w:lang w:eastAsia="zh-CN"/>
        </w:rPr>
        <w:t>附件14</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11）</w:t>
      </w:r>
      <w:r>
        <w:rPr>
          <w:rFonts w:hint="eastAsia" w:ascii="宋体" w:hAnsi="宋体" w:eastAsia="宋体" w:cs="宋体"/>
          <w:color w:val="auto"/>
          <w:sz w:val="22"/>
          <w:highlight w:val="none"/>
          <w:lang w:val="en-US" w:eastAsia="zh-CN"/>
        </w:rPr>
        <w:t>承诺书</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附件15</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12）投标产品技术支持材料（见</w:t>
      </w:r>
      <w:r>
        <w:rPr>
          <w:rFonts w:hint="eastAsia" w:ascii="宋体" w:hAnsi="宋体" w:eastAsia="宋体" w:cs="宋体"/>
          <w:color w:val="auto"/>
          <w:sz w:val="22"/>
          <w:highlight w:val="none"/>
          <w:lang w:eastAsia="zh-CN"/>
        </w:rPr>
        <w:t>附件16</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13）政府采购活动现场确认声明书（见</w:t>
      </w:r>
      <w:r>
        <w:rPr>
          <w:rFonts w:hint="eastAsia" w:ascii="宋体" w:hAnsi="宋体" w:eastAsia="宋体" w:cs="宋体"/>
          <w:color w:val="auto"/>
          <w:sz w:val="22"/>
          <w:highlight w:val="none"/>
          <w:lang w:eastAsia="zh-CN"/>
        </w:rPr>
        <w:t>附件17</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14）</w:t>
      </w:r>
      <w:r>
        <w:rPr>
          <w:rFonts w:hint="eastAsia" w:ascii="宋体" w:hAnsi="宋体" w:eastAsia="宋体" w:cs="宋体"/>
          <w:color w:val="auto"/>
          <w:sz w:val="22"/>
          <w:highlight w:val="none"/>
          <w:lang w:eastAsia="zh-CN"/>
        </w:rPr>
        <w:t>质保期外年维保报价</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附件18</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）投标人需要说明的其他文件和说明（格式自拟）。</w:t>
      </w:r>
    </w:p>
    <w:p>
      <w:pPr>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以上内容按照招标文件第四部分附件所附格式填写，相关证书、报告等</w:t>
      </w:r>
      <w:r>
        <w:rPr>
          <w:rFonts w:hint="eastAsia" w:ascii="宋体" w:hAnsi="宋体" w:eastAsia="宋体" w:cs="宋体"/>
          <w:b/>
          <w:bCs/>
          <w:color w:val="auto"/>
          <w:spacing w:val="-6"/>
          <w:sz w:val="22"/>
          <w:highlight w:val="none"/>
        </w:rPr>
        <w:t>如遇年检或换证等特殊情况须按要求提供相应的证明材料</w:t>
      </w:r>
      <w:r>
        <w:rPr>
          <w:rFonts w:hint="eastAsia" w:ascii="宋体" w:hAnsi="宋体" w:eastAsia="宋体" w:cs="宋体"/>
          <w:b/>
          <w:bCs/>
          <w:color w:val="auto"/>
          <w:sz w:val="22"/>
          <w:highlight w:val="none"/>
        </w:rPr>
        <w:t>。没有提供格式的，投标人根据实际情况自行编制。</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投标人可在招标文件中对服务的技术规格和要求选用替代标准，但这些替代标准必须相等于或优于招标文件中提出的相应要求，并使采购人满意。同时在采购需求偏离表中作出详细说明。</w:t>
      </w:r>
    </w:p>
    <w:p>
      <w:pPr>
        <w:pStyle w:val="15"/>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5.投标文件格式</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5"/>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6.投标文件编制要求</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6.1</w:t>
      </w:r>
      <w:r>
        <w:rPr>
          <w:rFonts w:hint="eastAsia" w:ascii="宋体" w:hAnsi="宋体" w:eastAsia="宋体" w:cs="宋体"/>
          <w:b/>
          <w:bCs/>
          <w:color w:val="auto"/>
          <w:sz w:val="22"/>
          <w:highlight w:val="none"/>
        </w:rPr>
        <w:t>投标人应根据电子投标操作指南按本招标文件规定的格式和顺序编制电子投标文件并进行关联定位</w:t>
      </w:r>
      <w:r>
        <w:rPr>
          <w:rFonts w:hint="eastAsia" w:ascii="宋体" w:hAnsi="宋体" w:eastAsia="宋体" w:cs="宋体"/>
          <w:color w:val="auto"/>
          <w:sz w:val="22"/>
          <w:highlight w:val="none"/>
        </w:rPr>
        <w:t>。</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7.投标报价</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 投标总报价是指投标人在正确地完全履行合同义务后采购人应支付给投标人所有的货物价款，即货物及其附件的采购、制造、税金、安装费、检验费、质保期内维修保护费、售后服务费、采购代理服务费、政策性文件规定及合同包含的所有风险、责任等全部费用，实行固定费用总包干，投标人应根据上述因素自行考虑含入投标总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7.3报价货币为人民币。</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▲7.4采购人不接受任何选择报价，本次投标每项货物只允许一个报价。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7.5最低报价不能作为中标的保证。</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8.投标保证金：</w:t>
      </w:r>
      <w:r>
        <w:rPr>
          <w:rFonts w:hint="eastAsia" w:ascii="宋体" w:hAnsi="宋体" w:eastAsia="宋体" w:cs="宋体"/>
          <w:color w:val="auto"/>
          <w:spacing w:val="-6"/>
          <w:sz w:val="22"/>
          <w:highlight w:val="none"/>
          <w:lang w:val="zh-CN"/>
        </w:rPr>
        <w:t>本项目不收取投标保证金。</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9.投标有效期</w:t>
      </w:r>
    </w:p>
    <w:p>
      <w:pPr>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9.1</w:t>
      </w:r>
      <w:r>
        <w:rPr>
          <w:rFonts w:hint="eastAsia" w:ascii="宋体" w:hAnsi="宋体" w:eastAsia="宋体" w:cs="宋体"/>
          <w:b/>
          <w:bCs/>
          <w:color w:val="auto"/>
          <w:sz w:val="22"/>
          <w:highlight w:val="none"/>
        </w:rPr>
        <w:t>自提交投标文件的截止之日起</w:t>
      </w:r>
      <w:r>
        <w:rPr>
          <w:rFonts w:hint="eastAsia" w:ascii="宋体" w:hAnsi="宋体" w:eastAsia="宋体" w:cs="宋体"/>
          <w:b/>
          <w:bCs/>
          <w:color w:val="auto"/>
          <w:sz w:val="22"/>
          <w:highlight w:val="none"/>
          <w:u w:val="single"/>
        </w:rPr>
        <w:t>90</w:t>
      </w:r>
      <w:r>
        <w:rPr>
          <w:rFonts w:hint="eastAsia" w:ascii="宋体" w:hAnsi="宋体" w:eastAsia="宋体" w:cs="宋体"/>
          <w:b/>
          <w:bCs/>
          <w:color w:val="auto"/>
          <w:sz w:val="22"/>
          <w:highlight w:val="none"/>
        </w:rPr>
        <w:t>天内投标应保持有效。有效期不足的投标文件将被拒绝。</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10.投标文件的签署和规定</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cs="宋体"/>
          <w:b/>
          <w:bCs/>
          <w:color w:val="auto"/>
          <w:spacing w:val="-6"/>
          <w:sz w:val="22"/>
          <w:highlight w:val="none"/>
        </w:rPr>
        <w:t>其中资格文件、商务和技术文件中不得出现投标报价，如因投标人原因提前泄露投标报价，是投标人的责任。</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10.2投标文件须由投标人在规定位置加盖公章并由投标人代表签署，投标人应写全称。</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10.3投标文件不得涂改，若有修改错漏处，须由投标人代表签字并加盖公章。投标文件因字迹潦草或表达不清所引起的后果由投标人负责。</w:t>
      </w:r>
    </w:p>
    <w:p>
      <w:pPr>
        <w:spacing w:line="360" w:lineRule="exact"/>
        <w:ind w:firstLine="440" w:firstLineChars="200"/>
        <w:rPr>
          <w:rFonts w:hint="eastAsia" w:ascii="宋体" w:hAnsi="宋体" w:eastAsia="宋体" w:cs="宋体"/>
          <w:b/>
          <w:color w:val="auto"/>
          <w:sz w:val="26"/>
          <w:highlight w:val="none"/>
        </w:rPr>
      </w:pPr>
      <w:r>
        <w:rPr>
          <w:rFonts w:hint="eastAsia" w:ascii="宋体" w:hAnsi="宋体" w:eastAsia="宋体" w:cs="宋体"/>
          <w:color w:val="auto"/>
          <w:sz w:val="22"/>
          <w:highlight w:val="none"/>
        </w:rPr>
        <w:t>10.4</w:t>
      </w:r>
      <w:r>
        <w:rPr>
          <w:rFonts w:hint="eastAsia" w:ascii="宋体" w:hAnsi="宋体" w:eastAsia="宋体" w:cs="宋体"/>
          <w:b/>
          <w:bCs/>
          <w:color w:val="auto"/>
          <w:sz w:val="22"/>
          <w:highlight w:val="none"/>
        </w:rPr>
        <w:t>投标文件字迹模糊或在关键的技术、商务条款上表述不清楚，将可能导致其投标被拒绝。</w:t>
      </w:r>
    </w:p>
    <w:p>
      <w:pPr>
        <w:spacing w:line="360" w:lineRule="exact"/>
        <w:ind w:firstLine="522" w:firstLineChars="200"/>
        <w:jc w:val="center"/>
        <w:rPr>
          <w:rFonts w:hint="eastAsia" w:ascii="宋体" w:hAnsi="宋体" w:eastAsia="宋体" w:cs="宋体"/>
          <w:b/>
          <w:color w:val="auto"/>
          <w:sz w:val="26"/>
          <w:highlight w:val="none"/>
        </w:rPr>
      </w:pPr>
    </w:p>
    <w:p>
      <w:pPr>
        <w:spacing w:line="360" w:lineRule="exact"/>
        <w:ind w:firstLine="522" w:firstLineChars="200"/>
        <w:jc w:val="center"/>
        <w:outlineLvl w:val="1"/>
        <w:rPr>
          <w:rFonts w:hint="eastAsia" w:ascii="宋体" w:hAnsi="宋体" w:eastAsia="宋体" w:cs="宋体"/>
          <w:color w:val="auto"/>
          <w:sz w:val="22"/>
          <w:highlight w:val="none"/>
        </w:rPr>
      </w:pPr>
      <w:bookmarkStart w:id="11" w:name="_Toc12008"/>
      <w:r>
        <w:rPr>
          <w:rFonts w:hint="eastAsia" w:ascii="宋体" w:hAnsi="宋体" w:eastAsia="宋体" w:cs="宋体"/>
          <w:b/>
          <w:color w:val="auto"/>
          <w:sz w:val="26"/>
          <w:highlight w:val="none"/>
        </w:rPr>
        <w:t>四、投标文件的递交</w:t>
      </w:r>
      <w:bookmarkEnd w:id="11"/>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1.电子投标文件的加密、递交</w:t>
      </w:r>
    </w:p>
    <w:p>
      <w:pPr>
        <w:spacing w:line="360" w:lineRule="exac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kern w:val="0"/>
          <w:sz w:val="22"/>
          <w:highlight w:val="none"/>
        </w:rPr>
        <w:t>投标人</w:t>
      </w:r>
      <w:r>
        <w:rPr>
          <w:rFonts w:hint="eastAsia" w:ascii="宋体" w:hAnsi="宋体" w:eastAsia="宋体" w:cs="宋体"/>
          <w:color w:val="auto"/>
          <w:spacing w:val="-6"/>
          <w:sz w:val="22"/>
          <w:highlight w:val="none"/>
        </w:rPr>
        <w:t>于投标文件提交截止时间前按照电子投标要求将加密电子投标文件上传到“政采云”平台，逾期或未上传成功的将被政府采购云平台拒收</w:t>
      </w:r>
      <w:r>
        <w:rPr>
          <w:rFonts w:hint="eastAsia" w:ascii="宋体" w:hAnsi="宋体" w:eastAsia="宋体" w:cs="宋体"/>
          <w:color w:val="auto"/>
          <w:kern w:val="0"/>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w:t>
      </w:r>
      <w:r>
        <w:rPr>
          <w:rFonts w:hint="eastAsia" w:ascii="宋体" w:hAnsi="宋体" w:eastAsia="宋体" w:cs="宋体"/>
          <w:b/>
          <w:color w:val="auto"/>
          <w:sz w:val="22"/>
          <w:highlight w:val="none"/>
        </w:rPr>
        <w:t>备份投标文件的加密、递交（如有）</w:t>
      </w:r>
    </w:p>
    <w:p>
      <w:pPr>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为</w:t>
      </w:r>
      <w:r>
        <w:rPr>
          <w:rFonts w:hint="eastAsia" w:ascii="宋体" w:hAnsi="宋体" w:eastAsia="宋体" w:cs="宋体"/>
          <w:color w:val="auto"/>
          <w:kern w:val="0"/>
          <w:sz w:val="22"/>
          <w:highlight w:val="none"/>
        </w:rPr>
        <w:t>确保采购项目顺利实施，避免因政采云上电子投标文件解密失败导致投标人投标无效，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highlight w:val="none"/>
        </w:rPr>
        <w:t>投标人在政府采购云平台完成加密电子投标文件的上传后投标文件提交截止时间前将</w:t>
      </w:r>
      <w:r>
        <w:rPr>
          <w:rFonts w:hint="eastAsia" w:ascii="宋体" w:hAnsi="宋体" w:eastAsia="宋体" w:cs="宋体"/>
          <w:b/>
          <w:bCs/>
          <w:color w:val="auto"/>
          <w:sz w:val="22"/>
          <w:highlight w:val="none"/>
        </w:rPr>
        <w:t>以介质存储的数据电文形式的备份投标文件按“</w:t>
      </w:r>
      <w:r>
        <w:rPr>
          <w:rFonts w:hint="eastAsia" w:ascii="宋体" w:hAnsi="宋体" w:eastAsia="宋体" w:cs="宋体"/>
          <w:b/>
          <w:bCs/>
          <w:color w:val="auto"/>
          <w:sz w:val="22"/>
          <w:highlight w:val="none"/>
          <w:lang w:val="zh-CN"/>
        </w:rPr>
        <w:t>投标人须知前附表</w:t>
      </w:r>
      <w:r>
        <w:rPr>
          <w:rFonts w:hint="eastAsia" w:ascii="宋体" w:hAnsi="宋体" w:eastAsia="宋体" w:cs="宋体"/>
          <w:b/>
          <w:bCs/>
          <w:color w:val="auto"/>
          <w:sz w:val="22"/>
          <w:highlight w:val="none"/>
        </w:rPr>
        <w:t>”要求</w:t>
      </w:r>
      <w:r>
        <w:rPr>
          <w:rFonts w:hint="eastAsia" w:ascii="宋体" w:hAnsi="宋体" w:eastAsia="宋体" w:cs="宋体"/>
          <w:b/>
          <w:bCs/>
          <w:color w:val="auto"/>
          <w:sz w:val="22"/>
          <w:highlight w:val="none"/>
        </w:rPr>
        <w:fldChar w:fldCharType="end"/>
      </w:r>
      <w:r>
        <w:rPr>
          <w:rFonts w:hint="eastAsia" w:ascii="宋体" w:hAnsi="宋体" w:eastAsia="宋体" w:cs="宋体"/>
          <w:color w:val="auto"/>
          <w:kern w:val="0"/>
          <w:sz w:val="22"/>
          <w:highlight w:val="none"/>
        </w:rPr>
        <w:t>加密、递交。</w:t>
      </w:r>
    </w:p>
    <w:p>
      <w:pPr>
        <w:pStyle w:val="15"/>
        <w:snapToGrid w:val="0"/>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本项目由采购代理机构做好“</w:t>
      </w:r>
      <w:r>
        <w:rPr>
          <w:rFonts w:hint="eastAsia" w:ascii="宋体" w:hAnsi="宋体" w:eastAsia="宋体" w:cs="宋体"/>
          <w:b/>
          <w:bCs/>
          <w:color w:val="auto"/>
          <w:sz w:val="22"/>
          <w:highlight w:val="none"/>
        </w:rPr>
        <w:t>介质存储的数据电文形式的备份投标文件</w:t>
      </w:r>
      <w:r>
        <w:rPr>
          <w:rFonts w:hint="eastAsia" w:ascii="宋体" w:hAnsi="宋体" w:eastAsia="宋体" w:cs="宋体"/>
          <w:color w:val="auto"/>
          <w:kern w:val="0"/>
          <w:sz w:val="22"/>
          <w:highlight w:val="none"/>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（1）超过投标文件提交截止时间送达的；</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（2）未在政采云平台获取招标文件的。</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3.投标文件的修改、撤回和撤销</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3.2在投标文件提交截止时间之后，投标人不得对其投标做任何修改。</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3.3</w:t>
      </w:r>
      <w:r>
        <w:rPr>
          <w:rFonts w:hint="eastAsia" w:ascii="宋体" w:hAnsi="宋体" w:eastAsia="宋体" w:cs="宋体"/>
          <w:color w:val="auto"/>
          <w:spacing w:val="-20"/>
          <w:kern w:val="0"/>
          <w:sz w:val="22"/>
          <w:highlight w:val="none"/>
        </w:rPr>
        <w:t>在投标(响应）截止时间起至投标（响应）有效期届满，投标人投标（响应）文件不可撤销。</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3.4投标人撤销（撤回）投标不得损害国家利益、社会公共利益、采购人利益、代理机构利益、其他投标人利益，否则，投标人撤销（撤回）投标无效。</w:t>
      </w:r>
    </w:p>
    <w:p>
      <w:pPr>
        <w:pStyle w:val="2"/>
        <w:rPr>
          <w:rFonts w:hint="eastAsia" w:ascii="宋体" w:hAnsi="宋体" w:eastAsia="宋体" w:cs="宋体"/>
          <w:color w:val="auto"/>
          <w:highlight w:val="none"/>
        </w:rPr>
      </w:pPr>
    </w:p>
    <w:p>
      <w:pPr>
        <w:tabs>
          <w:tab w:val="left" w:pos="360"/>
          <w:tab w:val="left" w:pos="540"/>
          <w:tab w:val="left" w:pos="1260"/>
        </w:tabs>
        <w:spacing w:line="400" w:lineRule="exact"/>
        <w:ind w:left="919" w:hanging="919" w:hangingChars="352"/>
        <w:jc w:val="center"/>
        <w:outlineLvl w:val="1"/>
        <w:rPr>
          <w:rFonts w:hint="eastAsia" w:ascii="宋体" w:hAnsi="宋体" w:eastAsia="宋体" w:cs="宋体"/>
          <w:b/>
          <w:color w:val="auto"/>
          <w:sz w:val="26"/>
          <w:highlight w:val="none"/>
        </w:rPr>
      </w:pPr>
      <w:bookmarkStart w:id="12" w:name="_Toc31830"/>
      <w:r>
        <w:rPr>
          <w:rFonts w:hint="eastAsia" w:ascii="宋体" w:hAnsi="宋体" w:eastAsia="宋体" w:cs="宋体"/>
          <w:b/>
          <w:color w:val="auto"/>
          <w:sz w:val="26"/>
          <w:highlight w:val="none"/>
        </w:rPr>
        <w:t>五、开标和评标</w:t>
      </w:r>
      <w:bookmarkEnd w:id="12"/>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1.评审小组</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采购人依法组建评审小组。评审小组的成员在评标过程中必须严格遵守《中华人民共和国政府采购法》等有关法律、法规的规定。</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2.评标过程的保密性</w:t>
      </w:r>
    </w:p>
    <w:p>
      <w:pPr>
        <w:spacing w:line="360" w:lineRule="exact"/>
        <w:ind w:firstLine="442" w:firstLineChars="200"/>
        <w:rPr>
          <w:rFonts w:hint="eastAsia" w:ascii="宋体" w:hAnsi="宋体" w:eastAsia="宋体" w:cs="宋体"/>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2.1开标后直至向中标人授予合同时止，凡与评审有关的资料均不得向投标人及与评标无关人员透</w:t>
      </w:r>
      <w:r>
        <w:rPr>
          <w:rFonts w:hint="eastAsia" w:ascii="宋体" w:hAnsi="宋体" w:eastAsia="宋体" w:cs="宋体"/>
          <w:color w:val="auto"/>
          <w:sz w:val="22"/>
          <w:highlight w:val="none"/>
          <w:u w:val="single"/>
          <w:lang w:val="en-US" w:eastAsia="zh-CN"/>
        </w:rPr>
        <w:t>露</w:t>
      </w:r>
      <w:r>
        <w:rPr>
          <w:rFonts w:hint="eastAsia" w:ascii="宋体" w:hAnsi="宋体" w:eastAsia="宋体" w:cs="宋体"/>
          <w:color w:val="auto"/>
          <w:sz w:val="22"/>
          <w:highlight w:val="none"/>
          <w:u w:val="single"/>
        </w:rPr>
        <w:t>。如果投标人在评标过程中试图向采购人和采购人施加影响，其投标将被拒绝。</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3.开标</w:t>
      </w:r>
    </w:p>
    <w:p>
      <w:pPr>
        <w:pStyle w:val="47"/>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本项目实行电子开评标，投标人无需前往开评标现场，只需在规定时间内在“政采云”平台上上传电子投标文件。</w:t>
      </w:r>
    </w:p>
    <w:p>
      <w:pPr>
        <w:pStyle w:val="47"/>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3.1开标准备</w:t>
      </w:r>
    </w:p>
    <w:p>
      <w:pPr>
        <w:pStyle w:val="47"/>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3.1.1制订开标、评审工作的组织方案，落实工作场地、设施，检查录音录像采集设备运行情况。采用电子评审方式的，验证电子评审系统是否正常运行。</w:t>
      </w:r>
    </w:p>
    <w:p>
      <w:pPr>
        <w:pStyle w:val="47"/>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3.1.2通知或邀请相关单位和人员出席开标、评审活动（按规定由相关监管部门或其授权机构随机抽取、通知的政府采购评审专家除外）。</w:t>
      </w:r>
    </w:p>
    <w:p>
      <w:pPr>
        <w:pStyle w:val="47"/>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3.1.3准备政府采购项目的相关文件资料，如项目政府采购预算确认书（计划）、专家抽取有关凭证、项目书面说明、招标文件、补充文件及质疑答复情况、现场工作所需的相关登记表单、评审工作底稿等。</w:t>
      </w:r>
    </w:p>
    <w:p>
      <w:pPr>
        <w:pStyle w:val="47"/>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3.1.4其他应准备的事项。</w:t>
      </w:r>
    </w:p>
    <w:p>
      <w:pPr>
        <w:pStyle w:val="2"/>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3.2采购代理机构按照招标文件规定的时间、地点和程序组织开标，具体按以下程序进行：</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3.2.1</w:t>
      </w:r>
      <w:r>
        <w:rPr>
          <w:rFonts w:hint="eastAsia" w:ascii="宋体" w:hAnsi="宋体" w:eastAsia="宋体" w:cs="宋体"/>
          <w:color w:val="auto"/>
          <w:spacing w:val="-6"/>
          <w:sz w:val="22"/>
          <w:highlight w:val="none"/>
        </w:rPr>
        <w:t>开启评审场地的录音录像采集设备，并确保其正常运行。</w:t>
      </w:r>
    </w:p>
    <w:p>
      <w:pPr>
        <w:pStyle w:val="28"/>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3.2.2解密</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投标文件提交截止时间止采购代理机构向各投标人发出电子投标文件开始解密通知，由投标人在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sz w:val="22"/>
          <w:highlight w:val="none"/>
        </w:rPr>
        <w:t>规定时间（不少于30分钟）内自行进行投标文件解密（</w:t>
      </w:r>
      <w:r>
        <w:rPr>
          <w:rFonts w:hint="eastAsia" w:ascii="宋体" w:hAnsi="宋体" w:eastAsia="宋体" w:cs="宋体"/>
          <w:b/>
          <w:bCs/>
          <w:color w:val="auto"/>
          <w:kern w:val="0"/>
          <w:sz w:val="22"/>
          <w:highlight w:val="none"/>
        </w:rPr>
        <w:t>投标人无需在开标当天到达开标现场对电子投标进行解密，可在公司办公场地在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kern w:val="0"/>
          <w:sz w:val="22"/>
          <w:highlight w:val="none"/>
        </w:rPr>
        <w:t>规定时间内</w:t>
      </w:r>
      <w:r>
        <w:rPr>
          <w:rFonts w:hint="eastAsia" w:ascii="宋体" w:hAnsi="宋体" w:eastAsia="宋体" w:cs="宋体"/>
          <w:b/>
          <w:bCs/>
          <w:color w:val="auto"/>
          <w:sz w:val="22"/>
          <w:highlight w:val="none"/>
        </w:rPr>
        <w:t>通过制作电子投标文件的CA锁用“项目采购-开标评标”功能</w:t>
      </w:r>
      <w:r>
        <w:rPr>
          <w:rFonts w:hint="eastAsia" w:ascii="宋体" w:hAnsi="宋体" w:eastAsia="宋体" w:cs="宋体"/>
          <w:b/>
          <w:bCs/>
          <w:color w:val="auto"/>
          <w:kern w:val="0"/>
          <w:sz w:val="22"/>
          <w:highlight w:val="none"/>
        </w:rPr>
        <w:t>对电子投标文件进行解密。</w:t>
      </w:r>
      <w:r>
        <w:rPr>
          <w:rFonts w:hint="eastAsia" w:ascii="宋体" w:hAnsi="宋体" w:eastAsia="宋体" w:cs="宋体"/>
          <w:b/>
          <w:bCs/>
          <w:color w:val="auto"/>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本项目原则上采用政采云电子招投标开标及评审程序，</w:t>
      </w:r>
      <w:r>
        <w:rPr>
          <w:rFonts w:hint="eastAsia" w:ascii="宋体" w:hAnsi="宋体" w:eastAsia="宋体" w:cs="宋体"/>
          <w:b/>
          <w:bCs/>
          <w:color w:val="auto"/>
          <w:sz w:val="22"/>
          <w:highlight w:val="none"/>
          <w:lang w:eastAsia="zh-CN"/>
        </w:rPr>
        <w:t>但有以下情形</w:t>
      </w:r>
      <w:r>
        <w:rPr>
          <w:rFonts w:hint="eastAsia" w:ascii="宋体" w:hAnsi="宋体" w:eastAsia="宋体" w:cs="宋体"/>
          <w:b/>
          <w:bCs/>
          <w:color w:val="auto"/>
          <w:sz w:val="22"/>
          <w:highlight w:val="none"/>
        </w:rPr>
        <w:t>的，按以下情况处理：</w:t>
      </w:r>
    </w:p>
    <w:p>
      <w:pPr>
        <w:pStyle w:val="15"/>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w:t>
      </w:r>
      <w:r>
        <w:rPr>
          <w:rFonts w:hint="eastAsia" w:ascii="宋体" w:hAnsi="宋体" w:eastAsia="宋体" w:cs="宋体"/>
          <w:b/>
          <w:bCs/>
          <w:color w:val="auto"/>
          <w:sz w:val="22"/>
          <w:highlight w:val="none"/>
          <w:lang w:eastAsia="zh-CN"/>
        </w:rPr>
        <w:t>2812799762</w:t>
      </w:r>
      <w:r>
        <w:rPr>
          <w:rFonts w:hint="eastAsia" w:ascii="宋体" w:hAnsi="宋体" w:eastAsia="宋体" w:cs="宋体"/>
          <w:b/>
          <w:bCs/>
          <w:color w:val="auto"/>
          <w:sz w:val="22"/>
          <w:highlight w:val="none"/>
        </w:rPr>
        <w:t>@qq.com）的以介质存储的数据电文形式的备份投标文件，并</w:t>
      </w:r>
      <w:r>
        <w:rPr>
          <w:rFonts w:hint="eastAsia" w:ascii="宋体" w:hAnsi="宋体" w:eastAsia="宋体" w:cs="宋体"/>
          <w:b/>
          <w:bCs/>
          <w:color w:val="auto"/>
          <w:sz w:val="22"/>
          <w:highlight w:val="none"/>
          <w:lang w:eastAsia="zh-CN"/>
        </w:rPr>
        <w:t>以</w:t>
      </w:r>
      <w:r>
        <w:rPr>
          <w:rFonts w:hint="eastAsia" w:ascii="宋体" w:hAnsi="宋体" w:eastAsia="宋体" w:cs="宋体"/>
          <w:b/>
          <w:bCs/>
          <w:color w:val="auto"/>
          <w:sz w:val="22"/>
          <w:highlight w:val="none"/>
        </w:rPr>
        <w:t>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5"/>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投标人不足3家的，不得开标。</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3.2.3投标文件解密结束，组织投标人签署《政府采购活动现场确认声明书》，格式详见附件。</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3.2.4采购代理机构对资格进行审查。</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3.2.5评审小组对商务技术文件进行评审。</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3.2.6评审小组对报价情况进行评审。</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3.2.7在系统上公布评审结果。</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特别说明：政采云公司如对电子化开标及评审程序有调整的，按调整后的程序操作。</w:t>
      </w:r>
    </w:p>
    <w:p>
      <w:pPr>
        <w:spacing w:line="360" w:lineRule="exact"/>
        <w:ind w:firstLine="440" w:firstLineChars="200"/>
        <w:rPr>
          <w:rFonts w:hint="eastAsia" w:ascii="宋体" w:hAnsi="宋体" w:eastAsia="宋体" w:cs="宋体"/>
          <w:bCs/>
          <w:color w:val="auto"/>
          <w:sz w:val="22"/>
          <w:highlight w:val="none"/>
          <w:lang w:val="zh-CN"/>
        </w:rPr>
      </w:pPr>
      <w:r>
        <w:rPr>
          <w:rFonts w:hint="eastAsia" w:ascii="宋体" w:hAnsi="宋体" w:eastAsia="宋体" w:cs="宋体"/>
          <w:color w:val="auto"/>
          <w:sz w:val="22"/>
          <w:highlight w:val="none"/>
        </w:rPr>
        <w:t>4.评标</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采购代理机构按照招标文件规定的时间、地点及程序组织评审。评审活动一般应按以下程序组织开展：</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4.1</w:t>
      </w:r>
      <w:r>
        <w:rPr>
          <w:rFonts w:hint="eastAsia" w:ascii="宋体" w:hAnsi="宋体" w:eastAsia="宋体" w:cs="宋体"/>
          <w:color w:val="auto"/>
          <w:spacing w:val="-6"/>
          <w:sz w:val="22"/>
          <w:highlight w:val="none"/>
        </w:rPr>
        <w:t>开启评审场地的录音录像采集设备，并确保其正常运行。</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4.2</w:t>
      </w:r>
      <w:r>
        <w:rPr>
          <w:rFonts w:hint="eastAsia" w:ascii="宋体" w:hAnsi="宋体" w:eastAsia="宋体" w:cs="宋体"/>
          <w:color w:val="auto"/>
          <w:spacing w:val="-6"/>
          <w:sz w:val="22"/>
          <w:highlight w:val="none"/>
        </w:rPr>
        <w:t>核验出席评审活动现场的评审小组各成员身份，并要求其分别登记、签到，按规定统一收缴、保存其通讯工具，无关人员一律拒绝其进入评审现场。</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4.3介绍评审现场的人员情况，宣布评审工作纪律，告知评审小组应当回避情形；组织推选评审小组组长。</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4.4宣布获取</w:t>
      </w:r>
      <w:r>
        <w:rPr>
          <w:rFonts w:hint="eastAsia" w:ascii="宋体" w:hAnsi="宋体" w:eastAsia="宋体" w:cs="宋体"/>
          <w:color w:val="auto"/>
          <w:spacing w:val="-6"/>
          <w:sz w:val="22"/>
          <w:highlight w:val="none"/>
        </w:rPr>
        <w:t>本项目采购的投标人名单，宣读最终提交投标文件且通过资格审查的投标人名单，组织评审小组各位成员签订《政府采购评审人员廉洁自律承诺书》。</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ascii="宋体" w:hAnsi="宋体" w:eastAsia="宋体" w:cs="宋体"/>
          <w:color w:val="auto"/>
          <w:kern w:val="0"/>
          <w:sz w:val="22"/>
          <w:highlight w:val="none"/>
        </w:rPr>
        <w:t>评审小组要求投标人澄清、说明或者补正，须通过政采云平台要求澄清、说明或者补正。</w:t>
      </w:r>
    </w:p>
    <w:p>
      <w:pPr>
        <w:pStyle w:val="47"/>
        <w:snapToGrid w:val="0"/>
        <w:spacing w:line="360" w:lineRule="exact"/>
        <w:ind w:firstLine="416"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4.6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做好评审现场相关记录，做好评审报告起草、有关内容电脑文字录入等工作，并要求评审小组各成员签字确认。</w:t>
      </w:r>
    </w:p>
    <w:p>
      <w:pPr>
        <w:pStyle w:val="15"/>
        <w:adjustRightInd/>
        <w:spacing w:line="360" w:lineRule="exact"/>
        <w:ind w:firstLine="416"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pacing w:val="-6"/>
          <w:sz w:val="22"/>
          <w:highlight w:val="none"/>
        </w:rPr>
        <w:t>4.7评审结束后，采购代理机构交还评审人员及其他现场相关人员的通讯工具。</w:t>
      </w:r>
    </w:p>
    <w:p>
      <w:pPr>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5.投标无效的情形</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5.1有下列情形之一的，将不予受理投标文件：</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（1）逾期上传电子档投标文件至“政采云”平台的；</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（2）仅递交备份电子投标文件的；</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（3）投标文件只有商务技术文件或者商务技术文件与报价文件部分上传在一份文档中的；</w:t>
      </w:r>
    </w:p>
    <w:p>
      <w:pPr>
        <w:spacing w:line="360" w:lineRule="exact"/>
        <w:ind w:firstLine="416" w:firstLineChars="200"/>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（4）</w:t>
      </w:r>
      <w:r>
        <w:rPr>
          <w:rFonts w:hint="eastAsia" w:ascii="宋体" w:hAnsi="宋体" w:eastAsia="宋体" w:cs="宋体"/>
          <w:color w:val="auto"/>
          <w:sz w:val="22"/>
          <w:highlight w:val="none"/>
          <w:u w:val="single"/>
        </w:rPr>
        <w:t>电子投标文件解密失败的，且未在规定时间内提交备份投标文件的视为投标无效。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▲5.2在资格审查时，如发现下列情形之一的，投标无效：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（1）资格审查材料不全的，或者不符合招标文件要求的；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（2）“资格文件”未按招标文件要求签署、盖章的；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（3）经查询存在不良信用记录的。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▲5.3在符合性审查、商务和技术评审时，如发现下列情形之一的，投标无效：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（1）“资格文件”或“商务和技术文件”未按招标文件要求签署、盖章的；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（2）未提供合法、有效法定代表人授权委托书；法定代表人或委托授权代表与投标文件所附身份证明不符；</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（3）采购人拟采购的产品属于政府强制采购的节能产品品目清单范围的，投标人相应的投标产品未获得国家确定的认证机构出具的、处于有效期之内的节能产品认证证书的；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（4）明显不符合招标文件实质性要求或者与招标文件中标“▲且加下划线”的内容发生实质性偏离的；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（5）未提供或未如实提供采购需求偏离表的；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（6）未提供或未如实提供货物的技术参数，或者投标文件标明的响应或偏离与事实不符或虚假投标的；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（7）投标有效期不能满足招标文件要求的；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（8）投标技术方案不明确，存在一个或一个以上备选（替代）投标方案的；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（9）投标文件含有采购人不能接受的附加条件的；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（10）在“资格文件”或“商务和技术文件”中出现投标报价的；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（11）法律、法规和招标文件中规定的其他无效情形的。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▲5.4在报价评审时，如发现下列情形之一的，投标无效：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（1）报价文件未按招标文件要求签署、盖章的；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（2）未按照招标文件标明的币种报价的；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（3）报价超出招标文件中规定的预算金额或者最高限价的；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（4）投标报价具有选择性，或者开标价格与投标文件承诺的优惠（折扣）价格不一致的；</w:t>
      </w:r>
    </w:p>
    <w:p>
      <w:pPr>
        <w:spacing w:line="360" w:lineRule="exact"/>
        <w:ind w:firstLine="440" w:firstLineChars="200"/>
        <w:rPr>
          <w:rFonts w:hint="eastAsia" w:ascii="宋体" w:hAnsi="宋体" w:eastAsia="宋体" w:cs="宋体"/>
          <w:color w:val="auto"/>
          <w:kern w:val="0"/>
          <w:sz w:val="24"/>
          <w:highlight w:val="none"/>
        </w:rPr>
      </w:pPr>
      <w:r>
        <w:rPr>
          <w:rFonts w:hint="eastAsia" w:ascii="宋体" w:hAnsi="宋体" w:eastAsia="宋体" w:cs="宋体"/>
          <w:color w:val="auto"/>
          <w:sz w:val="22"/>
          <w:highlight w:val="none"/>
          <w:u w:val="single"/>
        </w:rPr>
        <w:t>（5）</w:t>
      </w:r>
      <w:r>
        <w:rPr>
          <w:rFonts w:hint="eastAsia" w:ascii="宋体" w:hAnsi="宋体" w:eastAsia="宋体" w:cs="宋体"/>
          <w:color w:val="auto"/>
          <w:kern w:val="0"/>
          <w:sz w:val="22"/>
          <w:highlight w:val="none"/>
          <w:u w:val="single"/>
        </w:rPr>
        <w:t>投标人对根据修正原则修正后的报价不确认的；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rPr>
        <w:t>▲5.5</w:t>
      </w:r>
      <w:r>
        <w:rPr>
          <w:rFonts w:hint="eastAsia" w:ascii="宋体" w:hAnsi="宋体" w:eastAsia="宋体" w:cs="宋体"/>
          <w:color w:val="auto"/>
          <w:sz w:val="22"/>
          <w:highlight w:val="none"/>
          <w:u w:val="single"/>
          <w:lang w:val="zh-CN"/>
        </w:rPr>
        <w:t>有下列情形之一的，视为投标人串通投标，</w:t>
      </w:r>
      <w:r>
        <w:rPr>
          <w:rFonts w:hint="eastAsia" w:ascii="宋体" w:hAnsi="宋体" w:eastAsia="宋体" w:cs="宋体"/>
          <w:color w:val="auto"/>
          <w:sz w:val="22"/>
          <w:highlight w:val="none"/>
          <w:u w:val="single"/>
        </w:rPr>
        <w:t>投标无效</w:t>
      </w:r>
      <w:r>
        <w:rPr>
          <w:rFonts w:hint="eastAsia" w:ascii="宋体" w:hAnsi="宋体" w:eastAsia="宋体" w:cs="宋体"/>
          <w:color w:val="auto"/>
          <w:sz w:val="22"/>
          <w:highlight w:val="none"/>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1</w:t>
      </w:r>
      <w:r>
        <w:rPr>
          <w:rFonts w:hint="eastAsia" w:ascii="宋体" w:hAnsi="宋体" w:eastAsia="宋体" w:cs="宋体"/>
          <w:color w:val="auto"/>
          <w:sz w:val="22"/>
          <w:highlight w:val="none"/>
          <w:u w:val="single"/>
          <w:lang w:val="zh-CN"/>
        </w:rPr>
        <w:t>）不同投标人的投标文件由同一单位或者个人编制；</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2</w:t>
      </w:r>
      <w:r>
        <w:rPr>
          <w:rFonts w:hint="eastAsia" w:ascii="宋体" w:hAnsi="宋体" w:eastAsia="宋体" w:cs="宋体"/>
          <w:color w:val="auto"/>
          <w:sz w:val="22"/>
          <w:highlight w:val="none"/>
          <w:u w:val="single"/>
          <w:lang w:val="zh-CN"/>
        </w:rPr>
        <w:t>）不同投标人委托同一单位或者个人办理投标事宜；</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3</w:t>
      </w:r>
      <w:r>
        <w:rPr>
          <w:rFonts w:hint="eastAsia" w:ascii="宋体" w:hAnsi="宋体" w:eastAsia="宋体" w:cs="宋体"/>
          <w:color w:val="auto"/>
          <w:sz w:val="22"/>
          <w:highlight w:val="none"/>
          <w:u w:val="single"/>
          <w:lang w:val="zh-CN"/>
        </w:rPr>
        <w:t>）不同投标人的投标文件载明的项目管理成员或者联系人员为同一人；</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4</w:t>
      </w:r>
      <w:r>
        <w:rPr>
          <w:rFonts w:hint="eastAsia" w:ascii="宋体" w:hAnsi="宋体" w:eastAsia="宋体" w:cs="宋体"/>
          <w:color w:val="auto"/>
          <w:sz w:val="22"/>
          <w:highlight w:val="none"/>
          <w:u w:val="single"/>
          <w:lang w:val="zh-CN"/>
        </w:rPr>
        <w:t>）不同投标人的投标文件异常一致或者投标报价呈规律性差异；</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5</w:t>
      </w:r>
      <w:r>
        <w:rPr>
          <w:rFonts w:hint="eastAsia" w:ascii="宋体" w:hAnsi="宋体" w:eastAsia="宋体" w:cs="宋体"/>
          <w:color w:val="auto"/>
          <w:sz w:val="22"/>
          <w:highlight w:val="none"/>
          <w:u w:val="single"/>
          <w:lang w:val="zh-CN"/>
        </w:rPr>
        <w:t>）不同投标人的投标文件相互混装。</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6.错误修正</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投标文件报价出现前后不一致的，除招标文件另有规定外，按照下列规定修正：</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6.1投标文件中开标一览表（报价表）内容与投标文件中相应内容不一致的，以开标一览表（报价表）为准；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6.2大写金额和小写金额不一致的，以大写金额为准；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6.3单价金额小数点或者百分比有明显错位的，以开标一览表的总价为准，并修改单价；</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6.4总价金额与按单价汇总金额不一致的，以单价金额计算结果为准。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6.5对不同文字文本投标文件的解释发生异义的，以中文文本为准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6.6客户端填写的报价与以pdf格式上传文件中的报价不一致的，应以Pdf格式上传文件中的报价为准。</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同时出现两种以上不一致的，按照前款规定的顺序修正。修正后的报价按照本招标文件“7.投标文件的澄清”规定经投标人确认后产生约束力，投标人不确认的，其投标无效。</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7.投标文件的澄清</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7.1为有助于投标文件的审查、评价，评审小组可以在“政采云”平台在线询标或其他有效形式要求投标人对同一份投标文件含义不明确或同类问题表述不一致的内容（招标文件</w:t>
      </w:r>
      <w:r>
        <w:rPr>
          <w:rFonts w:hint="eastAsia" w:ascii="宋体" w:hAnsi="宋体" w:eastAsia="宋体" w:cs="宋体"/>
          <w:b/>
          <w:bCs/>
          <w:color w:val="auto"/>
          <w:sz w:val="22"/>
          <w:highlight w:val="none"/>
          <w:lang w:eastAsia="zh-CN"/>
        </w:rPr>
        <w:t>其他</w:t>
      </w:r>
      <w:r>
        <w:rPr>
          <w:rFonts w:hint="eastAsia" w:ascii="宋体" w:hAnsi="宋体" w:eastAsia="宋体" w:cs="宋体"/>
          <w:b/>
          <w:bCs/>
          <w:color w:val="auto"/>
          <w:sz w:val="22"/>
          <w:highlight w:val="none"/>
        </w:rPr>
        <w:t>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5"/>
        <w:tabs>
          <w:tab w:val="left" w:pos="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7.3经澄清后，若偏差仍存在，且不可接受，投标人则被认为是“没有实质性响应招标文件要求”，其投标不进入下一步评审。</w:t>
      </w:r>
    </w:p>
    <w:p>
      <w:pPr>
        <w:pStyle w:val="15"/>
        <w:tabs>
          <w:tab w:val="left" w:pos="630"/>
        </w:tabs>
        <w:adjustRightInd/>
        <w:snapToGrid w:val="0"/>
        <w:spacing w:line="360" w:lineRule="exact"/>
        <w:ind w:firstLine="433" w:firstLineChars="196"/>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8.评标原则和评标办法</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8"/>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8.2评标中因评审小组成员缺席、回避或者健康等特殊原因导致评审小组组成不符合规定的，依法补足后继续评标。被更换的评审小组成员所作出的评标意见无效。</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8.4评标办法。本项目评标办法是综合评分法，具体评标内容及评分标准等详见第六部分“评标原则及方法”。</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8.5评标过程中遇到特殊情况，由评审小组遵循公开、公正原则，采取投票方式按照少数服从多数原则决定。</w:t>
      </w:r>
    </w:p>
    <w:p>
      <w:pPr>
        <w:pStyle w:val="15"/>
        <w:adjustRightInd/>
        <w:snapToGrid w:val="0"/>
        <w:spacing w:line="360" w:lineRule="exact"/>
        <w:ind w:firstLine="440"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8.6</w:t>
      </w:r>
      <w:r>
        <w:rPr>
          <w:rFonts w:hint="eastAsia" w:ascii="宋体" w:hAnsi="宋体" w:eastAsia="宋体" w:cs="宋体"/>
          <w:b/>
          <w:bCs/>
          <w:color w:val="auto"/>
          <w:sz w:val="22"/>
          <w:highlight w:val="none"/>
        </w:rPr>
        <w:t>《中华人民共和国政府采购法》第三十六条在招标采购中，出现下列情形之一的，应予废标：</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8.6.1符合专业条件的供应商或者对招标文件作实质响应的供应商不足三家的；</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8.6.2出现影响采购公正的违法、违规行为的；</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8.6.3投标人的报价均超过了采购预算，采购人不能支付的；</w:t>
      </w:r>
    </w:p>
    <w:p>
      <w:pPr>
        <w:pStyle w:val="15"/>
        <w:adjustRightInd/>
        <w:snapToGrid w:val="0"/>
        <w:spacing w:line="360" w:lineRule="exact"/>
        <w:ind w:firstLine="442" w:firstLineChars="200"/>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8.6.4因重大变故，采购任务取消的。</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9.确定中标候选人</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9.1本次招标由评审小组确定中标候选人（招标文件另有规定的除外）。</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9.4采购人根据招标文件、中标人的投标文件、合同等材料及时组织验收，并严把质量关。</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9.5采购代理机构对决标结果不做任何解释，也不保证最低价中标。</w:t>
      </w:r>
    </w:p>
    <w:p>
      <w:pPr>
        <w:pStyle w:val="15"/>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10.定标</w:t>
      </w:r>
    </w:p>
    <w:p>
      <w:pPr>
        <w:pStyle w:val="15"/>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（一）确定中标人。本项目由采购人确定中标人。</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在采购结果确认环节，中标候选人撤销文件不能成为采购人不确认采购结果的正当理由。</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10.2.采购代理机构自中标人确定之日起2个工作日内，在省级以上财政部门指定的政府采购信息发布媒体上公告中标结果，同时向中标人发出中标通知书。</w:t>
      </w:r>
    </w:p>
    <w:p>
      <w:pPr>
        <w:spacing w:line="400" w:lineRule="exact"/>
        <w:jc w:val="center"/>
        <w:rPr>
          <w:rFonts w:hint="eastAsia" w:ascii="宋体" w:hAnsi="宋体" w:eastAsia="宋体" w:cs="宋体"/>
          <w:b/>
          <w:color w:val="auto"/>
          <w:sz w:val="26"/>
          <w:highlight w:val="none"/>
        </w:rPr>
      </w:pPr>
    </w:p>
    <w:p>
      <w:pPr>
        <w:spacing w:line="400" w:lineRule="exact"/>
        <w:jc w:val="center"/>
        <w:outlineLvl w:val="1"/>
        <w:rPr>
          <w:rFonts w:hint="eastAsia" w:ascii="宋体" w:hAnsi="宋体" w:eastAsia="宋体" w:cs="宋体"/>
          <w:b/>
          <w:color w:val="auto"/>
          <w:sz w:val="26"/>
          <w:highlight w:val="none"/>
        </w:rPr>
      </w:pPr>
      <w:bookmarkStart w:id="13" w:name="_Toc20701"/>
      <w:r>
        <w:rPr>
          <w:rFonts w:hint="eastAsia" w:ascii="宋体" w:hAnsi="宋体" w:eastAsia="宋体" w:cs="宋体"/>
          <w:b/>
          <w:color w:val="auto"/>
          <w:sz w:val="26"/>
          <w:highlight w:val="none"/>
        </w:rPr>
        <w:t>六、授予合同</w:t>
      </w:r>
      <w:bookmarkEnd w:id="13"/>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4.采购人不得向供应商索要或者接受其给予的赠品、回扣或者与采购无关的其他商品、服务。采购过程（采购文件）中应明确以下要求：</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4.1不得明示或暗示供应商提供赠品、回扣、采购预算中本身不包含的其他商品或服务；</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4.2供应商承诺提供赠品、回扣、采购预算中本身不包含的其他商品或服务，视作无效承诺；不得因无效承诺对供应商实行差别待遇或者歧视待遇；</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4.3合同总价不为零，报价明细表中部分产品、服务单价为零的，视作已包含在总价中（采购文件中明确）；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4.4不得将供应商提供赠品、回扣、采购预算中本身不包含的其他商品或服务作为中标（成交）条件或者合同签订条件；</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4.5合同签订后，不得接受供应商无效承诺的赠品、回扣、采购预算中本身不包含的其他商品或服务；</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4.6合同签订后，不得向供应商索要赠品、回扣、采购预算中本身不包含的其他商品或服务；</w:t>
      </w:r>
    </w:p>
    <w:p>
      <w:pPr>
        <w:spacing w:line="360" w:lineRule="exact"/>
        <w:ind w:firstLine="464" w:firstLineChars="200"/>
        <w:rPr>
          <w:rFonts w:hint="eastAsia" w:ascii="宋体" w:hAnsi="宋体" w:eastAsia="宋体" w:cs="宋体"/>
          <w:color w:val="auto"/>
          <w:highlight w:val="none"/>
        </w:rPr>
      </w:pPr>
      <w:r>
        <w:rPr>
          <w:rFonts w:hint="eastAsia" w:ascii="宋体" w:hAnsi="宋体" w:eastAsia="宋体" w:cs="宋体"/>
          <w:color w:val="auto"/>
          <w:spacing w:val="6"/>
          <w:sz w:val="22"/>
          <w:highlight w:val="none"/>
        </w:rPr>
        <w:t>4.7履约验收环节，不得因供应商提供赠品、回扣、采购预算中本身不包含的其他商品或服务减免供应商违约责任。</w:t>
      </w:r>
    </w:p>
    <w:p>
      <w:pPr>
        <w:spacing w:line="360" w:lineRule="exact"/>
        <w:jc w:val="center"/>
        <w:rPr>
          <w:rFonts w:hint="eastAsia" w:ascii="宋体" w:hAnsi="宋体" w:eastAsia="宋体" w:cs="宋体"/>
          <w:b/>
          <w:color w:val="auto"/>
          <w:sz w:val="26"/>
          <w:highlight w:val="none"/>
        </w:rPr>
      </w:pPr>
    </w:p>
    <w:p>
      <w:pPr>
        <w:spacing w:line="360" w:lineRule="exact"/>
        <w:jc w:val="center"/>
        <w:outlineLvl w:val="1"/>
        <w:rPr>
          <w:rFonts w:hint="eastAsia" w:ascii="宋体" w:hAnsi="宋体" w:eastAsia="宋体" w:cs="宋体"/>
          <w:b/>
          <w:color w:val="auto"/>
          <w:sz w:val="28"/>
          <w:szCs w:val="28"/>
          <w:highlight w:val="none"/>
        </w:rPr>
      </w:pPr>
      <w:bookmarkStart w:id="14" w:name="_Toc32512"/>
      <w:r>
        <w:rPr>
          <w:rFonts w:hint="eastAsia" w:ascii="宋体" w:hAnsi="宋体" w:eastAsia="宋体" w:cs="宋体"/>
          <w:b/>
          <w:color w:val="auto"/>
          <w:sz w:val="26"/>
          <w:highlight w:val="none"/>
        </w:rPr>
        <w:t>七、</w:t>
      </w:r>
      <w:r>
        <w:rPr>
          <w:rFonts w:hint="eastAsia" w:ascii="宋体" w:hAnsi="宋体" w:eastAsia="宋体" w:cs="宋体"/>
          <w:b/>
          <w:color w:val="auto"/>
          <w:sz w:val="28"/>
          <w:szCs w:val="28"/>
          <w:highlight w:val="none"/>
        </w:rPr>
        <w:t>可中止电子交易活动的情形</w:t>
      </w:r>
      <w:bookmarkEnd w:id="14"/>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w:t>
      </w:r>
      <w:r>
        <w:rPr>
          <w:rFonts w:hint="eastAsia" w:ascii="宋体" w:hAnsi="宋体" w:eastAsia="宋体" w:cs="宋体"/>
          <w:color w:val="auto"/>
          <w:spacing w:val="6"/>
          <w:sz w:val="22"/>
          <w:highlight w:val="none"/>
          <w:lang w:val="zh-CN"/>
        </w:rPr>
        <w:t>采购过程中出现以下情形，导致电子交易平台无法正常运行，或者无法保证电子交易的公平、公正和安全时，采购组织机构可中止电子交易活动：</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1.1</w:t>
      </w:r>
      <w:r>
        <w:rPr>
          <w:rFonts w:hint="eastAsia" w:ascii="宋体" w:hAnsi="宋体" w:eastAsia="宋体" w:cs="宋体"/>
          <w:color w:val="auto"/>
          <w:spacing w:val="6"/>
          <w:sz w:val="22"/>
          <w:highlight w:val="none"/>
          <w:lang w:val="zh-CN"/>
        </w:rPr>
        <w:t>电子交易平台发生故障而无法登录访问的； </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1.2</w:t>
      </w:r>
      <w:r>
        <w:rPr>
          <w:rFonts w:hint="eastAsia" w:ascii="宋体" w:hAnsi="宋体" w:eastAsia="宋体" w:cs="宋体"/>
          <w:color w:val="auto"/>
          <w:spacing w:val="6"/>
          <w:sz w:val="22"/>
          <w:highlight w:val="none"/>
          <w:lang w:val="zh-CN"/>
        </w:rPr>
        <w:t>电子交易平台应用或数据库出现错误，不能进行正常操作的；</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1.3</w:t>
      </w:r>
      <w:r>
        <w:rPr>
          <w:rFonts w:hint="eastAsia" w:ascii="宋体" w:hAnsi="宋体" w:eastAsia="宋体" w:cs="宋体"/>
          <w:color w:val="auto"/>
          <w:spacing w:val="6"/>
          <w:sz w:val="22"/>
          <w:highlight w:val="none"/>
          <w:lang w:val="zh-CN"/>
        </w:rPr>
        <w:t>电子交易平台发现严重安全漏洞，有潜在泄密危险的；</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1.4</w:t>
      </w:r>
      <w:r>
        <w:rPr>
          <w:rFonts w:hint="eastAsia" w:ascii="宋体" w:hAnsi="宋体" w:eastAsia="宋体" w:cs="宋体"/>
          <w:color w:val="auto"/>
          <w:spacing w:val="6"/>
          <w:sz w:val="22"/>
          <w:highlight w:val="none"/>
          <w:lang w:val="zh-CN"/>
        </w:rPr>
        <w:t>病毒发作导致不能进行正常操作的； </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1.5其他无法保证电子交易的公平、公正和安全的情况。</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pPr>
        <w:spacing w:line="360" w:lineRule="exact"/>
        <w:jc w:val="center"/>
        <w:outlineLvl w:val="0"/>
        <w:rPr>
          <w:rFonts w:hint="eastAsia" w:ascii="宋体" w:hAnsi="宋体" w:eastAsia="宋体" w:cs="宋体"/>
          <w:b/>
          <w:bCs/>
          <w:color w:val="auto"/>
          <w:szCs w:val="21"/>
          <w:highlight w:val="none"/>
        </w:rPr>
      </w:pPr>
      <w:bookmarkStart w:id="15" w:name="_Toc2785"/>
      <w:r>
        <w:rPr>
          <w:rFonts w:hint="eastAsia" w:ascii="宋体" w:hAnsi="宋体" w:eastAsia="宋体" w:cs="宋体"/>
          <w:b/>
          <w:color w:val="auto"/>
          <w:sz w:val="32"/>
          <w:highlight w:val="none"/>
        </w:rPr>
        <w:t xml:space="preserve">第三部分 </w:t>
      </w:r>
      <w:r>
        <w:rPr>
          <w:rFonts w:hint="eastAsia" w:ascii="宋体" w:hAnsi="宋体" w:eastAsia="宋体" w:cs="宋体"/>
          <w:b/>
          <w:bCs/>
          <w:color w:val="auto"/>
          <w:sz w:val="32"/>
          <w:szCs w:val="32"/>
          <w:highlight w:val="none"/>
        </w:rPr>
        <w:t>拟签订的合同文本</w:t>
      </w:r>
      <w:bookmarkEnd w:id="15"/>
    </w:p>
    <w:p>
      <w:pPr>
        <w:spacing w:line="350" w:lineRule="exact"/>
        <w:jc w:val="center"/>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（本合同为样稿，最终稿由甲乙双方协商后确定）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u w:val="single"/>
          <w:lang w:val="en-US"/>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______年_______月_______日在</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的_______项目采购中，</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接受</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对本次设备的投标，</w:t>
      </w:r>
      <w:r>
        <w:rPr>
          <w:rFonts w:hint="eastAsia" w:ascii="宋体" w:hAnsi="宋体" w:eastAsia="宋体" w:cs="宋体"/>
          <w:color w:val="auto"/>
          <w:sz w:val="22"/>
          <w:szCs w:val="22"/>
          <w:highlight w:val="none"/>
          <w:lang w:eastAsia="zh-CN"/>
        </w:rPr>
        <w:t>甲乙</w:t>
      </w:r>
      <w:r>
        <w:rPr>
          <w:rFonts w:hint="eastAsia" w:ascii="宋体" w:hAnsi="宋体" w:eastAsia="宋体" w:cs="宋体"/>
          <w:color w:val="auto"/>
          <w:sz w:val="22"/>
          <w:szCs w:val="22"/>
          <w:highlight w:val="none"/>
        </w:rPr>
        <w:t>双方根据《中华人民共和国民法典》等法规和本合同的</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及其投标中的承诺，经双方协商，同意签订本合同，共同遵守。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color w:val="auto"/>
          <w:sz w:val="22"/>
          <w:szCs w:val="22"/>
          <w:highlight w:val="none"/>
          <w:u w:val="single"/>
        </w:rPr>
      </w:pPr>
      <w:bookmarkStart w:id="16" w:name="_Toc8075"/>
      <w:bookmarkStart w:id="17" w:name="_Toc32108"/>
      <w:bookmarkStart w:id="18" w:name="_Toc31804"/>
      <w:r>
        <w:rPr>
          <w:rFonts w:hint="eastAsia" w:ascii="宋体" w:hAnsi="宋体" w:eastAsia="宋体" w:cs="宋体"/>
          <w:color w:val="auto"/>
          <w:sz w:val="22"/>
          <w:szCs w:val="22"/>
          <w:highlight w:val="none"/>
        </w:rPr>
        <w:t>1、采购设备内容及价格（详细清单可附后）单位：</w:t>
      </w:r>
      <w:r>
        <w:rPr>
          <w:rFonts w:hint="eastAsia" w:ascii="宋体" w:hAnsi="宋体" w:eastAsia="宋体" w:cs="宋体"/>
          <w:color w:val="auto"/>
          <w:sz w:val="22"/>
          <w:szCs w:val="22"/>
          <w:highlight w:val="none"/>
          <w:u w:val="single"/>
        </w:rPr>
        <w:t>元</w:t>
      </w:r>
      <w:bookmarkEnd w:id="16"/>
      <w:bookmarkEnd w:id="17"/>
      <w:bookmarkEnd w:id="18"/>
    </w:p>
    <w:tbl>
      <w:tblPr>
        <w:tblStyle w:val="31"/>
        <w:tblW w:w="0" w:type="auto"/>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67"/>
        <w:gridCol w:w="1266"/>
        <w:gridCol w:w="2367"/>
        <w:gridCol w:w="867"/>
        <w:gridCol w:w="883"/>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型号规格和主要配置</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11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合计：（大写）元整小写：￥</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2、本合同总价为</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在正确地完全履行合同义务后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应支付给</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有的货物价款，即货物的采购、材料、尺寸量丈费用、不合体修改费用、供货、设备安装、税金、运输、装卸、验收（含第三方验收）、技术服务、售后服务等全部费用，实行固定费用总包干。除发生下列因素可调整合同价外，不得以任何其他理由调整任何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19" w:name="_Toc20933"/>
      <w:bookmarkStart w:id="20" w:name="_Toc18104"/>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标准</w:t>
      </w:r>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本合同项下交付的货物应符合技术规格所述的标准。如在</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中无相应说明，则以国家颁布的最新版本标准或行业（部）标准或相应的国际标准执行，没有国家或行业（部）标准的则按企业标准执行。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除非技术规格中另有规定，计量单位均采用中华人民共和国法定计量单位。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1" w:name="_Toc11117"/>
      <w:bookmarkStart w:id="22" w:name="_Toc17453"/>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专利权</w:t>
      </w:r>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应保证，</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在使用该货物或货物的任何一部分时，免受第三方提出的侵犯其专利权、商标权、著作权或其它知识产权的起诉。</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应承担由此可能产生的一切法律责任和费用。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3" w:name="_Toc4030"/>
      <w:bookmarkStart w:id="24" w:name="_Toc26256"/>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、设备、材料供应</w:t>
      </w:r>
      <w:bookmarkEnd w:id="23"/>
      <w:bookmarkEnd w:id="24"/>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本合同范围所需的设备均由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提供。采购供应的材料、设备均须有合格证、质保书等相关技术资料。如发现不合格的设备材料，由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承担全部的经济损失和责任。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5" w:name="_Toc31425"/>
      <w:bookmarkStart w:id="26" w:name="_Toc20143"/>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、产品包装</w:t>
      </w:r>
      <w:bookmarkEnd w:id="25"/>
      <w:bookmarkEnd w:id="26"/>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w:t>
      </w:r>
      <w:r>
        <w:rPr>
          <w:rFonts w:hint="eastAsia" w:ascii="宋体" w:hAnsi="宋体" w:eastAsia="宋体" w:cs="宋体"/>
          <w:color w:val="auto"/>
          <w:spacing w:val="-2"/>
          <w:sz w:val="22"/>
          <w:szCs w:val="22"/>
          <w:highlight w:val="none"/>
        </w:rPr>
        <w:t>除合同另有规定外，</w:t>
      </w:r>
      <w:r>
        <w:rPr>
          <w:rFonts w:hint="eastAsia" w:ascii="宋体" w:hAnsi="宋体" w:eastAsia="宋体" w:cs="宋体"/>
          <w:color w:val="auto"/>
          <w:spacing w:val="-2"/>
          <w:sz w:val="22"/>
          <w:szCs w:val="22"/>
          <w:highlight w:val="none"/>
          <w:lang w:eastAsia="zh-CN"/>
        </w:rPr>
        <w:t>乙方</w:t>
      </w:r>
      <w:r>
        <w:rPr>
          <w:rFonts w:hint="eastAsia" w:ascii="宋体" w:hAnsi="宋体" w:eastAsia="宋体" w:cs="宋体"/>
          <w:color w:val="auto"/>
          <w:spacing w:val="-2"/>
          <w:sz w:val="22"/>
          <w:szCs w:val="22"/>
          <w:highlight w:val="none"/>
        </w:rPr>
        <w:t>应提供货物运至合同规定的最终目的地所需要的包装，以防止货物在转运中损坏或变质。这类包装应采取防霉、防潮、防晒、防腐蚀、防震动及防止其他损坏的必要保护措施，从而保护货物能够经受多次搬运、装卸储存等并充分考虑到运输途中的各种复杂情况（例如恶劣天气）和温州地区气候特点、以及露天存放问题。</w:t>
      </w:r>
      <w:r>
        <w:rPr>
          <w:rFonts w:hint="eastAsia" w:ascii="宋体" w:hAnsi="宋体" w:eastAsia="宋体" w:cs="宋体"/>
          <w:color w:val="auto"/>
          <w:spacing w:val="-2"/>
          <w:sz w:val="22"/>
          <w:szCs w:val="22"/>
          <w:highlight w:val="none"/>
          <w:lang w:eastAsia="zh-CN"/>
        </w:rPr>
        <w:t>乙方</w:t>
      </w:r>
      <w:r>
        <w:rPr>
          <w:rFonts w:hint="eastAsia" w:ascii="宋体" w:hAnsi="宋体" w:eastAsia="宋体" w:cs="宋体"/>
          <w:color w:val="auto"/>
          <w:spacing w:val="-2"/>
          <w:sz w:val="22"/>
          <w:szCs w:val="22"/>
          <w:highlight w:val="none"/>
        </w:rPr>
        <w:t>应承担由于其包装或其防护措施不妥而引起货物破损和丢失的任何损失的责任或费用。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.2每一包装箱内必须附有装箱清单。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7" w:name="_Toc21390"/>
      <w:bookmarkStart w:id="28" w:name="_Toc9378"/>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装运标记</w:t>
      </w:r>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根据货物的特点和运输的不同要求，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还应清楚地标注“小心轻放”、“防潮”、“此端向上”、“请勿倒置”“保持干燥”等字样和其他国际贸易中使用的适当标志。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9" w:name="_Toc10018"/>
      <w:bookmarkStart w:id="30" w:name="_Toc12987"/>
      <w:r>
        <w:rPr>
          <w:rFonts w:hint="eastAsia" w:ascii="宋体" w:hAnsi="宋体" w:eastAsia="宋体" w:cs="宋体"/>
          <w:b/>
          <w:bCs/>
          <w:color w:val="auto"/>
          <w:sz w:val="22"/>
          <w:szCs w:val="22"/>
          <w:highlight w:val="none"/>
          <w:lang w:val="en-US" w:eastAsia="zh-CN"/>
        </w:rPr>
        <w:t>8、</w:t>
      </w:r>
      <w:r>
        <w:rPr>
          <w:rFonts w:hint="eastAsia" w:ascii="宋体" w:hAnsi="宋体" w:eastAsia="宋体" w:cs="宋体"/>
          <w:b/>
          <w:bCs/>
          <w:color w:val="auto"/>
          <w:sz w:val="22"/>
          <w:szCs w:val="22"/>
          <w:highlight w:val="none"/>
        </w:rPr>
        <w:t>交货方式：</w:t>
      </w:r>
      <w:bookmarkEnd w:id="29"/>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8.1</w:t>
      </w:r>
      <w:r>
        <w:rPr>
          <w:rFonts w:hint="eastAsia" w:ascii="宋体" w:hAnsi="宋体" w:eastAsia="宋体" w:cs="宋体"/>
          <w:color w:val="auto"/>
          <w:sz w:val="22"/>
          <w:szCs w:val="22"/>
          <w:highlight w:val="none"/>
        </w:rPr>
        <w:t>现场交货：</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负责办理运输和保险，将货物运抵</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指定的现场并落地安装就位。有关运输和保险的一切费用由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承担。所有货物运抵现场安装完毕的日期为交货日期。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8.2</w:t>
      </w:r>
      <w:r>
        <w:rPr>
          <w:rFonts w:hint="eastAsia" w:ascii="宋体" w:hAnsi="宋体" w:eastAsia="宋体" w:cs="宋体"/>
          <w:color w:val="auto"/>
          <w:sz w:val="22"/>
          <w:szCs w:val="22"/>
          <w:highlight w:val="none"/>
        </w:rPr>
        <w:t>在现场交货条件下，</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在货物发运前15天，将要发运货物的名称、规格、数量、尺寸、重量和货物的卸车，贮存的特殊要求以及运输工具名称以及启运日期，通知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8.3</w:t>
      </w:r>
      <w:r>
        <w:rPr>
          <w:rFonts w:hint="eastAsia" w:ascii="宋体" w:hAnsi="宋体" w:eastAsia="宋体" w:cs="宋体"/>
          <w:color w:val="auto"/>
          <w:sz w:val="22"/>
          <w:szCs w:val="22"/>
          <w:highlight w:val="none"/>
        </w:rPr>
        <w:t>如因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延误将上述内容通知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，由此引起的一切损失应由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8.4</w:t>
      </w:r>
      <w:r>
        <w:rPr>
          <w:rFonts w:hint="eastAsia" w:ascii="宋体" w:hAnsi="宋体" w:eastAsia="宋体" w:cs="宋体"/>
          <w:color w:val="auto"/>
          <w:sz w:val="22"/>
          <w:szCs w:val="22"/>
          <w:highlight w:val="none"/>
        </w:rPr>
        <w:t>交付使用时间：_____________，交货地点：</w:t>
      </w:r>
      <w:r>
        <w:rPr>
          <w:rFonts w:hint="eastAsia" w:ascii="宋体" w:hAnsi="宋体" w:eastAsia="宋体" w:cs="宋体"/>
          <w:color w:val="auto"/>
          <w:sz w:val="22"/>
          <w:szCs w:val="22"/>
          <w:highlight w:val="none"/>
          <w:u w:val="single"/>
          <w:lang w:eastAsia="zh-CN"/>
        </w:rPr>
        <w:t>甲方</w:t>
      </w:r>
      <w:r>
        <w:rPr>
          <w:rFonts w:hint="eastAsia" w:ascii="宋体" w:hAnsi="宋体" w:eastAsia="宋体" w:cs="宋体"/>
          <w:color w:val="auto"/>
          <w:sz w:val="22"/>
          <w:szCs w:val="22"/>
          <w:highlight w:val="none"/>
          <w:u w:val="single"/>
        </w:rPr>
        <w:t>指定地点</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31" w:name="_Toc7302"/>
      <w:bookmarkStart w:id="32" w:name="_Toc7016"/>
      <w:r>
        <w:rPr>
          <w:rFonts w:hint="eastAsia" w:ascii="宋体" w:hAnsi="宋体" w:eastAsia="宋体" w:cs="宋体"/>
          <w:b/>
          <w:bCs/>
          <w:color w:val="auto"/>
          <w:sz w:val="22"/>
          <w:szCs w:val="22"/>
          <w:highlight w:val="none"/>
          <w:lang w:val="en-US" w:eastAsia="zh-CN"/>
        </w:rPr>
        <w:t>9、</w:t>
      </w:r>
      <w:bookmarkStart w:id="33" w:name="_Toc30272"/>
      <w:bookmarkStart w:id="34" w:name="_Toc19074"/>
      <w:bookmarkStart w:id="35" w:name="_Toc26182"/>
      <w:r>
        <w:rPr>
          <w:rFonts w:hint="eastAsia" w:ascii="宋体" w:hAnsi="宋体" w:eastAsia="宋体" w:cs="宋体"/>
          <w:b/>
          <w:bCs/>
          <w:color w:val="auto"/>
          <w:sz w:val="22"/>
          <w:szCs w:val="22"/>
          <w:highlight w:val="none"/>
        </w:rPr>
        <w:t>履约检查和问题反馈</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bookmarkStart w:id="36" w:name="_Ref467379657"/>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w:t>
      </w:r>
      <w:bookmarkEnd w:id="36"/>
      <w:bookmarkStart w:id="37" w:name="_Toc186431854"/>
      <w:bookmarkStart w:id="38" w:name="_Toc487900357"/>
      <w:bookmarkStart w:id="39" w:name="_Toc279701247"/>
      <w:bookmarkStart w:id="40" w:name="_Toc259093676"/>
      <w:bookmarkStart w:id="41" w:name="_Ref467379807"/>
      <w:bookmarkStart w:id="42" w:name="_Ref467379793"/>
      <w:r>
        <w:rPr>
          <w:rFonts w:hint="eastAsia" w:ascii="宋体" w:hAnsi="宋体" w:eastAsia="宋体" w:cs="宋体"/>
          <w:color w:val="auto"/>
          <w:sz w:val="22"/>
          <w:szCs w:val="22"/>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合同履行期间，甲方有权将履行过程中出现的问题反馈给乙方，双方当事人应以书面形式约定需要完善和改进的内容</w:t>
      </w:r>
      <w:bookmarkEnd w:id="37"/>
      <w:bookmarkStart w:id="43" w:name="_Toc186431855"/>
      <w:r>
        <w:rPr>
          <w:rFonts w:hint="eastAsia" w:ascii="宋体" w:hAnsi="宋体" w:eastAsia="宋体" w:cs="宋体"/>
          <w:color w:val="auto"/>
          <w:sz w:val="22"/>
          <w:szCs w:val="22"/>
          <w:highlight w:val="none"/>
        </w:rPr>
        <w:t>。</w:t>
      </w:r>
      <w:bookmarkEnd w:id="38"/>
      <w:bookmarkEnd w:id="39"/>
      <w:bookmarkEnd w:id="40"/>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技术文件</w:t>
      </w:r>
      <w:bookmarkEnd w:id="31"/>
      <w:bookmarkEnd w:id="32"/>
      <w:r>
        <w:rPr>
          <w:rFonts w:hint="eastAsia" w:ascii="宋体" w:hAnsi="宋体" w:eastAsia="宋体" w:cs="宋体"/>
          <w:b/>
          <w:bCs/>
          <w:color w:val="auto"/>
          <w:sz w:val="22"/>
          <w:szCs w:val="22"/>
          <w:highlight w:val="none"/>
        </w:rPr>
        <w:t>和保密义务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44" w:name="_Toc17909"/>
      <w:bookmarkStart w:id="45" w:name="_Toc26592"/>
      <w:r>
        <w:rPr>
          <w:rFonts w:hint="eastAsia" w:ascii="宋体" w:hAnsi="宋体" w:eastAsia="宋体" w:cs="宋体"/>
          <w:b/>
          <w:bCs/>
          <w:color w:val="auto"/>
          <w:sz w:val="22"/>
          <w:szCs w:val="22"/>
          <w:highlight w:val="none"/>
          <w:lang w:val="en-US" w:eastAsia="zh-CN"/>
        </w:rPr>
        <w:t>11</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质量保证</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所提供的货物应保证是企业原厂生产的，而不是其他地方生产的、全新的、未使用过的，是用一流的工艺和最佳材料制造而成的，并完全符合合同规定的质量、规格和尺寸要求。在货物质量保证期内，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应对由于设计、工艺、材料和配套件的缺陷所产生的任何不足或故障负责。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.2根据</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按检验标准检验的结果或当地质检部门检验的结果，或者在质量保证期内，如果货物的数量、质量或规格与合同不符，或证实货物是有缺陷的，包括潜在的缺陷或使用不符合要求的面料等，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应尽快以书面形式通知</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，提出索赔。</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在收到通知后，应在规定期限内，更换有缺陷的或不符合要求的规格和尺寸，同时相应延长质量保证期。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.3如在使用过程中发生质量问题，乙方在接到甲方通知后在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小时内到达甲方现场。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11.4</w:t>
      </w:r>
      <w:r>
        <w:rPr>
          <w:rFonts w:hint="eastAsia" w:ascii="宋体" w:hAnsi="宋体" w:eastAsia="宋体" w:cs="宋体"/>
          <w:color w:val="auto"/>
          <w:sz w:val="22"/>
          <w:szCs w:val="22"/>
          <w:highlight w:val="none"/>
        </w:rPr>
        <w:t>本合同项下所有产品应提供自货物验收合格并交付使用后</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年的现场免费质保期，如厂商本身承诺的产品质保期高于此要求的则按照厂商承诺执行。在质量保证期内，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对由于产品设计、工艺、材料、配套件的缺陷而造成的任何产品质量问题或故障负责。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lang w:val="en-US" w:eastAsia="zh-CN"/>
        </w:rPr>
      </w:pPr>
      <w:bookmarkStart w:id="46" w:name="_Toc29443"/>
      <w:bookmarkStart w:id="47" w:name="_Toc23724"/>
      <w:r>
        <w:rPr>
          <w:rFonts w:hint="eastAsia" w:ascii="宋体" w:hAnsi="宋体" w:eastAsia="宋体" w:cs="宋体"/>
          <w:b/>
          <w:bCs/>
          <w:color w:val="auto"/>
          <w:sz w:val="22"/>
          <w:szCs w:val="22"/>
          <w:highlight w:val="none"/>
          <w:lang w:val="en-US" w:eastAsia="zh-CN"/>
        </w:rPr>
        <w:t>12、履约保证金及支付方式</w:t>
      </w:r>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12.1履约保证金</w:t>
      </w:r>
    </w:p>
    <w:p>
      <w:pPr>
        <w:pStyle w:val="9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sz w:val="22"/>
          <w:szCs w:val="22"/>
          <w:highlight w:val="none"/>
        </w:rPr>
      </w:pPr>
      <w:bookmarkStart w:id="48" w:name="_Toc22618"/>
      <w:bookmarkStart w:id="49" w:name="_Toc10340"/>
      <w:bookmarkStart w:id="50" w:name="_Toc1814"/>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（是/否）需要支付履约保证金。若需要支付履约保证金的，则：</w:t>
      </w:r>
    </w:p>
    <w:p>
      <w:pPr>
        <w:pStyle w:val="9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12.1.</w:t>
      </w:r>
      <w:r>
        <w:rPr>
          <w:rFonts w:hint="eastAsia" w:ascii="宋体" w:hAnsi="宋体" w:eastAsia="宋体" w:cs="宋体"/>
          <w:color w:val="auto"/>
          <w:kern w:val="0"/>
          <w:sz w:val="22"/>
          <w:szCs w:val="22"/>
          <w:highlight w:val="none"/>
        </w:rPr>
        <w:t>1履约保证金的比例为合同金额的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pPr>
        <w:pStyle w:val="9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12.1</w:t>
      </w:r>
      <w:r>
        <w:rPr>
          <w:rFonts w:hint="eastAsia" w:ascii="宋体" w:hAnsi="宋体" w:eastAsia="宋体" w:cs="宋体"/>
          <w:color w:val="auto"/>
          <w:kern w:val="0"/>
          <w:sz w:val="22"/>
          <w:szCs w:val="22"/>
          <w:highlight w:val="none"/>
        </w:rPr>
        <w:t>.2履约保证金支付方式详见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spacing w:val="-6"/>
          <w:kern w:val="0"/>
          <w:sz w:val="22"/>
          <w:szCs w:val="22"/>
          <w:highlight w:val="none"/>
          <w:u w:val="single"/>
          <w:lang w:bidi="ar"/>
        </w:rPr>
        <w:t>合同签订</w:t>
      </w:r>
      <w:r>
        <w:rPr>
          <w:rFonts w:hint="eastAsia" w:ascii="宋体" w:hAnsi="宋体" w:cs="宋体"/>
          <w:color w:val="auto"/>
          <w:spacing w:val="-6"/>
          <w:kern w:val="0"/>
          <w:sz w:val="22"/>
          <w:szCs w:val="22"/>
          <w:highlight w:val="none"/>
          <w:u w:val="single"/>
          <w:lang w:val="en-US" w:eastAsia="zh-CN" w:bidi="ar"/>
        </w:rPr>
        <w:t>后5个工作日内</w:t>
      </w:r>
      <w:r>
        <w:rPr>
          <w:rFonts w:hint="eastAsia" w:ascii="宋体" w:hAnsi="宋体" w:eastAsia="宋体" w:cs="宋体"/>
          <w:color w:val="auto"/>
          <w:spacing w:val="-6"/>
          <w:kern w:val="0"/>
          <w:sz w:val="22"/>
          <w:szCs w:val="22"/>
          <w:highlight w:val="none"/>
          <w:u w:val="single"/>
          <w:lang w:bidi="ar"/>
        </w:rPr>
        <w:t>，</w:t>
      </w:r>
      <w:r>
        <w:rPr>
          <w:rFonts w:hint="eastAsia" w:ascii="宋体" w:hAnsi="宋体" w:eastAsia="宋体" w:cs="宋体"/>
          <w:color w:val="auto"/>
          <w:sz w:val="22"/>
          <w:szCs w:val="22"/>
          <w:highlight w:val="none"/>
          <w:u w:val="single"/>
          <w:lang w:val="en-US" w:eastAsia="zh-CN"/>
        </w:rPr>
        <w:t>以支票、汇票、本票或者金融机构、担保机构出具的保函等非现金形式</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pPr>
        <w:pStyle w:val="9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b w:val="0"/>
          <w:bCs w:val="0"/>
          <w:color w:val="auto"/>
          <w:kern w:val="0"/>
          <w:sz w:val="22"/>
          <w:szCs w:val="22"/>
          <w:highlight w:val="none"/>
          <w:lang w:val="en-US"/>
        </w:rPr>
      </w:pPr>
      <w:r>
        <w:rPr>
          <w:rFonts w:hint="eastAsia" w:ascii="宋体" w:hAnsi="宋体" w:eastAsia="宋体" w:cs="宋体"/>
          <w:b w:val="0"/>
          <w:bCs w:val="0"/>
          <w:color w:val="auto"/>
          <w:kern w:val="0"/>
          <w:sz w:val="22"/>
          <w:szCs w:val="22"/>
          <w:highlight w:val="none"/>
          <w:lang w:val="en-US"/>
        </w:rPr>
        <w:t>1</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lang w:val="en-US"/>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98"/>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2.1</w:t>
      </w:r>
      <w:r>
        <w:rPr>
          <w:rFonts w:hint="eastAsia" w:ascii="宋体" w:hAnsi="宋体" w:eastAsia="宋体" w:cs="宋体"/>
          <w:color w:val="auto"/>
          <w:kern w:val="0"/>
          <w:sz w:val="22"/>
          <w:szCs w:val="22"/>
          <w:highlight w:val="none"/>
        </w:rPr>
        <w:t>.4 甲方在项目验收结束后及时退还履约保证金。甲方在项目通过验收之日起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7</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2"/>
          <w:szCs w:val="22"/>
          <w:highlight w:val="none"/>
          <w:u w:val="single"/>
        </w:rPr>
        <w:t xml:space="preserve">  0.05（可根据情况修改）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%计算，最高限额为本合同履约保证金的</w:t>
      </w:r>
      <w:r>
        <w:rPr>
          <w:rFonts w:hint="eastAsia" w:ascii="宋体" w:hAnsi="宋体" w:eastAsia="宋体" w:cs="宋体"/>
          <w:color w:val="auto"/>
          <w:kern w:val="0"/>
          <w:sz w:val="22"/>
          <w:szCs w:val="22"/>
          <w:highlight w:val="none"/>
          <w:u w:val="single"/>
        </w:rPr>
        <w:t xml:space="preserve">  20  </w:t>
      </w:r>
      <w:r>
        <w:rPr>
          <w:rFonts w:hint="eastAsia" w:ascii="宋体" w:hAnsi="宋体" w:eastAsia="宋体" w:cs="宋体"/>
          <w:color w:val="auto"/>
          <w:kern w:val="0"/>
          <w:sz w:val="22"/>
          <w:szCs w:val="22"/>
          <w:highlight w:val="none"/>
        </w:rPr>
        <w:t xml:space="preserve"> %。</w:t>
      </w:r>
    </w:p>
    <w:bookmarkEnd w:id="48"/>
    <w:bookmarkEnd w:id="49"/>
    <w:bookmarkEnd w:id="50"/>
    <w:p>
      <w:pPr>
        <w:keepNext w:val="0"/>
        <w:keepLines w:val="0"/>
        <w:pageBreakBefore w:val="0"/>
        <w:kinsoku/>
        <w:wordWrap/>
        <w:overflowPunct/>
        <w:topLinePunct w:val="0"/>
        <w:autoSpaceDE/>
        <w:autoSpaceDN/>
        <w:bidi w:val="0"/>
        <w:adjustRightInd/>
        <w:snapToGrid/>
        <w:spacing w:line="400" w:lineRule="exact"/>
        <w:ind w:left="0" w:leftChars="0" w:right="0" w:righ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xml:space="preserve">12.2资金支付 </w:t>
      </w:r>
    </w:p>
    <w:p>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left="0" w:leftChars="0" w:right="0" w:rightChars="0" w:firstLine="416" w:firstLineChars="200"/>
        <w:jc w:val="left"/>
        <w:textAlignment w:val="auto"/>
        <w:rPr>
          <w:rFonts w:hint="eastAsia" w:ascii="宋体" w:hAnsi="宋体" w:eastAsia="宋体" w:cs="宋体"/>
          <w:color w:val="auto"/>
          <w:spacing w:val="-6"/>
          <w:kern w:val="0"/>
          <w:sz w:val="22"/>
          <w:szCs w:val="22"/>
          <w:highlight w:val="none"/>
          <w:u w:val="none"/>
          <w:lang w:val="en-US" w:bidi="ar"/>
        </w:rPr>
      </w:pPr>
      <w:r>
        <w:rPr>
          <w:rFonts w:hint="eastAsia" w:ascii="宋体" w:hAnsi="宋体" w:eastAsia="宋体" w:cs="宋体"/>
          <w:color w:val="auto"/>
          <w:spacing w:val="-6"/>
          <w:kern w:val="0"/>
          <w:sz w:val="22"/>
          <w:szCs w:val="22"/>
          <w:highlight w:val="none"/>
          <w:u w:val="none"/>
          <w:lang w:bidi="ar"/>
        </w:rPr>
        <w:t xml:space="preserve"> 合同生效以及具备实施条件后7个工作日内，且</w:t>
      </w:r>
      <w:r>
        <w:rPr>
          <w:rFonts w:hint="eastAsia" w:ascii="宋体" w:hAnsi="宋体" w:eastAsia="宋体" w:cs="宋体"/>
          <w:color w:val="auto"/>
          <w:spacing w:val="-6"/>
          <w:kern w:val="0"/>
          <w:sz w:val="22"/>
          <w:szCs w:val="22"/>
          <w:highlight w:val="none"/>
          <w:u w:val="none"/>
          <w:lang w:val="en-US" w:eastAsia="zh-CN" w:bidi="ar"/>
        </w:rPr>
        <w:t>乙方</w:t>
      </w:r>
      <w:r>
        <w:rPr>
          <w:rFonts w:hint="eastAsia" w:ascii="宋体" w:hAnsi="宋体" w:eastAsia="宋体" w:cs="宋体"/>
          <w:color w:val="auto"/>
          <w:spacing w:val="-6"/>
          <w:kern w:val="0"/>
          <w:sz w:val="22"/>
          <w:szCs w:val="22"/>
          <w:highlight w:val="none"/>
          <w:u w:val="none"/>
          <w:lang w:bidi="ar"/>
        </w:rPr>
        <w:t>已向</w:t>
      </w:r>
      <w:r>
        <w:rPr>
          <w:rFonts w:hint="eastAsia" w:ascii="宋体" w:hAnsi="宋体" w:eastAsia="宋体" w:cs="宋体"/>
          <w:color w:val="auto"/>
          <w:spacing w:val="-6"/>
          <w:kern w:val="0"/>
          <w:sz w:val="22"/>
          <w:szCs w:val="22"/>
          <w:highlight w:val="none"/>
          <w:u w:val="none"/>
          <w:lang w:val="en-US" w:eastAsia="zh-CN" w:bidi="ar"/>
        </w:rPr>
        <w:t>甲方</w:t>
      </w:r>
      <w:r>
        <w:rPr>
          <w:rFonts w:hint="eastAsia" w:ascii="宋体" w:hAnsi="宋体" w:eastAsia="宋体" w:cs="宋体"/>
          <w:color w:val="auto"/>
          <w:spacing w:val="-6"/>
          <w:kern w:val="0"/>
          <w:sz w:val="22"/>
          <w:szCs w:val="22"/>
          <w:highlight w:val="none"/>
          <w:u w:val="none"/>
          <w:lang w:bidi="ar"/>
        </w:rPr>
        <w:t>提交银行、保险公司等金融机构出具的预付款保函的，</w:t>
      </w:r>
      <w:r>
        <w:rPr>
          <w:rFonts w:hint="eastAsia" w:ascii="宋体" w:hAnsi="宋体" w:eastAsia="宋体" w:cs="宋体"/>
          <w:color w:val="auto"/>
          <w:spacing w:val="-6"/>
          <w:kern w:val="0"/>
          <w:sz w:val="22"/>
          <w:szCs w:val="22"/>
          <w:highlight w:val="none"/>
          <w:u w:val="none"/>
          <w:lang w:val="en-US" w:eastAsia="zh-CN" w:bidi="ar"/>
        </w:rPr>
        <w:t>甲方</w:t>
      </w:r>
      <w:r>
        <w:rPr>
          <w:rFonts w:hint="eastAsia" w:ascii="宋体" w:hAnsi="宋体" w:eastAsia="宋体" w:cs="宋体"/>
          <w:color w:val="auto"/>
          <w:spacing w:val="-6"/>
          <w:kern w:val="0"/>
          <w:sz w:val="22"/>
          <w:szCs w:val="22"/>
          <w:highlight w:val="none"/>
          <w:u w:val="none"/>
          <w:lang w:bidi="ar"/>
        </w:rPr>
        <w:t>向</w:t>
      </w:r>
      <w:r>
        <w:rPr>
          <w:rFonts w:hint="eastAsia" w:ascii="宋体" w:hAnsi="宋体" w:eastAsia="宋体" w:cs="宋体"/>
          <w:color w:val="auto"/>
          <w:spacing w:val="-6"/>
          <w:kern w:val="0"/>
          <w:sz w:val="22"/>
          <w:szCs w:val="22"/>
          <w:highlight w:val="none"/>
          <w:u w:val="none"/>
          <w:lang w:val="en-US" w:eastAsia="zh-CN" w:bidi="ar"/>
        </w:rPr>
        <w:t>乙方</w:t>
      </w:r>
      <w:r>
        <w:rPr>
          <w:rFonts w:hint="eastAsia" w:ascii="宋体" w:hAnsi="宋体" w:eastAsia="宋体" w:cs="宋体"/>
          <w:color w:val="auto"/>
          <w:spacing w:val="-6"/>
          <w:kern w:val="0"/>
          <w:sz w:val="22"/>
          <w:szCs w:val="22"/>
          <w:highlight w:val="none"/>
          <w:u w:val="none"/>
          <w:lang w:bidi="ar"/>
        </w:rPr>
        <w:t>支付合同总价40%的预付款，</w:t>
      </w:r>
      <w:r>
        <w:rPr>
          <w:rFonts w:hint="eastAsia" w:ascii="宋体" w:hAnsi="宋体" w:eastAsia="宋体" w:cs="宋体"/>
          <w:color w:val="auto"/>
          <w:spacing w:val="-6"/>
          <w:kern w:val="0"/>
          <w:sz w:val="22"/>
          <w:szCs w:val="22"/>
          <w:highlight w:val="none"/>
          <w:u w:val="none"/>
          <w:lang w:val="en-US" w:eastAsia="zh-CN" w:bidi="ar"/>
        </w:rPr>
        <w:t>甲方</w:t>
      </w:r>
      <w:r>
        <w:rPr>
          <w:rFonts w:hint="eastAsia" w:ascii="宋体" w:hAnsi="宋体" w:eastAsia="宋体" w:cs="宋体"/>
          <w:color w:val="auto"/>
          <w:spacing w:val="-6"/>
          <w:kern w:val="0"/>
          <w:sz w:val="22"/>
          <w:szCs w:val="22"/>
          <w:highlight w:val="none"/>
          <w:u w:val="none"/>
          <w:lang w:bidi="ar"/>
        </w:rPr>
        <w:t>在项目</w:t>
      </w:r>
      <w:r>
        <w:rPr>
          <w:rFonts w:hint="eastAsia" w:ascii="宋体" w:hAnsi="宋体" w:eastAsia="宋体" w:cs="宋体"/>
          <w:color w:val="auto"/>
          <w:spacing w:val="-6"/>
          <w:kern w:val="0"/>
          <w:sz w:val="22"/>
          <w:szCs w:val="22"/>
          <w:highlight w:val="none"/>
          <w:u w:val="none"/>
          <w:lang w:val="en-US" w:eastAsia="zh-CN" w:bidi="ar"/>
        </w:rPr>
        <w:t>验收</w:t>
      </w:r>
      <w:r>
        <w:rPr>
          <w:rFonts w:hint="eastAsia" w:ascii="宋体" w:hAnsi="宋体" w:eastAsia="宋体" w:cs="宋体"/>
          <w:color w:val="auto"/>
          <w:spacing w:val="-6"/>
          <w:kern w:val="0"/>
          <w:sz w:val="22"/>
          <w:szCs w:val="22"/>
          <w:highlight w:val="none"/>
          <w:u w:val="none"/>
          <w:lang w:bidi="ar"/>
        </w:rPr>
        <w:t>合格后向</w:t>
      </w:r>
      <w:r>
        <w:rPr>
          <w:rFonts w:hint="eastAsia" w:ascii="宋体" w:hAnsi="宋体" w:eastAsia="宋体" w:cs="宋体"/>
          <w:color w:val="auto"/>
          <w:spacing w:val="-6"/>
          <w:kern w:val="0"/>
          <w:sz w:val="22"/>
          <w:szCs w:val="22"/>
          <w:highlight w:val="none"/>
          <w:u w:val="none"/>
          <w:lang w:val="en-US" w:eastAsia="zh-CN" w:bidi="ar"/>
        </w:rPr>
        <w:t>乙方</w:t>
      </w:r>
      <w:r>
        <w:rPr>
          <w:rFonts w:hint="eastAsia" w:ascii="宋体" w:hAnsi="宋体" w:eastAsia="宋体" w:cs="宋体"/>
          <w:color w:val="auto"/>
          <w:spacing w:val="-6"/>
          <w:kern w:val="0"/>
          <w:sz w:val="22"/>
          <w:szCs w:val="22"/>
          <w:highlight w:val="none"/>
          <w:u w:val="none"/>
          <w:lang w:bidi="ar"/>
        </w:rPr>
        <w:t>支付</w:t>
      </w:r>
      <w:r>
        <w:rPr>
          <w:rFonts w:hint="eastAsia" w:ascii="宋体" w:hAnsi="宋体" w:eastAsia="宋体" w:cs="宋体"/>
          <w:color w:val="auto"/>
          <w:spacing w:val="-6"/>
          <w:kern w:val="0"/>
          <w:sz w:val="22"/>
          <w:szCs w:val="22"/>
          <w:highlight w:val="none"/>
          <w:u w:val="none"/>
          <w:lang w:val="en-US" w:eastAsia="zh-CN" w:bidi="ar"/>
        </w:rPr>
        <w:t>合同尾款</w:t>
      </w:r>
      <w:r>
        <w:rPr>
          <w:rFonts w:hint="eastAsia" w:ascii="宋体" w:hAnsi="宋体" w:eastAsia="宋体" w:cs="宋体"/>
          <w:color w:val="auto"/>
          <w:spacing w:val="-6"/>
          <w:kern w:val="0"/>
          <w:sz w:val="22"/>
          <w:szCs w:val="22"/>
          <w:highlight w:val="none"/>
          <w:u w:val="none"/>
          <w:lang w:val="zh-CN" w:bidi="ar"/>
        </w:rPr>
        <w:t>。</w:t>
      </w:r>
    </w:p>
    <w:p>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left="0" w:leftChars="0" w:right="0" w:rightChars="0" w:firstLine="416" w:firstLineChars="200"/>
        <w:jc w:val="left"/>
        <w:textAlignment w:val="auto"/>
        <w:rPr>
          <w:rFonts w:hint="eastAsia" w:ascii="宋体" w:hAnsi="宋体" w:eastAsia="宋体" w:cs="宋体"/>
          <w:color w:val="auto"/>
          <w:spacing w:val="-6"/>
          <w:kern w:val="0"/>
          <w:sz w:val="22"/>
          <w:szCs w:val="22"/>
          <w:highlight w:val="none"/>
          <w:u w:val="none"/>
          <w:lang w:bidi="ar"/>
        </w:rPr>
      </w:pPr>
      <w:r>
        <w:rPr>
          <w:rFonts w:hint="eastAsia" w:ascii="宋体" w:hAnsi="宋体" w:eastAsia="宋体" w:cs="宋体"/>
          <w:color w:val="auto"/>
          <w:spacing w:val="-6"/>
          <w:kern w:val="0"/>
          <w:sz w:val="22"/>
          <w:szCs w:val="22"/>
          <w:highlight w:val="none"/>
          <w:u w:val="none"/>
          <w:lang w:val="en-US" w:eastAsia="zh-CN" w:bidi="ar"/>
        </w:rPr>
        <w:t>注：在合同签订时，乙方明确表示无需预付款或者主动要求降低预付款比例的，按实际比例计</w:t>
      </w:r>
      <w:r>
        <w:rPr>
          <w:rFonts w:hint="eastAsia" w:ascii="宋体" w:hAnsi="宋体" w:eastAsia="宋体" w:cs="宋体"/>
          <w:color w:val="auto"/>
          <w:spacing w:val="-6"/>
          <w:kern w:val="0"/>
          <w:sz w:val="22"/>
          <w:szCs w:val="22"/>
          <w:highlight w:val="none"/>
          <w:u w:val="none"/>
          <w:lang w:bidi="ar"/>
        </w:rPr>
        <w:t>（预付款保函同步调整）</w:t>
      </w:r>
      <w:r>
        <w:rPr>
          <w:rFonts w:hint="eastAsia" w:ascii="宋体" w:hAnsi="宋体" w:eastAsia="宋体" w:cs="宋体"/>
          <w:color w:val="auto"/>
          <w:spacing w:val="-6"/>
          <w:kern w:val="0"/>
          <w:sz w:val="22"/>
          <w:szCs w:val="22"/>
          <w:highlight w:val="none"/>
          <w:u w:val="none"/>
          <w:lang w:val="en-US" w:eastAsia="zh-CN" w:bidi="ar"/>
        </w:rPr>
        <w:t>。甲方对于满足合同约定支付条件的，自收到发票后7个工作日内将资金支付到合同约定的乙方账户。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color w:val="auto"/>
          <w:sz w:val="22"/>
          <w:szCs w:val="22"/>
          <w:highlight w:val="none"/>
        </w:rPr>
      </w:pPr>
      <w:bookmarkStart w:id="51" w:name="_Toc11628"/>
      <w:bookmarkStart w:id="52" w:name="_Toc5740"/>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双方责任</w:t>
      </w:r>
      <w:bookmarkEnd w:id="51"/>
      <w:bookmarkEnd w:id="5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按合同规定向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支付货款。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组织对货物的验收。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.2 </w:t>
      </w:r>
      <w:r>
        <w:rPr>
          <w:rFonts w:hint="eastAsia" w:ascii="宋体" w:hAnsi="宋体" w:eastAsia="宋体" w:cs="宋体"/>
          <w:color w:val="auto"/>
          <w:sz w:val="22"/>
          <w:szCs w:val="22"/>
          <w:highlight w:val="none"/>
          <w:lang w:eastAsia="zh-CN"/>
        </w:rPr>
        <w:t>乙方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按合同要求提供货物和服务。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对所提供的货物和服务质量问题无条件负责处理。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53" w:name="_Toc21167"/>
      <w:bookmarkStart w:id="54" w:name="_Toc23143"/>
      <w:r>
        <w:rPr>
          <w:rFonts w:hint="eastAsia" w:ascii="宋体" w:hAnsi="宋体" w:eastAsia="宋体" w:cs="宋体"/>
          <w:b/>
          <w:bCs/>
          <w:color w:val="auto"/>
          <w:sz w:val="22"/>
          <w:szCs w:val="22"/>
          <w:highlight w:val="none"/>
          <w:lang w:val="en-US" w:eastAsia="zh-CN"/>
        </w:rPr>
        <w:t>14、</w:t>
      </w:r>
      <w:r>
        <w:rPr>
          <w:rFonts w:hint="eastAsia" w:ascii="宋体" w:hAnsi="宋体" w:eastAsia="宋体" w:cs="宋体"/>
          <w:b/>
          <w:bCs/>
          <w:color w:val="auto"/>
          <w:sz w:val="22"/>
          <w:szCs w:val="22"/>
          <w:highlight w:val="none"/>
        </w:rPr>
        <w:t>违约责任</w:t>
      </w:r>
      <w:bookmarkEnd w:id="53"/>
      <w:bookmarkEnd w:id="54"/>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2"/>
          <w:szCs w:val="22"/>
          <w:highlight w:val="none"/>
          <w:u w:val="single"/>
        </w:rPr>
        <w:t xml:space="preserve">  0.05</w:t>
      </w:r>
      <w:r>
        <w:rPr>
          <w:rFonts w:hint="eastAsia" w:ascii="宋体" w:hAnsi="宋体" w:eastAsia="宋体" w:cs="宋体"/>
          <w:color w:val="auto"/>
          <w:kern w:val="0"/>
          <w:sz w:val="22"/>
          <w:szCs w:val="22"/>
          <w:highlight w:val="none"/>
          <w:u w:val="single"/>
        </w:rPr>
        <w:t>（可根据情况修改）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%计算，最高限额为本合同总价的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2"/>
          <w:szCs w:val="22"/>
          <w:highlight w:val="none"/>
          <w:u w:val="single"/>
        </w:rPr>
        <w:t xml:space="preserve"> 0.05</w:t>
      </w:r>
      <w:r>
        <w:rPr>
          <w:rFonts w:hint="eastAsia" w:ascii="宋体" w:hAnsi="宋体" w:eastAsia="宋体" w:cs="宋体"/>
          <w:color w:val="auto"/>
          <w:kern w:val="0"/>
          <w:sz w:val="22"/>
          <w:szCs w:val="22"/>
          <w:highlight w:val="none"/>
          <w:u w:val="single"/>
        </w:rPr>
        <w:t>（可根据情况修改）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%计算，最高限额为本合同总价的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.5如果出现政府采购监督管理部门在处理投诉事项期间，书面通知甲方暂停采购活动的情形，或者询问或质疑事项可能影响中标或者成交结果的，导致甲方中止履行合同的情形，均不视为甲方违约。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en-US" w:eastAsia="zh-CN"/>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14.7</w:t>
      </w:r>
      <w:r>
        <w:rPr>
          <w:rFonts w:hint="eastAsia" w:ascii="宋体" w:hAnsi="宋体" w:eastAsia="宋体" w:cs="宋体"/>
          <w:color w:val="auto"/>
          <w:sz w:val="22"/>
          <w:szCs w:val="22"/>
          <w:highlight w:val="none"/>
        </w:rPr>
        <w:t>如产品质量未达到投标承诺技术要求的；</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将退货处理，乙方退回所有价款并承担</w:t>
      </w:r>
      <w:r>
        <w:rPr>
          <w:rFonts w:hint="eastAsia" w:ascii="宋体" w:hAnsi="宋体" w:eastAsia="宋体" w:cs="宋体"/>
          <w:color w:val="auto"/>
          <w:sz w:val="22"/>
          <w:szCs w:val="22"/>
          <w:highlight w:val="none"/>
          <w:lang w:val="en-US" w:eastAsia="zh-CN"/>
        </w:rPr>
        <w:t>合同总</w:t>
      </w:r>
      <w:r>
        <w:rPr>
          <w:rFonts w:hint="eastAsia" w:ascii="宋体" w:hAnsi="宋体" w:eastAsia="宋体" w:cs="宋体"/>
          <w:color w:val="auto"/>
          <w:sz w:val="22"/>
          <w:szCs w:val="22"/>
          <w:highlight w:val="none"/>
        </w:rPr>
        <w:t>金额的</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%作为违约金。</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14.8其他</w:t>
      </w:r>
      <w:r>
        <w:rPr>
          <w:rFonts w:hint="eastAsia" w:ascii="宋体" w:hAnsi="宋体" w:eastAsia="宋体" w:cs="宋体"/>
          <w:color w:val="auto"/>
          <w:sz w:val="22"/>
          <w:szCs w:val="22"/>
          <w:highlight w:val="none"/>
        </w:rPr>
        <w:t>违约责任</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55" w:name="_Toc2867"/>
      <w:bookmarkStart w:id="56" w:name="_Toc13836"/>
      <w:r>
        <w:rPr>
          <w:rFonts w:hint="eastAsia" w:ascii="宋体" w:hAnsi="宋体" w:eastAsia="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延迟交货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57" w:name="_Toc16959"/>
      <w:bookmarkStart w:id="58" w:name="_Toc259093687"/>
      <w:bookmarkStart w:id="59" w:name="_Toc279701258"/>
      <w:bookmarkStart w:id="60" w:name="_Toc8298"/>
      <w:bookmarkStart w:id="61" w:name="_Toc7102"/>
      <w:bookmarkStart w:id="62" w:name="_Toc487900368"/>
      <w:r>
        <w:rPr>
          <w:rFonts w:hint="eastAsia" w:ascii="宋体" w:hAnsi="宋体" w:eastAsia="宋体" w:cs="宋体"/>
          <w:b/>
          <w:bCs/>
          <w:color w:val="auto"/>
          <w:sz w:val="22"/>
          <w:szCs w:val="22"/>
          <w:highlight w:val="none"/>
          <w:lang w:val="en-US" w:eastAsia="zh-CN"/>
        </w:rPr>
        <w:t>16、</w:t>
      </w:r>
      <w:r>
        <w:rPr>
          <w:rFonts w:hint="eastAsia" w:ascii="宋体" w:hAnsi="宋体" w:eastAsia="宋体" w:cs="宋体"/>
          <w:b/>
          <w:bCs/>
          <w:color w:val="auto"/>
          <w:sz w:val="22"/>
          <w:szCs w:val="22"/>
          <w:highlight w:val="none"/>
        </w:rPr>
        <w:t>乙方破产</w:t>
      </w:r>
      <w:bookmarkEnd w:id="57"/>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63" w:name="_Toc6134"/>
      <w:bookmarkStart w:id="64" w:name="_Toc29333"/>
      <w:bookmarkStart w:id="65" w:name="_Toc15387"/>
      <w:r>
        <w:rPr>
          <w:rFonts w:hint="eastAsia" w:ascii="宋体" w:hAnsi="宋体" w:eastAsia="宋体" w:cs="宋体"/>
          <w:b/>
          <w:bCs/>
          <w:color w:val="auto"/>
          <w:sz w:val="22"/>
          <w:szCs w:val="22"/>
          <w:highlight w:val="none"/>
          <w:lang w:val="en-US" w:eastAsia="zh-CN"/>
        </w:rPr>
        <w:t>17、</w:t>
      </w:r>
      <w:r>
        <w:rPr>
          <w:rFonts w:hint="eastAsia" w:ascii="宋体" w:hAnsi="宋体" w:eastAsia="宋体" w:cs="宋体"/>
          <w:b/>
          <w:bCs/>
          <w:color w:val="auto"/>
          <w:sz w:val="22"/>
          <w:szCs w:val="22"/>
          <w:highlight w:val="none"/>
        </w:rPr>
        <w:t>合同中止、终止</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66" w:name="_Toc14563"/>
      <w:bookmarkStart w:id="67" w:name="_Toc6596"/>
      <w:bookmarkStart w:id="68" w:name="_Toc1125"/>
      <w:bookmarkStart w:id="69" w:name="_Toc259093690"/>
      <w:bookmarkStart w:id="70" w:name="_Toc279701261"/>
      <w:bookmarkStart w:id="71" w:name="_Toc487900371"/>
      <w:bookmarkStart w:id="72" w:name="_Toc25182"/>
      <w:bookmarkStart w:id="73" w:name="_Toc19604"/>
      <w:bookmarkStart w:id="74" w:name="_Toc11284"/>
      <w:r>
        <w:rPr>
          <w:rFonts w:hint="eastAsia" w:ascii="宋体" w:hAnsi="宋体" w:eastAsia="宋体" w:cs="宋体"/>
          <w:b/>
          <w:bCs/>
          <w:color w:val="auto"/>
          <w:sz w:val="22"/>
          <w:szCs w:val="22"/>
          <w:highlight w:val="none"/>
          <w:lang w:val="en-US" w:eastAsia="zh-CN"/>
        </w:rPr>
        <w:t>18、</w:t>
      </w:r>
      <w:bookmarkEnd w:id="66"/>
      <w:bookmarkEnd w:id="67"/>
      <w:bookmarkEnd w:id="68"/>
      <w:r>
        <w:rPr>
          <w:rFonts w:hint="eastAsia" w:ascii="宋体" w:hAnsi="宋体" w:eastAsia="宋体" w:cs="宋体"/>
          <w:b/>
          <w:color w:val="auto"/>
          <w:spacing w:val="-6"/>
          <w:sz w:val="22"/>
          <w:szCs w:val="22"/>
          <w:highlight w:val="none"/>
        </w:rPr>
        <w:t>验收标准</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18.1.</w:t>
      </w:r>
      <w:r>
        <w:rPr>
          <w:rFonts w:hint="eastAsia" w:ascii="宋体" w:hAnsi="宋体" w:eastAsia="宋体" w:cs="宋体"/>
          <w:color w:val="auto"/>
          <w:sz w:val="22"/>
          <w:szCs w:val="22"/>
          <w:highlight w:val="none"/>
        </w:rPr>
        <w:t>合同履约验收参照《温州市政府采购履约验收办法》(温财采[2020]6号)相关规定。</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18.2.</w:t>
      </w:r>
      <w:r>
        <w:rPr>
          <w:rFonts w:hint="eastAsia" w:ascii="宋体" w:hAnsi="宋体" w:eastAsia="宋体" w:cs="宋体"/>
          <w:color w:val="auto"/>
          <w:sz w:val="22"/>
          <w:szCs w:val="22"/>
          <w:highlight w:val="none"/>
        </w:rPr>
        <w:t>验收依据：</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18.2</w:t>
      </w:r>
      <w:r>
        <w:rPr>
          <w:rFonts w:hint="eastAsia" w:ascii="宋体" w:hAnsi="宋体" w:eastAsia="宋体" w:cs="宋体"/>
          <w:color w:val="auto"/>
          <w:sz w:val="22"/>
          <w:szCs w:val="22"/>
          <w:highlight w:val="none"/>
        </w:rPr>
        <w:t>.1合同、招标文件、投标文件；</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投标文件中提供的经</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认可的合同货物的验收标准（符合中国有关的国家、地方、行业标准）和检测办法及相应检测手段。</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应派员在所供货物到</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处时进行到货验收，有需要时能联系产品制造商共同验收，若发现任何损坏及质量问题，</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负责妥善处理直至</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满意，由此产生的费用由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验收合格的条件：</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4.1所供货物符合合同的要求；</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4.2在进行测试和验收过程中发现的问题已被解决并得到</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的认可；</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4.3合同中规定的所有货物和材料均已交付；</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4.4所供货物已通过使用单位组织的验收；</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4.5所有相关的技术文件及资料均已提交并得到接受。</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18.5.以上验收费用产生的费用由</w:t>
      </w: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lang w:val="en-US" w:eastAsia="zh-CN"/>
        </w:rPr>
        <w:t>承担</w:t>
      </w:r>
      <w:r>
        <w:rPr>
          <w:rFonts w:hint="eastAsia" w:ascii="宋体" w:hAnsi="宋体" w:eastAsia="宋体" w:cs="宋体"/>
          <w:b w:val="0"/>
          <w:bCs w:val="0"/>
          <w:color w:val="auto"/>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19、</w:t>
      </w:r>
      <w:r>
        <w:rPr>
          <w:rFonts w:hint="eastAsia" w:ascii="宋体" w:hAnsi="宋体" w:eastAsia="宋体" w:cs="宋体"/>
          <w:b/>
          <w:bCs/>
          <w:color w:val="auto"/>
          <w:sz w:val="22"/>
          <w:szCs w:val="22"/>
          <w:highlight w:val="none"/>
        </w:rPr>
        <w:t>通知</w:t>
      </w:r>
      <w:bookmarkEnd w:id="69"/>
      <w:bookmarkEnd w:id="70"/>
      <w:bookmarkEnd w:id="71"/>
      <w:r>
        <w:rPr>
          <w:rFonts w:hint="eastAsia" w:ascii="宋体" w:hAnsi="宋体" w:eastAsia="宋体" w:cs="宋体"/>
          <w:b/>
          <w:bCs/>
          <w:color w:val="auto"/>
          <w:sz w:val="22"/>
          <w:szCs w:val="22"/>
          <w:highlight w:val="none"/>
        </w:rPr>
        <w:t>和送达</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bookmarkStart w:id="75" w:name="_Toc3135"/>
      <w:bookmarkStart w:id="76" w:name="_Toc6698"/>
      <w:bookmarkStart w:id="77" w:name="_Toc487900372"/>
      <w:bookmarkStart w:id="78" w:name="_Toc259093691"/>
      <w:bookmarkStart w:id="79" w:name="_Toc279701262"/>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2"/>
          <w:szCs w:val="22"/>
          <w:highlight w:val="none"/>
          <w:u w:val="single"/>
        </w:rPr>
        <w:t>3</w:t>
      </w:r>
      <w:r>
        <w:rPr>
          <w:rFonts w:hint="eastAsia" w:ascii="宋体" w:hAnsi="宋体" w:eastAsia="宋体" w:cs="宋体"/>
          <w:color w:val="auto"/>
          <w:sz w:val="22"/>
          <w:szCs w:val="22"/>
          <w:highlight w:val="none"/>
        </w:rPr>
        <w:t>个工作日内书面通知对方当事人，在对方当事人收到有关变更通知之前，变更前的约定送达方式或者地址仍视为有效。</w:t>
      </w:r>
      <w:bookmarkEnd w:id="75"/>
      <w:bookmarkEnd w:id="76"/>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bookmarkStart w:id="80" w:name="_Toc23128"/>
      <w:bookmarkStart w:id="81" w:name="_Toc23294"/>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2" w:name="_Toc4355"/>
      <w:bookmarkStart w:id="83" w:name="_Toc18540"/>
      <w:bookmarkStart w:id="84" w:name="_Toc30599"/>
      <w:r>
        <w:rPr>
          <w:rFonts w:hint="eastAsia" w:ascii="宋体" w:hAnsi="宋体" w:eastAsia="宋体" w:cs="宋体"/>
          <w:b/>
          <w:bCs/>
          <w:color w:val="auto"/>
          <w:sz w:val="22"/>
          <w:szCs w:val="22"/>
          <w:highlight w:val="none"/>
          <w:lang w:val="en-US" w:eastAsia="zh-CN"/>
        </w:rPr>
        <w:t>20、</w:t>
      </w:r>
      <w:bookmarkEnd w:id="77"/>
      <w:bookmarkEnd w:id="78"/>
      <w:bookmarkEnd w:id="79"/>
      <w:bookmarkEnd w:id="82"/>
      <w:bookmarkEnd w:id="83"/>
      <w:bookmarkEnd w:id="84"/>
      <w:r>
        <w:rPr>
          <w:rFonts w:hint="eastAsia" w:ascii="宋体" w:hAnsi="宋体" w:eastAsia="宋体" w:cs="宋体"/>
          <w:b/>
          <w:bCs/>
          <w:color w:val="auto"/>
          <w:sz w:val="22"/>
          <w:szCs w:val="22"/>
          <w:highlight w:val="none"/>
        </w:rPr>
        <w:t>不可抗力</w:t>
      </w:r>
      <w:bookmarkEnd w:id="55"/>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5" w:name="_Toc30164"/>
      <w:bookmarkStart w:id="86" w:name="_Toc22804"/>
      <w:r>
        <w:rPr>
          <w:rFonts w:hint="eastAsia" w:ascii="宋体" w:hAnsi="宋体" w:eastAsia="宋体" w:cs="宋体"/>
          <w:b/>
          <w:bCs/>
          <w:color w:val="auto"/>
          <w:sz w:val="22"/>
          <w:szCs w:val="22"/>
          <w:highlight w:val="none"/>
          <w:lang w:val="en-US" w:eastAsia="zh-CN"/>
        </w:rPr>
        <w:t>21</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税费</w:t>
      </w:r>
      <w:bookmarkEnd w:id="85"/>
      <w:bookmarkEnd w:id="86"/>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根据国家现行税法对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征收的与本合同有关的一切费用由</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根据现行税法对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征收的与本合同有关的一切税费均由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在中国境外发生的与本合同执行有关的一切税费由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7" w:name="_Toc13156"/>
      <w:bookmarkStart w:id="88" w:name="_Toc22007"/>
      <w:r>
        <w:rPr>
          <w:rFonts w:hint="eastAsia" w:ascii="宋体" w:hAnsi="宋体" w:eastAsia="宋体" w:cs="宋体"/>
          <w:b/>
          <w:bCs/>
          <w:color w:val="auto"/>
          <w:sz w:val="22"/>
          <w:szCs w:val="22"/>
          <w:highlight w:val="none"/>
          <w:lang w:val="en-US" w:eastAsia="zh-CN"/>
        </w:rPr>
        <w:t>22、</w:t>
      </w:r>
      <w:r>
        <w:rPr>
          <w:rFonts w:hint="eastAsia" w:ascii="宋体" w:hAnsi="宋体" w:eastAsia="宋体" w:cs="宋体"/>
          <w:b/>
          <w:bCs/>
          <w:color w:val="auto"/>
          <w:sz w:val="22"/>
          <w:szCs w:val="22"/>
          <w:highlight w:val="none"/>
        </w:rPr>
        <w:t>转让和分包及产品不可替代</w:t>
      </w:r>
      <w:bookmarkEnd w:id="87"/>
      <w:bookmarkEnd w:id="88"/>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.1未经</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事先书面同意，</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不得部分转让或全部转让和分包其履行合同的义务。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.2产品不可替代，</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在没有取得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的书面授权的情况下，不得将合同货物的生产制造转交其他生产厂商或以其他厂商的产品替代。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9" w:name="_Toc32620"/>
      <w:bookmarkStart w:id="90" w:name="_Toc1262"/>
      <w:r>
        <w:rPr>
          <w:rFonts w:hint="eastAsia" w:ascii="宋体" w:hAnsi="宋体" w:eastAsia="宋体" w:cs="宋体"/>
          <w:b/>
          <w:bCs/>
          <w:color w:val="auto"/>
          <w:sz w:val="22"/>
          <w:szCs w:val="22"/>
          <w:highlight w:val="none"/>
          <w:lang w:val="en-US" w:eastAsia="zh-CN"/>
        </w:rPr>
        <w:t>23、</w:t>
      </w:r>
      <w:r>
        <w:rPr>
          <w:rFonts w:hint="eastAsia" w:ascii="宋体" w:hAnsi="宋体" w:eastAsia="宋体" w:cs="宋体"/>
          <w:b/>
          <w:bCs/>
          <w:color w:val="auto"/>
          <w:sz w:val="22"/>
          <w:szCs w:val="22"/>
          <w:highlight w:val="none"/>
        </w:rPr>
        <w:t>争端的解决</w:t>
      </w:r>
      <w:bookmarkEnd w:id="89"/>
      <w:bookmarkEnd w:id="9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合同实施或与合同有关的一切争端，</w:t>
      </w:r>
      <w:r>
        <w:rPr>
          <w:rFonts w:hint="eastAsia" w:ascii="宋体" w:hAnsi="宋体" w:eastAsia="宋体" w:cs="宋体"/>
          <w:color w:val="auto"/>
          <w:sz w:val="22"/>
          <w:szCs w:val="22"/>
          <w:highlight w:val="none"/>
          <w:lang w:eastAsia="zh-CN"/>
        </w:rPr>
        <w:t>甲乙</w:t>
      </w:r>
      <w:r>
        <w:rPr>
          <w:rFonts w:hint="eastAsia" w:ascii="宋体" w:hAnsi="宋体" w:eastAsia="宋体" w:cs="宋体"/>
          <w:color w:val="auto"/>
          <w:sz w:val="22"/>
          <w:szCs w:val="22"/>
          <w:highlight w:val="none"/>
        </w:rPr>
        <w:t>双方首先应通过友好协商解决，如果协商仍得不到解决，任何一方可向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所在地人民法院申请诉讼。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91" w:name="_Toc15254"/>
      <w:bookmarkStart w:id="92" w:name="_Toc23255"/>
      <w:r>
        <w:rPr>
          <w:rFonts w:hint="eastAsia" w:ascii="宋体" w:hAnsi="宋体" w:eastAsia="宋体" w:cs="宋体"/>
          <w:b/>
          <w:bCs/>
          <w:color w:val="auto"/>
          <w:sz w:val="22"/>
          <w:szCs w:val="22"/>
          <w:highlight w:val="none"/>
          <w:lang w:val="en-US" w:eastAsia="zh-CN"/>
        </w:rPr>
        <w:t>24、</w:t>
      </w:r>
      <w:r>
        <w:rPr>
          <w:rFonts w:hint="eastAsia" w:ascii="宋体" w:hAnsi="宋体" w:eastAsia="宋体" w:cs="宋体"/>
          <w:b/>
          <w:bCs/>
          <w:color w:val="auto"/>
          <w:sz w:val="22"/>
          <w:szCs w:val="22"/>
          <w:highlight w:val="none"/>
        </w:rPr>
        <w:t>适用法律</w:t>
      </w:r>
      <w:bookmarkEnd w:id="91"/>
      <w:bookmarkEnd w:id="9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93" w:name="_Toc22715"/>
      <w:bookmarkStart w:id="94" w:name="_Toc30691"/>
      <w:r>
        <w:rPr>
          <w:rFonts w:hint="eastAsia" w:ascii="宋体" w:hAnsi="宋体" w:eastAsia="宋体" w:cs="宋体"/>
          <w:b/>
          <w:bCs/>
          <w:color w:val="auto"/>
          <w:sz w:val="22"/>
          <w:szCs w:val="22"/>
          <w:highlight w:val="none"/>
          <w:lang w:val="en-US" w:eastAsia="zh-CN"/>
        </w:rPr>
        <w:t>25</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合同文件</w:t>
      </w:r>
      <w:bookmarkEnd w:id="93"/>
      <w:bookmarkEnd w:id="94"/>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下列文件构成本合同的组成部分：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合同主要条款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 </w:t>
      </w:r>
      <w:r>
        <w:rPr>
          <w:rFonts w:hint="eastAsia" w:ascii="宋体" w:hAnsi="宋体" w:cs="宋体"/>
          <w:color w:val="auto"/>
          <w:sz w:val="22"/>
          <w:szCs w:val="22"/>
          <w:highlight w:val="none"/>
          <w:lang w:val="en-US" w:eastAsia="zh-CN"/>
        </w:rPr>
        <w:t>中标通知书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(3) </w:t>
      </w:r>
      <w:r>
        <w:rPr>
          <w:rFonts w:hint="eastAsia" w:ascii="宋体" w:hAnsi="宋体" w:eastAsia="宋体" w:cs="宋体"/>
          <w:color w:val="auto"/>
          <w:sz w:val="22"/>
          <w:szCs w:val="22"/>
          <w:highlight w:val="none"/>
          <w:lang w:val="en-US" w:eastAsia="zh-CN"/>
        </w:rPr>
        <w:t>乙方投标文件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甲方招标文件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合同补充条款或说明（如有的话）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履约保证金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 承诺书（含询标记录和优惠条件）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95" w:name="_Toc24922"/>
      <w:bookmarkStart w:id="96" w:name="_Toc26523"/>
      <w:bookmarkStart w:id="97" w:name="_Toc660"/>
      <w:r>
        <w:rPr>
          <w:rFonts w:hint="eastAsia" w:ascii="宋体" w:hAnsi="宋体" w:eastAsia="宋体" w:cs="宋体"/>
          <w:b/>
          <w:bCs/>
          <w:color w:val="auto"/>
          <w:sz w:val="22"/>
          <w:szCs w:val="22"/>
          <w:highlight w:val="none"/>
          <w:lang w:val="en-US" w:eastAsia="zh-CN"/>
        </w:rPr>
        <w:t>26、</w:t>
      </w:r>
      <w:r>
        <w:rPr>
          <w:rFonts w:hint="eastAsia" w:ascii="宋体" w:hAnsi="宋体" w:eastAsia="宋体" w:cs="宋体"/>
          <w:b/>
          <w:bCs/>
          <w:color w:val="auto"/>
          <w:sz w:val="22"/>
          <w:szCs w:val="22"/>
          <w:highlight w:val="none"/>
        </w:rPr>
        <w:t>合同生效及其他：</w:t>
      </w:r>
      <w:bookmarkEnd w:id="95"/>
      <w:bookmarkEnd w:id="96"/>
      <w:bookmarkEnd w:id="97"/>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bookmarkStart w:id="98" w:name="_Toc19531"/>
      <w:bookmarkStart w:id="99" w:name="_Toc3765"/>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.1本合同一式伍份，</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贰份、</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贰份、采购代理机构壹份。</w:t>
      </w:r>
      <w:bookmarkEnd w:id="98"/>
      <w:bookmarkEnd w:id="99"/>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bookmarkStart w:id="100" w:name="_Toc2148"/>
      <w:bookmarkStart w:id="101" w:name="_Toc20005"/>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.2合同经</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双方签字盖章后生效。</w:t>
      </w:r>
      <w:bookmarkEnd w:id="100"/>
      <w:bookmarkEnd w:id="101"/>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bookmarkStart w:id="102" w:name="_Toc24661"/>
      <w:bookmarkStart w:id="103" w:name="_Toc5761"/>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.3如需修改或补充合同内容，经协商，双方应签署书面修改或补充协议，该协议将作为本合同的一个组成部分。</w:t>
      </w:r>
      <w:bookmarkEnd w:id="102"/>
      <w:bookmarkEnd w:id="103"/>
    </w:p>
    <w:tbl>
      <w:tblPr>
        <w:tblStyle w:val="31"/>
        <w:tblW w:w="0" w:type="auto"/>
        <w:jc w:val="center"/>
        <w:tblLayout w:type="fixed"/>
        <w:tblCellMar>
          <w:top w:w="0" w:type="dxa"/>
          <w:left w:w="108" w:type="dxa"/>
          <w:bottom w:w="0" w:type="dxa"/>
          <w:right w:w="108" w:type="dxa"/>
        </w:tblCellMar>
      </w:tblPr>
      <w:tblGrid>
        <w:gridCol w:w="5054"/>
        <w:gridCol w:w="4050"/>
      </w:tblGrid>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甲方</w:t>
            </w:r>
            <w:r>
              <w:rPr>
                <w:rFonts w:hint="eastAsia" w:ascii="宋体" w:hAnsi="宋体" w:eastAsia="宋体" w:cs="宋体"/>
                <w:color w:val="auto"/>
                <w:kern w:val="0"/>
                <w:sz w:val="22"/>
                <w:szCs w:val="22"/>
                <w:highlight w:val="none"/>
                <w:lang w:bidi="ar"/>
              </w:rPr>
              <w:t xml:space="preserve">（盖章）：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乙方</w:t>
            </w:r>
            <w:r>
              <w:rPr>
                <w:rFonts w:hint="eastAsia" w:ascii="宋体" w:hAnsi="宋体" w:eastAsia="宋体" w:cs="宋体"/>
                <w:color w:val="auto"/>
                <w:kern w:val="0"/>
                <w:sz w:val="22"/>
                <w:szCs w:val="22"/>
                <w:highlight w:val="none"/>
                <w:lang w:bidi="ar"/>
              </w:rPr>
              <w:t>（盖章）：</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法人代表：</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法人代表：</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委托代理人（签字）：</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委托代理人（签字）：</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联系电话：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联系电话：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地址：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地址：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纳税人名称：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纳税人名称：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纳税人识别号：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纳税人识别号：</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开户行：</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开户行：</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账号：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账号：</w:t>
            </w:r>
          </w:p>
        </w:tc>
      </w:tr>
      <w:tr>
        <w:tblPrEx>
          <w:tblCellMar>
            <w:top w:w="0" w:type="dxa"/>
            <w:left w:w="108" w:type="dxa"/>
            <w:bottom w:w="0" w:type="dxa"/>
            <w:right w:w="108" w:type="dxa"/>
          </w:tblCellMar>
        </w:tblPrEx>
        <w:trPr>
          <w:trHeight w:val="567" w:hRule="atLeast"/>
          <w:jc w:val="center"/>
        </w:trPr>
        <w:tc>
          <w:tcPr>
            <w:tcW w:w="9104" w:type="dxa"/>
            <w:gridSpan w:val="2"/>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合同签订日期：     年     月      日</w:t>
            </w:r>
          </w:p>
        </w:tc>
      </w:tr>
    </w:tbl>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jc w:val="center"/>
        <w:outlineLvl w:val="0"/>
        <w:rPr>
          <w:rFonts w:hint="eastAsia" w:ascii="宋体" w:hAnsi="宋体" w:eastAsia="宋体" w:cs="宋体"/>
          <w:b/>
          <w:color w:val="auto"/>
          <w:sz w:val="24"/>
          <w:highlight w:val="none"/>
        </w:rPr>
      </w:pPr>
      <w:bookmarkStart w:id="104" w:name="_Toc24240"/>
      <w:r>
        <w:rPr>
          <w:rFonts w:hint="eastAsia" w:ascii="宋体" w:hAnsi="宋体" w:eastAsia="宋体" w:cs="宋体"/>
          <w:b/>
          <w:color w:val="auto"/>
          <w:sz w:val="24"/>
          <w:highlight w:val="none"/>
        </w:rPr>
        <w:t>附件</w:t>
      </w:r>
      <w:bookmarkEnd w:id="104"/>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供货清单：                                              金额单位：人民币（元）</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tbl>
      <w:tblPr>
        <w:tblStyle w:val="31"/>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hint="eastAsia" w:ascii="宋体" w:hAnsi="宋体" w:eastAsia="宋体" w:cs="宋体"/>
                <w:color w:val="auto"/>
                <w:spacing w:val="20"/>
                <w:sz w:val="22"/>
                <w:highlight w:val="none"/>
              </w:rPr>
            </w:pPr>
            <w:r>
              <w:rPr>
                <w:rFonts w:hint="eastAsia" w:ascii="宋体" w:hAnsi="宋体" w:eastAsia="宋体" w:cs="宋体"/>
                <w:bCs/>
                <w:color w:val="auto"/>
                <w:sz w:val="22"/>
                <w:szCs w:val="22"/>
                <w:highlight w:val="none"/>
              </w:rPr>
              <w:t xml:space="preserve">合计：（大写）                                  小写：￥ </w:t>
            </w:r>
          </w:p>
        </w:tc>
      </w:tr>
    </w:tbl>
    <w:p>
      <w:pPr>
        <w:spacing w:line="360" w:lineRule="auto"/>
        <w:rPr>
          <w:rFonts w:hint="eastAsia" w:ascii="宋体" w:hAnsi="宋体" w:eastAsia="宋体" w:cs="宋体"/>
          <w:b/>
          <w:color w:val="auto"/>
          <w:sz w:val="24"/>
          <w:highlight w:val="none"/>
          <w:lang w:eastAsia="zh-CN"/>
        </w:rPr>
      </w:pPr>
    </w:p>
    <w:p>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技术参数：</w:t>
      </w:r>
    </w:p>
    <w:p>
      <w:pPr>
        <w:rPr>
          <w:rFonts w:hint="eastAsia" w:ascii="宋体" w:hAnsi="宋体" w:eastAsia="宋体" w:cs="宋体"/>
          <w:color w:val="auto"/>
          <w:sz w:val="24"/>
          <w:highlight w:val="none"/>
        </w:rPr>
      </w:pPr>
    </w:p>
    <w:p>
      <w:pPr>
        <w:rPr>
          <w:rFonts w:hint="eastAsia" w:ascii="宋体" w:hAnsi="宋体" w:eastAsia="宋体" w:cs="宋体"/>
          <w:color w:val="auto"/>
          <w:sz w:val="22"/>
          <w:highlight w:val="none"/>
        </w:rPr>
      </w:pPr>
      <w:r>
        <w:rPr>
          <w:rFonts w:hint="eastAsia" w:ascii="宋体" w:hAnsi="宋体" w:eastAsia="宋体" w:cs="宋体"/>
          <w:b/>
          <w:color w:val="auto"/>
          <w:sz w:val="26"/>
          <w:highlight w:val="none"/>
          <w:lang w:val="en-US" w:eastAsia="zh-CN"/>
        </w:rPr>
        <w:br w:type="page"/>
      </w:r>
    </w:p>
    <w:p>
      <w:pPr>
        <w:tabs>
          <w:tab w:val="left" w:pos="4286"/>
        </w:tabs>
        <w:spacing w:line="400" w:lineRule="exact"/>
        <w:jc w:val="center"/>
        <w:outlineLvl w:val="0"/>
        <w:rPr>
          <w:rFonts w:hint="eastAsia" w:ascii="宋体" w:hAnsi="宋体" w:eastAsia="宋体" w:cs="宋体"/>
          <w:b/>
          <w:color w:val="auto"/>
          <w:sz w:val="32"/>
          <w:highlight w:val="none"/>
        </w:rPr>
      </w:pPr>
      <w:bookmarkStart w:id="105" w:name="_Toc6163"/>
      <w:r>
        <w:rPr>
          <w:rFonts w:hint="eastAsia" w:ascii="宋体" w:hAnsi="宋体" w:eastAsia="宋体" w:cs="宋体"/>
          <w:b/>
          <w:color w:val="auto"/>
          <w:sz w:val="32"/>
          <w:highlight w:val="none"/>
        </w:rPr>
        <w:t>第四部分 附件</w:t>
      </w:r>
      <w:bookmarkEnd w:id="105"/>
    </w:p>
    <w:p>
      <w:pPr>
        <w:snapToGrid w:val="0"/>
        <w:spacing w:before="120" w:beforeLines="50" w:after="5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一、报价文件部分格式</w:t>
      </w:r>
    </w:p>
    <w:p>
      <w:pPr>
        <w:snapToGrid w:val="0"/>
        <w:spacing w:before="50" w:after="120" w:afterLines="50"/>
        <w:jc w:val="left"/>
        <w:rPr>
          <w:rFonts w:hint="eastAsia" w:ascii="宋体" w:hAnsi="宋体" w:eastAsia="宋体" w:cs="宋体"/>
          <w:b/>
          <w:color w:val="auto"/>
          <w:sz w:val="24"/>
          <w:highlight w:val="none"/>
        </w:rPr>
      </w:pPr>
    </w:p>
    <w:p>
      <w:pPr>
        <w:snapToGrid w:val="0"/>
        <w:spacing w:before="50" w:after="120" w:afterLines="50"/>
        <w:jc w:val="left"/>
        <w:rPr>
          <w:rFonts w:hint="eastAsia" w:ascii="宋体" w:hAnsi="宋体" w:eastAsia="宋体" w:cs="宋体"/>
          <w:b/>
          <w:color w:val="auto"/>
          <w:sz w:val="24"/>
          <w:highlight w:val="none"/>
        </w:rPr>
      </w:pPr>
    </w:p>
    <w:p>
      <w:pPr>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t>投标报价文件封面格式：</w:t>
      </w:r>
    </w:p>
    <w:p>
      <w:pPr>
        <w:pStyle w:val="14"/>
        <w:ind w:left="0" w:leftChars="0" w:right="1470"/>
        <w:rPr>
          <w:rFonts w:hint="eastAsia" w:ascii="宋体" w:hAnsi="宋体" w:eastAsia="宋体" w:cs="宋体"/>
          <w:b/>
          <w:color w:val="auto"/>
          <w:sz w:val="24"/>
          <w:szCs w:val="24"/>
          <w:highlight w:val="none"/>
        </w:rPr>
      </w:pPr>
    </w:p>
    <w:p>
      <w:pPr>
        <w:snapToGrid w:val="0"/>
        <w:spacing w:line="400" w:lineRule="exact"/>
        <w:jc w:val="center"/>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ind w:left="-850" w:leftChars="-405"/>
                              <w:rPr>
                                <w:rFonts w:ascii="宋体" w:hAnsi="宋体"/>
                                <w:sz w:val="24"/>
                                <w:szCs w:val="20"/>
                              </w:rPr>
                            </w:pPr>
                          </w:p>
                          <w:p>
                            <w:pPr>
                              <w:pStyle w:val="3"/>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ind w:left="-850" w:leftChars="-405"/>
                        <w:rPr>
                          <w:rFonts w:ascii="宋体" w:hAnsi="宋体"/>
                          <w:sz w:val="24"/>
                          <w:szCs w:val="20"/>
                        </w:rPr>
                      </w:pPr>
                    </w:p>
                    <w:p>
                      <w:pPr>
                        <w:pStyle w:val="3"/>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                                            项目编号：</w:t>
      </w:r>
    </w:p>
    <w:p>
      <w:pPr>
        <w:spacing w:line="400" w:lineRule="exact"/>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单位：人民币（元）               </w:t>
      </w:r>
    </w:p>
    <w:tbl>
      <w:tblPr>
        <w:tblStyle w:val="3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2177"/>
        <w:gridCol w:w="951"/>
        <w:gridCol w:w="1082"/>
        <w:gridCol w:w="1102"/>
        <w:gridCol w:w="94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2177"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报价内容</w:t>
            </w:r>
          </w:p>
        </w:tc>
        <w:tc>
          <w:tcPr>
            <w:tcW w:w="951"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082"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1102" w:type="dxa"/>
            <w:tcBorders>
              <w:right w:val="single" w:color="000000" w:sz="4" w:space="0"/>
            </w:tcBorders>
            <w:vAlign w:val="center"/>
          </w:tcPr>
          <w:p>
            <w:pPr>
              <w:pStyle w:val="15"/>
              <w:spacing w:line="400" w:lineRule="exact"/>
              <w:jc w:val="center"/>
              <w:rPr>
                <w:rFonts w:hint="eastAsia" w:ascii="宋体" w:hAnsi="宋体" w:eastAsia="宋体" w:cs="宋体"/>
                <w:color w:val="auto"/>
                <w:sz w:val="22"/>
                <w:highlight w:val="none"/>
                <w:lang w:val="en-US" w:eastAsia="zh-CN"/>
              </w:rPr>
            </w:pPr>
            <w:r>
              <w:rPr>
                <w:rFonts w:hint="eastAsia" w:hAnsi="宋体" w:cs="宋体"/>
                <w:color w:val="auto"/>
                <w:sz w:val="22"/>
                <w:highlight w:val="none"/>
                <w:lang w:val="en-US" w:eastAsia="zh-CN"/>
              </w:rPr>
              <w:t>单价</w:t>
            </w:r>
          </w:p>
        </w:tc>
        <w:tc>
          <w:tcPr>
            <w:tcW w:w="944" w:type="dxa"/>
            <w:tcBorders>
              <w:left w:val="single" w:color="000000" w:sz="4" w:space="0"/>
            </w:tcBorders>
            <w:vAlign w:val="center"/>
          </w:tcPr>
          <w:p>
            <w:pPr>
              <w:pStyle w:val="15"/>
              <w:spacing w:line="400" w:lineRule="exact"/>
              <w:jc w:val="center"/>
              <w:rPr>
                <w:rFonts w:hint="default" w:hAnsi="宋体" w:cs="宋体"/>
                <w:color w:val="auto"/>
                <w:sz w:val="22"/>
                <w:highlight w:val="none"/>
                <w:lang w:val="en-US" w:eastAsia="zh-CN"/>
              </w:rPr>
            </w:pPr>
            <w:r>
              <w:rPr>
                <w:rFonts w:hint="eastAsia" w:hAnsi="宋体" w:cs="宋体"/>
                <w:color w:val="auto"/>
                <w:sz w:val="22"/>
                <w:highlight w:val="none"/>
                <w:lang w:val="en-US" w:eastAsia="zh-CN"/>
              </w:rPr>
              <w:t>合计</w:t>
            </w:r>
          </w:p>
        </w:tc>
        <w:tc>
          <w:tcPr>
            <w:tcW w:w="1564"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64" w:type="dxa"/>
            <w:vAlign w:val="center"/>
          </w:tcPr>
          <w:p>
            <w:pPr>
              <w:spacing w:line="34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2177" w:type="dxa"/>
            <w:vAlign w:val="center"/>
          </w:tcPr>
          <w:p>
            <w:pPr>
              <w:spacing w:line="3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螺旋CT</w:t>
            </w:r>
          </w:p>
        </w:tc>
        <w:tc>
          <w:tcPr>
            <w:tcW w:w="951" w:type="dxa"/>
            <w:vAlign w:val="center"/>
          </w:tcPr>
          <w:p>
            <w:pPr>
              <w:spacing w:line="36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bCs/>
                <w:color w:val="auto"/>
                <w:spacing w:val="-6"/>
                <w:sz w:val="22"/>
                <w:highlight w:val="none"/>
                <w:lang w:val="en-US" w:eastAsia="zh-CN"/>
              </w:rPr>
              <w:t>套</w:t>
            </w:r>
          </w:p>
        </w:tc>
        <w:tc>
          <w:tcPr>
            <w:tcW w:w="1082" w:type="dxa"/>
            <w:vAlign w:val="center"/>
          </w:tcPr>
          <w:p>
            <w:pPr>
              <w:spacing w:line="40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bCs/>
                <w:color w:val="auto"/>
                <w:spacing w:val="-6"/>
                <w:sz w:val="22"/>
                <w:highlight w:val="none"/>
                <w:lang w:val="en-US" w:eastAsia="zh-CN"/>
              </w:rPr>
              <w:t>1</w:t>
            </w:r>
          </w:p>
        </w:tc>
        <w:tc>
          <w:tcPr>
            <w:tcW w:w="1102" w:type="dxa"/>
            <w:tcBorders>
              <w:right w:val="single" w:color="000000" w:sz="4" w:space="0"/>
            </w:tcBorders>
            <w:vAlign w:val="center"/>
          </w:tcPr>
          <w:p>
            <w:pPr>
              <w:pStyle w:val="15"/>
              <w:spacing w:line="400" w:lineRule="exact"/>
              <w:jc w:val="both"/>
              <w:rPr>
                <w:rFonts w:hint="eastAsia" w:ascii="宋体" w:hAnsi="宋体" w:eastAsia="宋体" w:cs="宋体"/>
                <w:color w:val="auto"/>
                <w:sz w:val="22"/>
                <w:highlight w:val="none"/>
              </w:rPr>
            </w:pPr>
          </w:p>
        </w:tc>
        <w:tc>
          <w:tcPr>
            <w:tcW w:w="944" w:type="dxa"/>
            <w:tcBorders>
              <w:left w:val="single" w:color="000000" w:sz="4" w:space="0"/>
            </w:tcBorders>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64" w:type="dxa"/>
            <w:vAlign w:val="center"/>
          </w:tcPr>
          <w:p>
            <w:pPr>
              <w:spacing w:line="34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2177" w:type="dxa"/>
            <w:vAlign w:val="center"/>
          </w:tcPr>
          <w:p>
            <w:pPr>
              <w:spacing w:line="34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口腔CT</w:t>
            </w:r>
          </w:p>
        </w:tc>
        <w:tc>
          <w:tcPr>
            <w:tcW w:w="951" w:type="dxa"/>
            <w:vAlign w:val="center"/>
          </w:tcPr>
          <w:p>
            <w:pPr>
              <w:spacing w:line="36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bCs/>
                <w:color w:val="auto"/>
                <w:spacing w:val="-6"/>
                <w:sz w:val="22"/>
                <w:highlight w:val="none"/>
                <w:lang w:val="en-US" w:eastAsia="zh-CN"/>
              </w:rPr>
              <w:t>套</w:t>
            </w:r>
          </w:p>
        </w:tc>
        <w:tc>
          <w:tcPr>
            <w:tcW w:w="1082" w:type="dxa"/>
            <w:vAlign w:val="center"/>
          </w:tcPr>
          <w:p>
            <w:pPr>
              <w:spacing w:line="40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bCs/>
                <w:color w:val="auto"/>
                <w:spacing w:val="-6"/>
                <w:sz w:val="22"/>
                <w:highlight w:val="none"/>
                <w:lang w:val="en-US" w:eastAsia="zh-CN"/>
              </w:rPr>
              <w:t>1</w:t>
            </w:r>
          </w:p>
        </w:tc>
        <w:tc>
          <w:tcPr>
            <w:tcW w:w="1102" w:type="dxa"/>
            <w:tcBorders>
              <w:right w:val="single" w:color="000000" w:sz="4" w:space="0"/>
            </w:tcBorders>
            <w:vAlign w:val="center"/>
          </w:tcPr>
          <w:p>
            <w:pPr>
              <w:pStyle w:val="15"/>
              <w:spacing w:line="400" w:lineRule="exact"/>
              <w:jc w:val="both"/>
              <w:rPr>
                <w:rFonts w:hint="eastAsia" w:ascii="宋体" w:hAnsi="宋体" w:eastAsia="宋体" w:cs="宋体"/>
                <w:color w:val="auto"/>
                <w:sz w:val="22"/>
                <w:highlight w:val="none"/>
              </w:rPr>
            </w:pPr>
          </w:p>
        </w:tc>
        <w:tc>
          <w:tcPr>
            <w:tcW w:w="944" w:type="dxa"/>
            <w:tcBorders>
              <w:left w:val="single" w:color="000000" w:sz="4" w:space="0"/>
            </w:tcBorders>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64" w:type="dxa"/>
            <w:vAlign w:val="center"/>
          </w:tcPr>
          <w:p>
            <w:pPr>
              <w:spacing w:line="340" w:lineRule="exact"/>
              <w:jc w:val="center"/>
              <w:rPr>
                <w:rFonts w:hint="eastAsia" w:ascii="宋体" w:hAnsi="宋体" w:cs="宋体"/>
                <w:color w:val="auto"/>
                <w:sz w:val="22"/>
                <w:highlight w:val="none"/>
                <w:lang w:val="en-US" w:eastAsia="zh-CN"/>
              </w:rPr>
            </w:pPr>
            <w:r>
              <w:rPr>
                <w:rFonts w:hint="eastAsia" w:ascii="宋体" w:hAnsi="宋体" w:eastAsia="宋体" w:cs="宋体"/>
                <w:color w:val="auto"/>
                <w:sz w:val="22"/>
                <w:highlight w:val="none"/>
              </w:rPr>
              <w:t>投标总报价（元）</w:t>
            </w:r>
          </w:p>
        </w:tc>
        <w:tc>
          <w:tcPr>
            <w:tcW w:w="7820" w:type="dxa"/>
            <w:gridSpan w:val="6"/>
            <w:vAlign w:val="center"/>
          </w:tcPr>
          <w:p>
            <w:pPr>
              <w:pStyle w:val="15"/>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p>
            <w:pPr>
              <w:pStyle w:val="15"/>
              <w:spacing w:line="40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64" w:type="dxa"/>
            <w:vAlign w:val="center"/>
          </w:tcPr>
          <w:p>
            <w:pPr>
              <w:pStyle w:val="15"/>
              <w:spacing w:line="400" w:lineRule="exac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交付时间：</w:t>
            </w:r>
          </w:p>
        </w:tc>
        <w:tc>
          <w:tcPr>
            <w:tcW w:w="7820" w:type="dxa"/>
            <w:gridSpan w:val="6"/>
            <w:vAlign w:val="center"/>
          </w:tcPr>
          <w:p>
            <w:pPr>
              <w:pStyle w:val="15"/>
              <w:spacing w:line="400" w:lineRule="exact"/>
              <w:rPr>
                <w:rFonts w:hint="eastAsia" w:ascii="宋体" w:hAnsi="宋体" w:eastAsia="宋体" w:cs="宋体"/>
                <w:b/>
                <w:color w:val="auto"/>
                <w:sz w:val="22"/>
                <w:highlight w:val="none"/>
              </w:rPr>
            </w:pPr>
          </w:p>
        </w:tc>
      </w:tr>
    </w:tbl>
    <w:p>
      <w:pPr>
        <w:spacing w:line="400" w:lineRule="exact"/>
        <w:rPr>
          <w:rFonts w:hint="eastAsia" w:ascii="宋体" w:hAnsi="宋体" w:eastAsia="宋体" w:cs="宋体"/>
          <w:color w:val="auto"/>
          <w:sz w:val="22"/>
          <w:highlight w:val="none"/>
        </w:rPr>
      </w:pPr>
    </w:p>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备注：1.投标总报价是指投标人在正确地完全履行合同义务后采购人应支付给投标人所有的货物价款，即括货物及其货物及其附件的采购、制造、税金、安装费、检验费、质保期内维修保护费、售后服务费、采购代理服务费、政策性文件规定及合同包含的所有风险、责任等全部费用，实行固定费用总包干，投标人应根据上述因素自行考虑含入投标总价。</w:t>
      </w:r>
    </w:p>
    <w:p>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2.此栏内投标报价应与“投标报价明细表”中投标总价相一致。</w:t>
      </w:r>
    </w:p>
    <w:p>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3.客户端填写的报价与以pdf格式上传文件中的报价不一致的，应以Pdf格式上传文件中的报价为准。</w:t>
      </w:r>
    </w:p>
    <w:p>
      <w:pPr>
        <w:spacing w:line="360" w:lineRule="auto"/>
        <w:ind w:firstLine="440" w:firstLineChars="200"/>
        <w:rPr>
          <w:rFonts w:hint="eastAsia" w:ascii="宋体" w:hAnsi="宋体" w:eastAsia="宋体" w:cs="宋体"/>
          <w:bCs/>
          <w:color w:val="auto"/>
          <w:sz w:val="22"/>
          <w:highlight w:val="none"/>
          <w:u w:val="single"/>
        </w:rPr>
      </w:pPr>
      <w:r>
        <w:rPr>
          <w:rFonts w:hint="eastAsia" w:ascii="宋体" w:hAnsi="宋体" w:cs="宋体"/>
          <w:color w:val="auto"/>
          <w:sz w:val="22"/>
          <w:highlight w:val="none"/>
          <w:lang w:val="en-US" w:eastAsia="zh-CN"/>
        </w:rPr>
        <w:t>4.</w:t>
      </w:r>
      <w:r>
        <w:rPr>
          <w:rFonts w:hint="eastAsia" w:ascii="宋体" w:hAnsi="宋体" w:eastAsia="宋体" w:cs="宋体"/>
          <w:bCs/>
          <w:color w:val="auto"/>
          <w:sz w:val="22"/>
          <w:highlight w:val="none"/>
          <w:u w:val="single"/>
        </w:rPr>
        <w:t>▲</w:t>
      </w:r>
      <w:r>
        <w:rPr>
          <w:rFonts w:hint="eastAsia" w:ascii="宋体" w:hAnsi="宋体" w:cs="宋体"/>
          <w:bCs/>
          <w:color w:val="auto"/>
          <w:sz w:val="22"/>
          <w:highlight w:val="none"/>
          <w:u w:val="single"/>
          <w:lang w:val="en-US" w:eastAsia="zh-CN"/>
        </w:rPr>
        <w:t>总</w:t>
      </w:r>
      <w:r>
        <w:rPr>
          <w:rFonts w:hint="eastAsia" w:ascii="宋体" w:hAnsi="宋体" w:eastAsia="宋体" w:cs="宋体"/>
          <w:bCs/>
          <w:color w:val="auto"/>
          <w:sz w:val="22"/>
          <w:highlight w:val="none"/>
          <w:u w:val="single"/>
        </w:rPr>
        <w:t>预算金额：</w:t>
      </w:r>
      <w:r>
        <w:rPr>
          <w:rFonts w:hint="eastAsia" w:ascii="宋体" w:hAnsi="宋体" w:eastAsia="宋体" w:cs="宋体"/>
          <w:bCs/>
          <w:color w:val="auto"/>
          <w:sz w:val="22"/>
          <w:highlight w:val="none"/>
          <w:u w:val="single"/>
          <w:lang w:eastAsia="zh-CN"/>
        </w:rPr>
        <w:t>3500000</w:t>
      </w:r>
      <w:r>
        <w:rPr>
          <w:rFonts w:hint="eastAsia" w:ascii="宋体" w:hAnsi="宋体" w:eastAsia="宋体" w:cs="宋体"/>
          <w:bCs/>
          <w:color w:val="auto"/>
          <w:sz w:val="22"/>
          <w:highlight w:val="none"/>
          <w:u w:val="single"/>
        </w:rPr>
        <w:t>元</w:t>
      </w:r>
      <w:r>
        <w:rPr>
          <w:rFonts w:hint="eastAsia" w:ascii="宋体" w:hAnsi="宋体" w:eastAsia="宋体" w:cs="宋体"/>
          <w:bCs/>
          <w:color w:val="auto"/>
          <w:sz w:val="22"/>
          <w:highlight w:val="none"/>
          <w:u w:val="single"/>
          <w:lang w:eastAsia="zh-CN"/>
        </w:rPr>
        <w:t>，</w:t>
      </w:r>
      <w:r>
        <w:rPr>
          <w:rFonts w:hint="eastAsia" w:ascii="宋体" w:hAnsi="宋体" w:eastAsia="宋体" w:cs="宋体"/>
          <w:bCs/>
          <w:color w:val="auto"/>
          <w:sz w:val="22"/>
          <w:highlight w:val="none"/>
          <w:u w:val="single"/>
          <w:lang w:val="en-US" w:eastAsia="zh-CN"/>
        </w:rPr>
        <w:t>其中</w:t>
      </w:r>
      <w:r>
        <w:rPr>
          <w:rFonts w:hint="eastAsia" w:ascii="宋体" w:hAnsi="宋体" w:eastAsia="宋体" w:cs="宋体"/>
          <w:bCs/>
          <w:color w:val="auto"/>
          <w:sz w:val="22"/>
          <w:highlight w:val="none"/>
          <w:u w:val="single"/>
          <w:lang w:eastAsia="zh-CN"/>
        </w:rPr>
        <w:t>螺旋CT</w:t>
      </w:r>
      <w:r>
        <w:rPr>
          <w:rFonts w:hint="eastAsia" w:ascii="宋体" w:hAnsi="宋体" w:eastAsia="宋体" w:cs="宋体"/>
          <w:bCs/>
          <w:color w:val="auto"/>
          <w:sz w:val="22"/>
          <w:highlight w:val="none"/>
          <w:u w:val="single"/>
        </w:rPr>
        <w:t>预算金额</w:t>
      </w:r>
      <w:r>
        <w:rPr>
          <w:rFonts w:hint="eastAsia" w:ascii="宋体" w:hAnsi="宋体" w:eastAsia="宋体" w:cs="宋体"/>
          <w:bCs/>
          <w:color w:val="auto"/>
          <w:sz w:val="22"/>
          <w:highlight w:val="none"/>
          <w:u w:val="single"/>
          <w:lang w:val="en-US" w:eastAsia="zh-CN"/>
        </w:rPr>
        <w:t>3000000</w:t>
      </w:r>
      <w:r>
        <w:rPr>
          <w:rFonts w:hint="eastAsia" w:ascii="宋体" w:hAnsi="宋体" w:eastAsia="宋体" w:cs="宋体"/>
          <w:bCs/>
          <w:color w:val="auto"/>
          <w:sz w:val="22"/>
          <w:highlight w:val="none"/>
          <w:u w:val="single"/>
        </w:rPr>
        <w:t>元</w:t>
      </w:r>
      <w:r>
        <w:rPr>
          <w:rFonts w:hint="eastAsia" w:ascii="宋体" w:hAnsi="宋体" w:eastAsia="宋体" w:cs="宋体"/>
          <w:bCs/>
          <w:color w:val="auto"/>
          <w:sz w:val="22"/>
          <w:highlight w:val="none"/>
          <w:u w:val="single"/>
          <w:lang w:eastAsia="zh-CN"/>
        </w:rPr>
        <w:t>，口腔CT</w:t>
      </w:r>
      <w:r>
        <w:rPr>
          <w:rFonts w:hint="eastAsia" w:ascii="宋体" w:hAnsi="宋体" w:eastAsia="宋体" w:cs="宋体"/>
          <w:bCs/>
          <w:color w:val="auto"/>
          <w:sz w:val="22"/>
          <w:highlight w:val="none"/>
          <w:u w:val="single"/>
        </w:rPr>
        <w:t>预算金额</w:t>
      </w:r>
      <w:r>
        <w:rPr>
          <w:rFonts w:hint="eastAsia" w:ascii="宋体" w:hAnsi="宋体" w:eastAsia="宋体" w:cs="宋体"/>
          <w:bCs/>
          <w:color w:val="auto"/>
          <w:sz w:val="22"/>
          <w:highlight w:val="none"/>
          <w:u w:val="single"/>
          <w:lang w:val="en-US" w:eastAsia="zh-CN"/>
        </w:rPr>
        <w:t>500000元</w:t>
      </w:r>
      <w:r>
        <w:rPr>
          <w:rFonts w:hint="eastAsia" w:ascii="宋体" w:hAnsi="宋体" w:eastAsia="宋体" w:cs="宋体"/>
          <w:bCs/>
          <w:color w:val="auto"/>
          <w:sz w:val="22"/>
          <w:highlight w:val="none"/>
          <w:u w:val="single"/>
        </w:rPr>
        <w:t>，报价超过</w:t>
      </w:r>
      <w:r>
        <w:rPr>
          <w:rFonts w:hint="eastAsia" w:ascii="宋体" w:hAnsi="宋体" w:cs="宋体"/>
          <w:bCs/>
          <w:color w:val="auto"/>
          <w:sz w:val="22"/>
          <w:highlight w:val="none"/>
          <w:u w:val="single"/>
          <w:lang w:val="en-US" w:eastAsia="zh-CN"/>
        </w:rPr>
        <w:t>对应</w:t>
      </w:r>
      <w:r>
        <w:rPr>
          <w:rFonts w:hint="eastAsia" w:ascii="宋体" w:hAnsi="宋体" w:eastAsia="宋体" w:cs="宋体"/>
          <w:bCs/>
          <w:color w:val="auto"/>
          <w:sz w:val="22"/>
          <w:highlight w:val="none"/>
          <w:u w:val="single"/>
          <w:lang w:val="en-US" w:eastAsia="zh-CN"/>
        </w:rPr>
        <w:t>预算金</w:t>
      </w:r>
      <w:r>
        <w:rPr>
          <w:rFonts w:hint="eastAsia" w:ascii="宋体" w:hAnsi="宋体" w:eastAsia="宋体" w:cs="宋体"/>
          <w:color w:val="auto"/>
          <w:sz w:val="22"/>
          <w:highlight w:val="none"/>
          <w:u w:val="single"/>
          <w:lang w:val="en-US" w:eastAsia="zh-CN"/>
        </w:rPr>
        <w:t>额</w:t>
      </w:r>
      <w:r>
        <w:rPr>
          <w:rFonts w:hint="eastAsia" w:ascii="宋体" w:hAnsi="宋体" w:eastAsia="宋体" w:cs="宋体"/>
          <w:color w:val="auto"/>
          <w:sz w:val="22"/>
          <w:highlight w:val="none"/>
          <w:u w:val="single"/>
        </w:rPr>
        <w:t>的投标无效。</w:t>
      </w:r>
    </w:p>
    <w:p>
      <w:pPr>
        <w:spacing w:line="400" w:lineRule="exact"/>
        <w:rPr>
          <w:rFonts w:hint="eastAsia" w:ascii="宋体" w:hAnsi="宋体" w:eastAsia="宋体" w:cs="宋体"/>
          <w:color w:val="auto"/>
          <w:sz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pPr>
        <w:pStyle w:val="15"/>
        <w:snapToGrid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sz w:val="28"/>
          <w:szCs w:val="28"/>
          <w:highlight w:val="none"/>
        </w:rPr>
        <w:t>投标报价明细表</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项目名称：                                               项目编号：  </w:t>
      </w:r>
    </w:p>
    <w:tbl>
      <w:tblPr>
        <w:tblStyle w:val="31"/>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投标总价（与开标一览表一致）：</w:t>
            </w:r>
          </w:p>
        </w:tc>
      </w:tr>
    </w:tbl>
    <w:p>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备注：1、“报价明细表”内“投标总价”应与附件1“开标一览表”中“投标总报价”相一致。</w:t>
      </w:r>
    </w:p>
    <w:p>
      <w:pPr>
        <w:spacing w:line="360" w:lineRule="exact"/>
        <w:ind w:firstLine="660" w:firstLineChars="3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2、如果含在产品价格中则填“含”，如无此项内容则填“无”，不留空白。此表投标人可根据实际需求自行编制。</w:t>
      </w:r>
    </w:p>
    <w:p>
      <w:pPr>
        <w:spacing w:line="360" w:lineRule="exact"/>
        <w:ind w:firstLine="440" w:firstLineChars="200"/>
        <w:jc w:val="left"/>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不提供报价明细表将视为没有明确响应招标文件。</w:t>
      </w:r>
    </w:p>
    <w:p>
      <w:pPr>
        <w:pStyle w:val="5"/>
        <w:numPr>
          <w:ilvl w:val="1"/>
          <w:numId w:val="0"/>
        </w:numPr>
        <w:spacing w:line="360" w:lineRule="exact"/>
        <w:ind w:firstLine="418"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4、</w:t>
      </w:r>
      <w:r>
        <w:rPr>
          <w:rFonts w:hint="eastAsia" w:ascii="宋体" w:hAnsi="宋体" w:eastAsia="宋体" w:cs="宋体"/>
          <w:color w:val="auto"/>
          <w:sz w:val="22"/>
          <w:szCs w:val="22"/>
          <w:highlight w:val="none"/>
        </w:rPr>
        <w:t>在中标或者成交公告的内容中增加本表，请各投标人认真填写，确保报价数据的真实性、完整性和合理性。</w:t>
      </w:r>
    </w:p>
    <w:p>
      <w:pPr>
        <w:pStyle w:val="5"/>
        <w:numPr>
          <w:ilvl w:val="1"/>
          <w:numId w:val="0"/>
        </w:numPr>
        <w:spacing w:line="360" w:lineRule="exact"/>
        <w:ind w:firstLine="442"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不得进行影响产品质量或者诚信履约的恶意报价。投标人在项目评审前准备好报价核算、报价明细、报价说明等材料，以备评审专家核查。如投标人报价低于项目预算50%的，必须在报价文件中详细阐述不影响产品质量或者诚信履约的具体原因。</w:t>
      </w:r>
    </w:p>
    <w:p>
      <w:pPr>
        <w:spacing w:line="360" w:lineRule="exact"/>
        <w:ind w:firstLine="440" w:firstLineChars="200"/>
        <w:jc w:val="left"/>
        <w:rPr>
          <w:rFonts w:hint="eastAsia" w:ascii="宋体" w:hAnsi="宋体" w:eastAsia="宋体" w:cs="宋体"/>
          <w:color w:val="auto"/>
          <w:sz w:val="22"/>
          <w:highlight w:val="none"/>
        </w:rPr>
      </w:pPr>
    </w:p>
    <w:p>
      <w:pPr>
        <w:spacing w:line="400" w:lineRule="exact"/>
        <w:ind w:firstLine="440" w:firstLineChars="200"/>
        <w:rPr>
          <w:rFonts w:hint="eastAsia" w:ascii="宋体" w:hAnsi="宋体" w:eastAsia="宋体" w:cs="宋体"/>
          <w:color w:val="auto"/>
          <w:sz w:val="22"/>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附件3</w:t>
      </w:r>
    </w:p>
    <w:p>
      <w:pPr>
        <w:spacing w:line="400" w:lineRule="exact"/>
        <w:rPr>
          <w:rFonts w:hint="eastAsia" w:ascii="宋体" w:hAnsi="宋体" w:eastAsia="宋体" w:cs="宋体"/>
          <w:color w:val="auto"/>
          <w:highlight w:val="none"/>
        </w:rPr>
      </w:pPr>
    </w:p>
    <w:p>
      <w:pPr>
        <w:pStyle w:val="28"/>
        <w:spacing w:before="0" w:beforeAutospacing="0" w:after="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shd w:val="clear" w:color="auto" w:fill="FFFFFF"/>
        </w:rPr>
        <w:t>中小企业声明函（货物）</w:t>
      </w:r>
    </w:p>
    <w:p>
      <w:pPr>
        <w:pStyle w:val="70"/>
        <w:tabs>
          <w:tab w:val="left" w:pos="662"/>
          <w:tab w:val="left" w:pos="908"/>
          <w:tab w:val="left" w:pos="2945"/>
        </w:tabs>
        <w:spacing w:line="3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val="en-US" w:eastAsia="zh-CN"/>
        </w:rPr>
        <w:t>文成县卫生健康局（单位名称）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lang w:val="en-US" w:eastAsia="zh-CN"/>
        </w:rPr>
        <w:t>采购活动，提供的货物全部由符合政策要求的中小企业制造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中的中小企业</w:t>
      </w:r>
      <w:r>
        <w:rPr>
          <w:rFonts w:hint="eastAsia" w:ascii="宋体" w:hAnsi="宋体" w:eastAsia="宋体" w:cs="宋体"/>
          <w:color w:val="auto"/>
          <w:sz w:val="24"/>
          <w:szCs w:val="24"/>
          <w:highlight w:val="none"/>
          <w:lang w:eastAsia="zh-CN"/>
        </w:rPr>
        <w:t>提供的货物全部</w:t>
      </w:r>
      <w:r>
        <w:rPr>
          <w:rFonts w:hint="eastAsia" w:ascii="宋体" w:hAnsi="宋体" w:eastAsia="宋体" w:cs="宋体"/>
          <w:color w:val="auto"/>
          <w:sz w:val="24"/>
          <w:szCs w:val="24"/>
          <w:highlight w:val="none"/>
        </w:rPr>
        <w:t>由符合政策要求的中小企业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签订分包意向协议的中小企业</w:t>
      </w:r>
      <w:r>
        <w:rPr>
          <w:rFonts w:hint="eastAsia" w:ascii="宋体" w:hAnsi="宋体" w:eastAsia="宋体" w:cs="宋体"/>
          <w:color w:val="auto"/>
          <w:sz w:val="24"/>
          <w:szCs w:val="24"/>
          <w:highlight w:val="none"/>
          <w:lang w:eastAsia="zh-CN"/>
        </w:rPr>
        <w:t>提供的货物全部</w:t>
      </w:r>
      <w:r>
        <w:rPr>
          <w:rFonts w:hint="eastAsia" w:ascii="宋体" w:hAnsi="宋体" w:eastAsia="宋体" w:cs="宋体"/>
          <w:color w:val="auto"/>
          <w:sz w:val="24"/>
          <w:szCs w:val="24"/>
          <w:highlight w:val="none"/>
        </w:rPr>
        <w:t>由符合政策要求的中小企业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相关企业（含联合体中的中小企业、签订分包意向协议的中小企业）的具体情况如</w:t>
      </w:r>
      <w:r>
        <w:rPr>
          <w:rFonts w:hint="eastAsia" w:ascii="宋体" w:hAnsi="宋体" w:eastAsia="宋体" w:cs="宋体"/>
          <w:color w:val="auto"/>
          <w:sz w:val="24"/>
          <w:szCs w:val="24"/>
          <w:highlight w:val="none"/>
          <w:lang w:eastAsia="zh-CN"/>
        </w:rPr>
        <w:t>下</w:t>
      </w:r>
      <w:r>
        <w:rPr>
          <w:rFonts w:hint="eastAsia" w:ascii="宋体" w:hAnsi="宋体" w:eastAsia="宋体" w:cs="宋体"/>
          <w:color w:val="auto"/>
          <w:sz w:val="24"/>
          <w:szCs w:val="24"/>
          <w:highlight w:val="none"/>
        </w:rPr>
        <w:t>：</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zh-TW"/>
        </w:rPr>
        <w:t>1.</w:t>
      </w:r>
      <w:r>
        <w:rPr>
          <w:rFonts w:hint="eastAsia" w:ascii="宋体" w:hAnsi="宋体" w:eastAsia="宋体" w:cs="宋体"/>
          <w:color w:val="auto"/>
          <w:sz w:val="24"/>
          <w:szCs w:val="24"/>
          <w:highlight w:val="none"/>
          <w:u w:val="single"/>
          <w:lang w:bidi="zh-TW"/>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 xml:space="preserve">（企业名称）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 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bidi="en-US"/>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（中型企业、小型企业、微型企业）</w:t>
      </w:r>
      <w:r>
        <w:rPr>
          <w:rFonts w:hint="eastAsia" w:ascii="宋体" w:hAnsi="宋体" w:eastAsia="宋体" w:cs="宋体"/>
          <w:color w:val="auto"/>
          <w:sz w:val="24"/>
          <w:szCs w:val="24"/>
          <w:highlight w:val="none"/>
        </w:rPr>
        <w:t>；</w:t>
      </w:r>
    </w:p>
    <w:p>
      <w:pPr>
        <w:pStyle w:val="70"/>
        <w:tabs>
          <w:tab w:val="left" w:pos="662"/>
          <w:tab w:val="left" w:pos="908"/>
          <w:tab w:val="left" w:pos="2945"/>
        </w:tabs>
        <w:spacing w:line="37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u w:val="single"/>
          <w:lang w:val="zh-CN" w:eastAsia="zh-CN" w:bidi="zh-CN"/>
        </w:rPr>
        <w:t>行业</w:t>
      </w:r>
      <w:r>
        <w:rPr>
          <w:rFonts w:hint="eastAsia" w:ascii="宋体" w:hAnsi="宋体" w:eastAsia="宋体" w:cs="宋体"/>
          <w:i/>
          <w:iCs/>
          <w:color w:val="auto"/>
          <w:sz w:val="24"/>
          <w:szCs w:val="24"/>
          <w:highlight w:val="none"/>
          <w:lang w:val="zh-CN" w:eastAsia="zh-CN" w:bidi="zh-CN"/>
        </w:rPr>
        <w:t>、</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u w:val="single"/>
        </w:rPr>
        <w:t>企业名称）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 企业、微型</w:t>
      </w:r>
      <w:r>
        <w:rPr>
          <w:rFonts w:hint="eastAsia" w:ascii="宋体" w:hAnsi="宋体" w:eastAsia="宋体" w:cs="宋体"/>
          <w:color w:val="auto"/>
          <w:sz w:val="24"/>
          <w:szCs w:val="24"/>
          <w:highlight w:val="none"/>
          <w:u w:val="single"/>
          <w:lang w:val="zh-CN" w:eastAsia="zh-CN" w:bidi="zh-CN"/>
        </w:rPr>
        <w:t>企业）；</w:t>
      </w:r>
    </w:p>
    <w:p>
      <w:pPr>
        <w:pStyle w:val="70"/>
        <w:tabs>
          <w:tab w:val="left" w:pos="662"/>
          <w:tab w:val="left" w:pos="908"/>
          <w:tab w:val="left" w:pos="2945"/>
        </w:tabs>
        <w:spacing w:line="370" w:lineRule="exact"/>
        <w:ind w:left="460"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w:t>
      </w:r>
    </w:p>
    <w:p>
      <w:pPr>
        <w:pStyle w:val="2"/>
        <w:ind w:left="-420" w:leftChars="-200" w:firstLine="0" w:firstLineChars="0"/>
        <w:rPr>
          <w:rFonts w:hint="eastAsia" w:ascii="宋体" w:hAnsi="宋体" w:eastAsia="宋体" w:cs="宋体"/>
          <w:color w:val="auto"/>
          <w:highlight w:val="none"/>
        </w:rPr>
      </w:pPr>
    </w:p>
    <w:p>
      <w:pPr>
        <w:pStyle w:val="70"/>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p>
    <w:p>
      <w:pPr>
        <w:pStyle w:val="70"/>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70"/>
        <w:spacing w:line="372" w:lineRule="exact"/>
        <w:ind w:firstLine="0"/>
        <w:jc w:val="left"/>
        <w:rPr>
          <w:rFonts w:hint="eastAsia" w:ascii="宋体" w:hAnsi="宋体" w:eastAsia="宋体" w:cs="宋体"/>
          <w:color w:val="auto"/>
          <w:sz w:val="24"/>
          <w:szCs w:val="24"/>
          <w:highlight w:val="none"/>
        </w:rPr>
      </w:pPr>
    </w:p>
    <w:p>
      <w:pPr>
        <w:pStyle w:val="70"/>
        <w:spacing w:line="372" w:lineRule="exact"/>
        <w:ind w:firstLine="4468" w:firstLineChars="186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28"/>
        <w:spacing w:before="0" w:beforeAutospacing="0" w:after="0" w:afterAutospacing="0" w:line="360" w:lineRule="auto"/>
        <w:ind w:firstLine="480" w:firstLineChars="200"/>
        <w:jc w:val="center"/>
        <w:rPr>
          <w:rFonts w:hint="eastAsia" w:ascii="宋体" w:hAnsi="宋体" w:eastAsia="宋体" w:cs="宋体"/>
          <w:color w:val="auto"/>
          <w:sz w:val="22"/>
          <w:highlight w:val="none"/>
          <w:shd w:val="clear" w:color="auto" w:fill="FFFFFF"/>
        </w:rPr>
      </w:pPr>
      <w:r>
        <w:rPr>
          <w:rFonts w:hint="eastAsia" w:ascii="宋体" w:hAnsi="宋体" w:eastAsia="宋体" w:cs="宋体"/>
          <w:color w:val="auto"/>
          <w:szCs w:val="24"/>
          <w:highlight w:val="none"/>
        </w:rPr>
        <w:t>日期：</w:t>
      </w:r>
      <w:r>
        <w:rPr>
          <w:rFonts w:hint="eastAsia" w:ascii="宋体" w:hAnsi="宋体" w:eastAsia="宋体" w:cs="宋体"/>
          <w:color w:val="auto"/>
          <w:sz w:val="22"/>
          <w:highlight w:val="none"/>
          <w:shd w:val="clear" w:color="auto" w:fill="FFFFFF"/>
        </w:rPr>
        <w:t>　</w:t>
      </w:r>
    </w:p>
    <w:p>
      <w:pPr>
        <w:pStyle w:val="28"/>
        <w:spacing w:before="0" w:beforeAutospacing="0" w:after="0" w:afterAutospacing="0" w:line="360" w:lineRule="auto"/>
        <w:ind w:firstLine="440" w:firstLineChars="200"/>
        <w:jc w:val="center"/>
        <w:rPr>
          <w:rFonts w:hint="eastAsia" w:ascii="宋体" w:hAnsi="宋体" w:eastAsia="宋体" w:cs="宋体"/>
          <w:color w:val="auto"/>
          <w:sz w:val="22"/>
          <w:highlight w:val="none"/>
          <w:shd w:val="clear" w:color="auto" w:fill="FFFFFF"/>
        </w:rPr>
      </w:pPr>
    </w:p>
    <w:p>
      <w:pPr>
        <w:pStyle w:val="70"/>
        <w:tabs>
          <w:tab w:val="left" w:pos="662"/>
          <w:tab w:val="left" w:pos="908"/>
          <w:tab w:val="left" w:pos="2945"/>
        </w:tabs>
        <w:spacing w:line="370" w:lineRule="exact"/>
        <w:ind w:firstLine="0"/>
        <w:rPr>
          <w:rFonts w:hint="eastAsia" w:ascii="宋体" w:hAnsi="宋体" w:eastAsia="宋体" w:cs="宋体"/>
          <w:b/>
          <w:bCs/>
          <w:color w:val="auto"/>
          <w:highlight w:val="none"/>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从业人员、营业收入、资产总额填报上一年度数据，无上一年度数据的新成立企业可不填报。（无上一年度数据的新成立企业需提供相关证明材料）</w:t>
      </w:r>
    </w:p>
    <w:p>
      <w:pPr>
        <w:pStyle w:val="70"/>
        <w:tabs>
          <w:tab w:val="left" w:pos="662"/>
          <w:tab w:val="left" w:pos="908"/>
          <w:tab w:val="left" w:pos="2945"/>
        </w:tabs>
        <w:spacing w:line="370" w:lineRule="exact"/>
        <w:ind w:firstLine="44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“标的名称”、“采购文件中明确的所属行业”依据</w:t>
      </w:r>
      <w:r>
        <w:rPr>
          <w:rFonts w:hint="eastAsia" w:ascii="宋体" w:hAnsi="宋体" w:eastAsia="宋体" w:cs="宋体"/>
          <w:b/>
          <w:bCs/>
          <w:color w:val="auto"/>
          <w:highlight w:val="none"/>
          <w:lang w:eastAsia="zh-CN"/>
        </w:rPr>
        <w:t>招标文件</w:t>
      </w:r>
      <w:r>
        <w:rPr>
          <w:rFonts w:hint="eastAsia" w:ascii="宋体" w:hAnsi="宋体" w:eastAsia="宋体" w:cs="宋体"/>
          <w:b/>
          <w:bCs/>
          <w:color w:val="auto"/>
          <w:highlight w:val="none"/>
        </w:rPr>
        <w:t>第二部分</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须知前附表中“</w:t>
      </w:r>
      <w:r>
        <w:rPr>
          <w:rFonts w:hint="eastAsia" w:ascii="宋体" w:hAnsi="宋体" w:eastAsia="宋体" w:cs="宋体"/>
          <w:b/>
          <w:bCs/>
          <w:color w:val="auto"/>
          <w:highlight w:val="none"/>
          <w:lang w:eastAsia="zh-CN"/>
        </w:rPr>
        <w:t>所属行业及标的名称</w:t>
      </w:r>
      <w:r>
        <w:rPr>
          <w:rFonts w:hint="eastAsia" w:ascii="宋体" w:hAnsi="宋体" w:eastAsia="宋体" w:cs="宋体"/>
          <w:b/>
          <w:bCs/>
          <w:color w:val="auto"/>
          <w:highlight w:val="none"/>
        </w:rPr>
        <w:t>”填写，不得缺漏；中型企业、小型企业、微型企业等3种企业类型，结合以上数据，依据《中小企业划型标准规定》（工信部联企业〔2011〕300号）确定；</w:t>
      </w:r>
    </w:p>
    <w:p>
      <w:pPr>
        <w:pStyle w:val="70"/>
        <w:tabs>
          <w:tab w:val="left" w:pos="662"/>
          <w:tab w:val="left" w:pos="908"/>
          <w:tab w:val="left" w:pos="2945"/>
        </w:tabs>
        <w:spacing w:line="370" w:lineRule="exact"/>
        <w:ind w:firstLine="44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70"/>
        <w:tabs>
          <w:tab w:val="left" w:pos="662"/>
          <w:tab w:val="left" w:pos="908"/>
          <w:tab w:val="left" w:pos="2945"/>
        </w:tabs>
        <w:spacing w:line="370" w:lineRule="exact"/>
        <w:ind w:firstLine="44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中标、成交供应商享受《政府采购促进中小企业发展管理办法》的通知（财库〔2020〕46号）规定的中小企业扶持政策的，采购人、采购代理机构应当随中标、成交结果公开中标、成交供应商的《中小企业声明函》。</w:t>
      </w:r>
    </w:p>
    <w:p>
      <w:pPr>
        <w:pStyle w:val="70"/>
        <w:tabs>
          <w:tab w:val="left" w:pos="662"/>
          <w:tab w:val="left" w:pos="908"/>
          <w:tab w:val="left" w:pos="2945"/>
        </w:tabs>
        <w:spacing w:line="370" w:lineRule="exact"/>
        <w:ind w:firstLine="442" w:firstLineChars="200"/>
        <w:rPr>
          <w:rFonts w:hint="eastAsia" w:ascii="宋体" w:hAnsi="宋体" w:eastAsia="宋体" w:cs="宋体"/>
          <w:b/>
          <w:bCs/>
          <w:color w:val="auto"/>
          <w:kern w:val="0"/>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kern w:val="0"/>
          <w:highlight w:val="none"/>
          <w:lang w:val="en-US" w:eastAsia="zh-CN"/>
        </w:rPr>
        <w:t>供应商</w:t>
      </w:r>
      <w:r>
        <w:rPr>
          <w:rFonts w:hint="eastAsia" w:ascii="宋体" w:hAnsi="宋体" w:eastAsia="宋体" w:cs="宋体"/>
          <w:b/>
          <w:bCs/>
          <w:color w:val="auto"/>
          <w:kern w:val="0"/>
          <w:highlight w:val="none"/>
        </w:rPr>
        <w:t>为联合体形式的，企业名称</w:t>
      </w:r>
      <w:r>
        <w:rPr>
          <w:rFonts w:hint="eastAsia" w:ascii="宋体" w:hAnsi="宋体" w:eastAsia="宋体" w:cs="宋体"/>
          <w:b/>
          <w:bCs/>
          <w:color w:val="auto"/>
          <w:kern w:val="0"/>
          <w:highlight w:val="none"/>
          <w:lang w:eastAsia="zh-CN"/>
        </w:rPr>
        <w:t>填写所有联合体成员名称，</w:t>
      </w:r>
      <w:r>
        <w:rPr>
          <w:rFonts w:hint="eastAsia" w:ascii="宋体" w:hAnsi="宋体" w:eastAsia="宋体" w:cs="宋体"/>
          <w:b/>
          <w:bCs/>
          <w:color w:val="auto"/>
          <w:kern w:val="0"/>
          <w:highlight w:val="none"/>
        </w:rPr>
        <w:t>盖章可只需联合体牵头方盖章。</w:t>
      </w:r>
    </w:p>
    <w:p>
      <w:pP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br w:type="page"/>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监狱企业资格证明材料</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（注：符合条件的监狱企业请提供本函，不符合的不提供本函）</w:t>
      </w:r>
    </w:p>
    <w:p>
      <w:pPr>
        <w:pStyle w:val="14"/>
        <w:spacing w:after="0" w:line="400" w:lineRule="exact"/>
        <w:ind w:left="0" w:leftChars="0" w:right="1470"/>
        <w:jc w:val="center"/>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（省级以上监狱管理局、戒毒管理局（含新疆生产建设兵团）出具的属于监狱企业的证明文件）</w:t>
      </w: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残疾人福利性单位声明函</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（注：符合条件的残疾人福利性单位请提供本函，不符合的不提供本函）</w:t>
      </w:r>
    </w:p>
    <w:p>
      <w:pPr>
        <w:spacing w:line="400" w:lineRule="exact"/>
        <w:rPr>
          <w:rFonts w:hint="eastAsia" w:ascii="宋体" w:hAnsi="宋体" w:eastAsia="宋体" w:cs="宋体"/>
          <w:b/>
          <w:color w:val="auto"/>
          <w:spacing w:val="6"/>
          <w:sz w:val="30"/>
          <w:szCs w:val="30"/>
          <w:highlight w:val="none"/>
        </w:rPr>
      </w:pP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400" w:lineRule="exact"/>
        <w:ind w:firstLine="504" w:firstLineChars="200"/>
        <w:rPr>
          <w:rFonts w:hint="eastAsia" w:ascii="宋体" w:hAnsi="宋体" w:eastAsia="宋体" w:cs="宋体"/>
          <w:color w:val="auto"/>
          <w:spacing w:val="6"/>
          <w:sz w:val="24"/>
          <w:szCs w:val="24"/>
          <w:highlight w:val="none"/>
        </w:rPr>
      </w:pPr>
    </w:p>
    <w:p>
      <w:pPr>
        <w:tabs>
          <w:tab w:val="left" w:pos="4860"/>
        </w:tabs>
        <w:spacing w:line="400"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单位名称（电子签章）：</w:t>
      </w:r>
    </w:p>
    <w:p>
      <w:pPr>
        <w:tabs>
          <w:tab w:val="left" w:pos="4860"/>
        </w:tabs>
        <w:spacing w:line="400" w:lineRule="exact"/>
        <w:ind w:firstLine="504"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日        期：</w:t>
      </w: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napToGrid w:val="0"/>
        <w:spacing w:before="120" w:beforeLines="50" w:after="5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二、资格文件部分封面格式</w:t>
      </w:r>
    </w:p>
    <w:p>
      <w:pPr>
        <w:snapToGrid w:val="0"/>
        <w:spacing w:before="120" w:beforeLines="50" w:after="50"/>
        <w:jc w:val="center"/>
        <w:rPr>
          <w:rFonts w:hint="eastAsia" w:ascii="宋体" w:hAnsi="宋体" w:eastAsia="宋体" w:cs="宋体"/>
          <w:b/>
          <w:bCs/>
          <w:color w:val="auto"/>
          <w:sz w:val="24"/>
          <w:highlight w:val="none"/>
        </w:rPr>
      </w:pPr>
    </w:p>
    <w:p>
      <w:pPr>
        <w:snapToGrid w:val="0"/>
        <w:spacing w:line="400" w:lineRule="exact"/>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rPr>
          <w:rFonts w:hint="eastAsia" w:ascii="宋体" w:hAnsi="宋体" w:eastAsia="宋体" w:cs="宋体"/>
          <w:b/>
          <w:bCs/>
          <w:color w:val="auto"/>
          <w:sz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附件4</w:t>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8"/>
          <w:szCs w:val="28"/>
          <w:highlight w:val="none"/>
        </w:rPr>
        <w:t xml:space="preserve"> 资格文件</w:t>
      </w:r>
    </w:p>
    <w:p>
      <w:pPr>
        <w:pStyle w:val="14"/>
        <w:spacing w:after="0" w:line="400" w:lineRule="exact"/>
        <w:ind w:left="0" w:leftChars="0" w:right="1470"/>
        <w:rPr>
          <w:rFonts w:hint="eastAsia" w:ascii="宋体" w:hAnsi="宋体" w:eastAsia="宋体" w:cs="宋体"/>
          <w:color w:val="auto"/>
          <w:highlight w:val="none"/>
        </w:rPr>
      </w:pPr>
    </w:p>
    <w:p>
      <w:pPr>
        <w:snapToGrid w:val="0"/>
        <w:spacing w:line="400" w:lineRule="exact"/>
        <w:jc w:val="center"/>
        <w:rPr>
          <w:rFonts w:hint="eastAsia" w:ascii="宋体" w:hAnsi="宋体" w:eastAsia="宋体" w:cs="宋体"/>
          <w:b/>
          <w:color w:val="auto"/>
          <w:spacing w:val="-6"/>
          <w:sz w:val="24"/>
          <w:szCs w:val="24"/>
          <w:highlight w:val="none"/>
        </w:rPr>
      </w:pPr>
    </w:p>
    <w:p>
      <w:pPr>
        <w:spacing w:line="400" w:lineRule="exact"/>
        <w:rPr>
          <w:rFonts w:hint="eastAsia" w:ascii="宋体" w:hAnsi="宋体" w:eastAsia="宋体" w:cs="宋体"/>
          <w:b/>
          <w:color w:val="auto"/>
          <w:sz w:val="22"/>
          <w:highlight w:val="none"/>
        </w:rPr>
      </w:pPr>
      <w:r>
        <w:rPr>
          <w:rFonts w:hint="eastAsia" w:ascii="宋体" w:hAnsi="宋体" w:eastAsia="宋体" w:cs="宋体"/>
          <w:b/>
          <w:color w:val="auto"/>
          <w:sz w:val="22"/>
          <w:highlight w:val="none"/>
          <w:lang w:eastAsia="zh-CN"/>
        </w:rPr>
        <w:t>附件4</w:t>
      </w:r>
      <w:r>
        <w:rPr>
          <w:rFonts w:hint="eastAsia" w:ascii="宋体" w:hAnsi="宋体" w:eastAsia="宋体" w:cs="宋体"/>
          <w:b/>
          <w:color w:val="auto"/>
          <w:sz w:val="22"/>
          <w:highlight w:val="none"/>
        </w:rPr>
        <w:t>-1</w:t>
      </w:r>
    </w:p>
    <w:p>
      <w:pPr>
        <w:spacing w:line="360" w:lineRule="auto"/>
        <w:jc w:val="center"/>
        <w:rPr>
          <w:rFonts w:hint="eastAsia" w:ascii="宋体" w:hAnsi="宋体" w:eastAsia="宋体" w:cs="宋体"/>
          <w:b/>
          <w:color w:val="auto"/>
          <w:sz w:val="22"/>
          <w:highlight w:val="none"/>
        </w:rPr>
      </w:pPr>
    </w:p>
    <w:p>
      <w:pPr>
        <w:spacing w:line="36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有效的法人或者其他组织的营业执照等证明文件，自然人的身份证明（五选一）</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2"/>
          <w:highlight w:val="none"/>
          <w:u w:val="single"/>
        </w:rPr>
        <w:t>（如为联合体投标，则联合体各方均须提供）</w:t>
      </w:r>
    </w:p>
    <w:p>
      <w:pPr>
        <w:spacing w:line="360" w:lineRule="auto"/>
        <w:rPr>
          <w:rFonts w:hint="eastAsia" w:ascii="宋体" w:hAnsi="宋体" w:eastAsia="宋体" w:cs="宋体"/>
          <w:b/>
          <w:color w:val="auto"/>
          <w:sz w:val="22"/>
          <w:highlight w:val="none"/>
        </w:rPr>
      </w:pPr>
    </w:p>
    <w:p>
      <w:pPr>
        <w:spacing w:line="360" w:lineRule="auto"/>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说明：</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1.如投标人是企业（包括合伙企业），提供有效“企业法人营业执照”或“营业执照”；</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2.如投标人是事业单位，提供有效的“事业单位法人证书”；</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3.如投标人是非企业专业服务机构的，提供执业许可证等证明文件；</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4.如投标人是个体工商户，提供有效的“个体工商户营业执照”；</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5.如投标人是自然人，提供有效的自然人身份证明（居民身份证正反面或公安机关出具的临时居民身份证正反面或港澳台胞证或证照）。</w:t>
      </w:r>
    </w:p>
    <w:p>
      <w:pP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附件4</w:t>
      </w:r>
      <w:r>
        <w:rPr>
          <w:rFonts w:hint="eastAsia" w:ascii="宋体" w:hAnsi="宋体" w:eastAsia="宋体" w:cs="宋体"/>
          <w:b/>
          <w:color w:val="auto"/>
          <w:sz w:val="24"/>
          <w:szCs w:val="24"/>
          <w:highlight w:val="none"/>
        </w:rPr>
        <w:t>-2</w:t>
      </w:r>
    </w:p>
    <w:p>
      <w:pPr>
        <w:pStyle w:val="30"/>
        <w:ind w:firstLine="321"/>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关于符合《中华人民共和国政府采购法》第二十二条规定的承诺函</w:t>
      </w:r>
    </w:p>
    <w:p>
      <w:pPr>
        <w:spacing w:line="360" w:lineRule="auto"/>
        <w:jc w:val="center"/>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（如为联合体投标，则联合体各方均须提供，并各自加盖公章）</w:t>
      </w:r>
    </w:p>
    <w:p>
      <w:pPr>
        <w:spacing w:line="360" w:lineRule="exact"/>
        <w:jc w:val="lef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致：</w:t>
      </w:r>
      <w:r>
        <w:rPr>
          <w:rFonts w:hint="eastAsia" w:ascii="宋体" w:hAnsi="宋体" w:eastAsia="宋体" w:cs="宋体"/>
          <w:color w:val="auto"/>
          <w:sz w:val="22"/>
          <w:highlight w:val="none"/>
          <w:lang w:eastAsia="zh-CN"/>
        </w:rPr>
        <w:t>文成县卫生健康局</w:t>
      </w:r>
      <w:r>
        <w:rPr>
          <w:rFonts w:hint="eastAsia" w:ascii="宋体" w:hAnsi="宋体" w:eastAsia="宋体" w:cs="宋体"/>
          <w:color w:val="auto"/>
          <w:sz w:val="22"/>
          <w:highlight w:val="none"/>
        </w:rPr>
        <w:t>、浙江乐诚工程咨询有限公司</w:t>
      </w:r>
      <w:r>
        <w:rPr>
          <w:rFonts w:hint="eastAsia" w:ascii="宋体" w:hAnsi="宋体" w:eastAsia="宋体" w:cs="宋体"/>
          <w:color w:val="auto"/>
          <w:spacing w:val="-6"/>
          <w:sz w:val="22"/>
          <w:highlight w:val="none"/>
        </w:rPr>
        <w:t>：</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 xml:space="preserve">            （项目名称）           （项目编号）</w:t>
      </w:r>
      <w:r>
        <w:rPr>
          <w:rFonts w:hint="eastAsia" w:ascii="宋体" w:hAnsi="宋体" w:eastAsia="宋体" w:cs="宋体"/>
          <w:color w:val="auto"/>
          <w:sz w:val="22"/>
          <w:highlight w:val="none"/>
        </w:rPr>
        <w:t>项目承诺具备下列条件：</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（一）具有独立承担民事责任的能力；</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（二）具有良好的商业信誉和健全的财务会计制度；</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（三）具有履行合同所必需的设备和专业技术能力；</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（四）有依法缴纳税收和社会保障资金的良好记录；</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（七）不存在以下情况：</w:t>
      </w:r>
    </w:p>
    <w:p>
      <w:pPr>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hint="eastAsia" w:ascii="宋体" w:hAnsi="宋体" w:eastAsia="宋体" w:cs="宋体"/>
          <w:bCs/>
          <w:color w:val="auto"/>
          <w:sz w:val="22"/>
          <w:highlight w:val="none"/>
        </w:rPr>
      </w:pPr>
      <w:r>
        <w:rPr>
          <w:rFonts w:hint="eastAsia" w:ascii="宋体" w:hAnsi="宋体" w:eastAsia="宋体" w:cs="宋体"/>
          <w:color w:val="auto"/>
          <w:sz w:val="22"/>
          <w:highlight w:val="none"/>
        </w:rPr>
        <w:t>2、为采购项目提供整体设计、规范编制或者项目管理、监理、检测等服务后再参加该采购项目的其他采购活动的。</w:t>
      </w:r>
    </w:p>
    <w:p>
      <w:pPr>
        <w:spacing w:line="360" w:lineRule="exact"/>
        <w:ind w:firstLine="442" w:firstLineChars="200"/>
        <w:jc w:val="left"/>
        <w:rPr>
          <w:rFonts w:hint="eastAsia" w:ascii="宋体" w:hAnsi="宋体" w:eastAsia="宋体" w:cs="宋体"/>
          <w:bCs/>
          <w:color w:val="auto"/>
          <w:sz w:val="22"/>
          <w:highlight w:val="none"/>
        </w:rPr>
      </w:pPr>
      <w:r>
        <w:rPr>
          <w:rStyle w:val="80"/>
          <w:rFonts w:hint="eastAsia" w:ascii="宋体" w:hAnsi="宋体" w:eastAsia="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eastAsia="宋体" w:cs="宋体"/>
          <w:bCs/>
          <w:color w:val="auto"/>
          <w:sz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构成犯罪的，依法追究刑事责任”规定予以处理。</w:t>
      </w:r>
    </w:p>
    <w:p>
      <w:pPr>
        <w:pStyle w:val="28"/>
        <w:spacing w:before="0" w:beforeAutospacing="0" w:after="0" w:afterAutospacing="0" w:line="360" w:lineRule="exact"/>
        <w:ind w:firstLine="440" w:firstLineChars="200"/>
        <w:rPr>
          <w:rStyle w:val="80"/>
          <w:rFonts w:hint="eastAsia" w:ascii="宋体" w:hAnsi="宋体" w:eastAsia="宋体" w:cs="宋体"/>
          <w:color w:val="auto"/>
          <w:sz w:val="22"/>
          <w:highlight w:val="none"/>
        </w:rPr>
      </w:pPr>
      <w:r>
        <w:rPr>
          <w:rStyle w:val="80"/>
          <w:rFonts w:hint="eastAsia" w:ascii="宋体" w:hAnsi="宋体" w:eastAsia="宋体" w:cs="宋体"/>
          <w:color w:val="auto"/>
          <w:sz w:val="22"/>
          <w:highlight w:val="none"/>
        </w:rPr>
        <w:t>《中华人民共和国政府采购法实施条例》第十九条第一款规定的“</w:t>
      </w:r>
      <w:r>
        <w:rPr>
          <w:rFonts w:hint="eastAsia" w:ascii="宋体" w:hAnsi="宋体" w:eastAsia="宋体" w:cs="宋体"/>
          <w:color w:val="auto"/>
          <w:kern w:val="2"/>
          <w:sz w:val="22"/>
          <w:highlight w:val="none"/>
        </w:rPr>
        <w:t>较大数额罚款</w:t>
      </w:r>
      <w:r>
        <w:rPr>
          <w:rStyle w:val="80"/>
          <w:rFonts w:hint="eastAsia" w:ascii="宋体" w:hAnsi="宋体" w:eastAsia="宋体" w:cs="宋体"/>
          <w:color w:val="auto"/>
          <w:sz w:val="22"/>
          <w:highlight w:val="none"/>
        </w:rPr>
        <w:t>”认定为200万元以上的罚款，法律、行政法规以及国务院有关部门明确规定相关领域“</w:t>
      </w:r>
      <w:r>
        <w:rPr>
          <w:rFonts w:hint="eastAsia" w:ascii="宋体" w:hAnsi="宋体" w:eastAsia="宋体" w:cs="宋体"/>
          <w:color w:val="auto"/>
          <w:kern w:val="2"/>
          <w:sz w:val="22"/>
          <w:highlight w:val="none"/>
        </w:rPr>
        <w:t>较大数额罚款</w:t>
      </w:r>
      <w:r>
        <w:rPr>
          <w:rStyle w:val="80"/>
          <w:rFonts w:hint="eastAsia" w:ascii="宋体" w:hAnsi="宋体" w:eastAsia="宋体" w:cs="宋体"/>
          <w:color w:val="auto"/>
          <w:sz w:val="22"/>
          <w:highlight w:val="none"/>
        </w:rPr>
        <w:t>”标准高于200万元的，从其规定。</w:t>
      </w:r>
    </w:p>
    <w:p>
      <w:pPr>
        <w:adjustRightInd w:val="0"/>
        <w:spacing w:line="360" w:lineRule="exact"/>
        <w:ind w:firstLine="440" w:firstLineChars="200"/>
        <w:jc w:val="left"/>
        <w:rPr>
          <w:rStyle w:val="80"/>
          <w:rFonts w:hint="eastAsia" w:ascii="宋体" w:hAnsi="宋体" w:eastAsia="宋体" w:cs="宋体"/>
          <w:color w:val="auto"/>
          <w:sz w:val="22"/>
          <w:highlight w:val="none"/>
        </w:rPr>
      </w:pPr>
      <w:r>
        <w:rPr>
          <w:rStyle w:val="80"/>
          <w:rFonts w:hint="eastAsia" w:ascii="宋体" w:hAnsi="宋体" w:eastAsia="宋体" w:cs="宋体"/>
          <w:color w:val="auto"/>
          <w:sz w:val="22"/>
          <w:highlight w:val="none"/>
        </w:rPr>
        <w:t>我单位已知晓前述法律规定，对此无任何异议。</w:t>
      </w:r>
    </w:p>
    <w:p>
      <w:pPr>
        <w:spacing w:line="360" w:lineRule="exact"/>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w:t>
      </w:r>
      <w:r>
        <w:rPr>
          <w:rStyle w:val="80"/>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rPr>
        <w:t>本承诺函必须提供。</w:t>
      </w:r>
    </w:p>
    <w:p>
      <w:pPr>
        <w:spacing w:line="360" w:lineRule="auto"/>
        <w:ind w:left="4620" w:leftChars="2200"/>
        <w:rPr>
          <w:rFonts w:hint="eastAsia" w:ascii="宋体" w:hAnsi="宋体" w:eastAsia="宋体" w:cs="宋体"/>
          <w:color w:val="auto"/>
          <w:szCs w:val="21"/>
          <w:highlight w:val="none"/>
        </w:rPr>
      </w:pPr>
    </w:p>
    <w:p>
      <w:pPr>
        <w:widowControl/>
        <w:spacing w:line="360" w:lineRule="auto"/>
        <w:jc w:val="lef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360" w:lineRule="auto"/>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spacing w:line="360" w:lineRule="exact"/>
        <w:jc w:val="lef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color w:val="auto"/>
          <w:sz w:val="24"/>
          <w:szCs w:val="24"/>
          <w:highlight w:val="none"/>
        </w:rPr>
      </w:pPr>
    </w:p>
    <w:p>
      <w:pPr>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sz w:val="24"/>
          <w:szCs w:val="24"/>
          <w:highlight w:val="none"/>
          <w:lang w:eastAsia="zh-CN"/>
        </w:rPr>
        <w:t>附件4-3</w:t>
      </w:r>
    </w:p>
    <w:p>
      <w:pPr>
        <w:numPr>
          <w:ilvl w:val="1"/>
          <w:numId w:val="0"/>
        </w:num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联合体投标协议书</w:t>
      </w:r>
    </w:p>
    <w:p>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b/>
          <w:color w:val="auto"/>
          <w:sz w:val="22"/>
          <w:highlight w:val="none"/>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_______</w:t>
      </w:r>
      <w:r>
        <w:rPr>
          <w:rFonts w:hint="eastAsia" w:ascii="宋体" w:hAnsi="宋体" w:eastAsia="宋体" w:cs="宋体"/>
          <w:color w:val="auto"/>
          <w:kern w:val="0"/>
          <w:sz w:val="22"/>
          <w:highlight w:val="none"/>
          <w:u w:val="single"/>
        </w:rPr>
        <w:t>（联合体所有成员名称）</w:t>
      </w:r>
      <w:r>
        <w:rPr>
          <w:rFonts w:hint="eastAsia" w:ascii="宋体" w:hAnsi="宋体" w:eastAsia="宋体" w:cs="宋体"/>
          <w:color w:val="auto"/>
          <w:kern w:val="0"/>
          <w:sz w:val="22"/>
          <w:highlight w:val="none"/>
        </w:rPr>
        <w:t>自愿</w:t>
      </w:r>
      <w:r>
        <w:rPr>
          <w:rFonts w:hint="eastAsia" w:ascii="宋体" w:hAnsi="宋体" w:eastAsia="宋体" w:cs="宋体"/>
          <w:color w:val="auto"/>
          <w:kern w:val="0"/>
          <w:sz w:val="22"/>
          <w:highlight w:val="none"/>
          <w:lang w:val="zh-CN"/>
        </w:rPr>
        <w:t>组成一个联合体，以一个投标人的身份</w:t>
      </w:r>
      <w:r>
        <w:rPr>
          <w:rFonts w:hint="eastAsia" w:ascii="宋体" w:hAnsi="宋体" w:eastAsia="宋体" w:cs="宋体"/>
          <w:color w:val="auto"/>
          <w:kern w:val="0"/>
          <w:sz w:val="22"/>
          <w:highlight w:val="none"/>
        </w:rPr>
        <w:t>参加_______</w:t>
      </w:r>
      <w:r>
        <w:rPr>
          <w:rFonts w:hint="eastAsia" w:ascii="宋体" w:hAnsi="宋体" w:eastAsia="宋体" w:cs="宋体"/>
          <w:color w:val="auto"/>
          <w:sz w:val="22"/>
          <w:highlight w:val="none"/>
        </w:rPr>
        <w:t>（项目名称）</w:t>
      </w:r>
      <w:r>
        <w:rPr>
          <w:rFonts w:hint="eastAsia" w:ascii="宋体" w:hAnsi="宋体" w:eastAsia="宋体" w:cs="宋体"/>
          <w:color w:val="auto"/>
          <w:kern w:val="0"/>
          <w:sz w:val="22"/>
          <w:highlight w:val="none"/>
        </w:rPr>
        <w:t>_______</w:t>
      </w:r>
      <w:r>
        <w:rPr>
          <w:rFonts w:hint="eastAsia" w:ascii="宋体" w:hAnsi="宋体" w:eastAsia="宋体" w:cs="宋体"/>
          <w:color w:val="auto"/>
          <w:sz w:val="22"/>
          <w:highlight w:val="none"/>
        </w:rPr>
        <w:t>（项目编号）</w:t>
      </w:r>
      <w:r>
        <w:rPr>
          <w:rFonts w:hint="eastAsia" w:ascii="宋体" w:hAnsi="宋体" w:eastAsia="宋体" w:cs="宋体"/>
          <w:bCs/>
          <w:color w:val="auto"/>
          <w:kern w:val="0"/>
          <w:sz w:val="22"/>
          <w:highlight w:val="none"/>
        </w:rPr>
        <w:t>的政府采购活动</w:t>
      </w:r>
      <w:r>
        <w:rPr>
          <w:rFonts w:hint="eastAsia" w:ascii="宋体" w:hAnsi="宋体" w:eastAsia="宋体" w:cs="宋体"/>
          <w:color w:val="auto"/>
          <w:kern w:val="0"/>
          <w:sz w:val="22"/>
          <w:highlight w:val="none"/>
          <w:lang w:val="zh-CN"/>
        </w:rPr>
        <w:t>。</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现就有关联合投标事宜订立协议如下： </w:t>
      </w:r>
    </w:p>
    <w:p>
      <w:pPr>
        <w:widowControl/>
        <w:numPr>
          <w:ilvl w:val="0"/>
          <w:numId w:val="5"/>
        </w:numPr>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（牵头人全称）              </w:t>
      </w:r>
      <w:r>
        <w:rPr>
          <w:rFonts w:hint="eastAsia" w:ascii="宋体" w:hAnsi="宋体" w:eastAsia="宋体" w:cs="宋体"/>
          <w:color w:val="auto"/>
          <w:kern w:val="0"/>
          <w:sz w:val="22"/>
          <w:highlight w:val="none"/>
        </w:rPr>
        <w:t>为联合体的牵头人，</w:t>
      </w:r>
    </w:p>
    <w:p>
      <w:pPr>
        <w:widowControl/>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（联合体其他成员全称）         </w:t>
      </w:r>
      <w:r>
        <w:rPr>
          <w:rFonts w:hint="eastAsia" w:ascii="宋体" w:hAnsi="宋体" w:eastAsia="宋体" w:cs="宋体"/>
          <w:color w:val="auto"/>
          <w:kern w:val="0"/>
          <w:sz w:val="22"/>
          <w:highlight w:val="none"/>
        </w:rPr>
        <w:t xml:space="preserve">为联合体的成员方； </w:t>
      </w:r>
    </w:p>
    <w:p>
      <w:pPr>
        <w:pStyle w:val="2"/>
        <w:spacing w:line="360" w:lineRule="exact"/>
        <w:ind w:left="440" w:hanging="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2、联合体内部有关事项规定如下：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（1）由牵头人代表本联合体与采购人联系，负责协调工作。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（4）如中标，联合体内部将遵守以下规定：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c．联合体各方承担的工作和义务详细安排如下：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rPr>
          <w:rFonts w:hint="eastAsia" w:ascii="宋体" w:hAnsi="宋体" w:eastAsia="宋体" w:cs="宋体"/>
          <w:bCs/>
          <w:color w:val="auto"/>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（5）投标工作和联合体在中标后项目实施过程中的有关合同占比按各自承担的工作量分摊，具体说明如下：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____________________________________________________________________________________  </w:t>
      </w:r>
    </w:p>
    <w:p>
      <w:pPr>
        <w:widowControl/>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____________________________________________________________________________________</w:t>
      </w:r>
      <w:r>
        <w:rPr>
          <w:rFonts w:hint="eastAsia" w:ascii="宋体" w:hAnsi="宋体" w:eastAsia="宋体" w:cs="宋体"/>
          <w:color w:val="auto"/>
          <w:kern w:val="0"/>
          <w:sz w:val="22"/>
          <w:highlight w:val="none"/>
          <w:u w:val="single"/>
        </w:rPr>
        <w:t xml:space="preserve">（牵头人全称）            </w:t>
      </w:r>
      <w:r>
        <w:rPr>
          <w:rFonts w:hint="eastAsia" w:ascii="宋体" w:hAnsi="宋体" w:eastAsia="宋体" w:cs="宋体"/>
          <w:color w:val="auto"/>
          <w:kern w:val="0"/>
          <w:sz w:val="22"/>
          <w:highlight w:val="none"/>
        </w:rPr>
        <w:t>合同占比：_______%</w:t>
      </w:r>
    </w:p>
    <w:p>
      <w:pPr>
        <w:widowControl/>
        <w:spacing w:line="400" w:lineRule="exact"/>
        <w:jc w:val="left"/>
        <w:rPr>
          <w:rFonts w:hint="eastAsia" w:ascii="宋体" w:hAnsi="宋体" w:eastAsia="宋体" w:cs="宋体"/>
          <w:b/>
          <w:color w:val="auto"/>
          <w:kern w:val="0"/>
          <w:sz w:val="22"/>
          <w:highlight w:val="none"/>
        </w:rPr>
      </w:pPr>
      <w:r>
        <w:rPr>
          <w:rFonts w:hint="eastAsia" w:ascii="宋体" w:hAnsi="宋体" w:eastAsia="宋体" w:cs="宋体"/>
          <w:color w:val="auto"/>
          <w:kern w:val="0"/>
          <w:sz w:val="22"/>
          <w:highlight w:val="none"/>
          <w:u w:val="single"/>
        </w:rPr>
        <w:t xml:space="preserve">（联合体其他成员全称）    </w:t>
      </w:r>
      <w:r>
        <w:rPr>
          <w:rFonts w:hint="eastAsia" w:ascii="宋体" w:hAnsi="宋体" w:eastAsia="宋体" w:cs="宋体"/>
          <w:color w:val="auto"/>
          <w:kern w:val="0"/>
          <w:sz w:val="22"/>
          <w:highlight w:val="none"/>
        </w:rPr>
        <w:t>合同占比：_______%</w:t>
      </w:r>
      <w:r>
        <w:rPr>
          <w:rFonts w:hint="eastAsia" w:ascii="宋体" w:hAnsi="宋体" w:eastAsia="宋体" w:cs="宋体"/>
          <w:b/>
          <w:color w:val="auto"/>
          <w:kern w:val="0"/>
          <w:sz w:val="22"/>
          <w:highlight w:val="none"/>
        </w:rPr>
        <w:t xml:space="preserve"> </w:t>
      </w:r>
    </w:p>
    <w:p>
      <w:pPr>
        <w:pStyle w:val="2"/>
        <w:spacing w:line="360" w:lineRule="exact"/>
        <w:ind w:left="440" w:hanging="440"/>
        <w:jc w:val="left"/>
        <w:rPr>
          <w:rFonts w:hint="eastAsia" w:ascii="宋体" w:hAnsi="宋体" w:eastAsia="宋体" w:cs="宋体"/>
          <w:color w:val="auto"/>
          <w:highlight w:val="none"/>
        </w:rPr>
      </w:pPr>
      <w:r>
        <w:rPr>
          <w:rFonts w:hint="eastAsia" w:ascii="宋体" w:hAnsi="宋体" w:eastAsia="宋体" w:cs="宋体"/>
          <w:color w:val="auto"/>
          <w:sz w:val="22"/>
          <w:highlight w:val="none"/>
        </w:rPr>
        <w:t>......</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、有关本次联合投标的其他事宜：</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val="zh-CN"/>
        </w:rPr>
        <w:t>）联合体中有同类资质的各方按照联合体分工承担相同工作的，按照资质等级较低的供应商确定资质等级。</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）本协议提交采购人、采购机构后，联合体各方不得以任何形式对上述内容进行修改或撤销。</w:t>
      </w:r>
    </w:p>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5、如中标，本项目的采购代理服务费由联合体牵头人缴纳，合同款支付至合同约定的牵头人账号。</w:t>
      </w:r>
    </w:p>
    <w:p>
      <w:pPr>
        <w:widowControl/>
        <w:spacing w:line="360" w:lineRule="exact"/>
        <w:jc w:val="left"/>
        <w:rPr>
          <w:rFonts w:hint="eastAsia" w:ascii="宋体" w:hAnsi="宋体" w:eastAsia="宋体" w:cs="宋体"/>
          <w:color w:val="auto"/>
          <w:kern w:val="0"/>
          <w:sz w:val="22"/>
          <w:highlight w:val="none"/>
        </w:rPr>
      </w:pP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单位名称（盖章）：                               单位名称（盖章）：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地址：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法定代表人或授权代表（签字或盖章）：             法定代表人或授权代表（签字或盖章）：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联系方式：                                       联系方式： </w:t>
      </w:r>
    </w:p>
    <w:p>
      <w:pPr>
        <w:widowControl/>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协议签订时间：                                   协议签订时间：</w:t>
      </w:r>
    </w:p>
    <w:p>
      <w:pP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br w:type="page"/>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z w:val="24"/>
          <w:szCs w:val="24"/>
          <w:highlight w:val="none"/>
          <w:lang w:eastAsia="zh-CN"/>
        </w:rPr>
        <w:t>附件4-4</w:t>
      </w:r>
    </w:p>
    <w:p>
      <w:pPr>
        <w:snapToGrid w:val="0"/>
        <w:spacing w:line="40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分包意向协议</w:t>
      </w:r>
    </w:p>
    <w:p>
      <w:pPr>
        <w:widowControl/>
        <w:snapToGrid w:val="0"/>
        <w:spacing w:line="360" w:lineRule="exact"/>
        <w:ind w:left="-210" w:leftChars="-100"/>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hint="eastAsia" w:ascii="宋体" w:hAnsi="宋体" w:eastAsia="宋体" w:cs="宋体"/>
          <w:color w:val="auto"/>
          <w:kern w:val="0"/>
          <w:sz w:val="22"/>
          <w:highlight w:val="none"/>
          <w:u w:val="single"/>
        </w:rPr>
      </w:pP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lang w:val="zh-CN"/>
        </w:rPr>
        <w:t>若成为</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sz w:val="24"/>
          <w:szCs w:val="24"/>
          <w:highlight w:val="none"/>
          <w:u w:val="single"/>
        </w:rPr>
        <w:t>（项目编号：   ）</w:t>
      </w:r>
      <w:r>
        <w:rPr>
          <w:rFonts w:hint="eastAsia" w:ascii="宋体" w:hAnsi="宋体" w:eastAsia="宋体" w:cs="宋体"/>
          <w:color w:val="auto"/>
          <w:kern w:val="0"/>
          <w:sz w:val="24"/>
          <w:szCs w:val="24"/>
          <w:highlight w:val="none"/>
          <w:lang w:val="zh-CN"/>
        </w:rPr>
        <w:t>的中标</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zh-CN"/>
        </w:rPr>
        <w:t>，将依法采取分包方式履行合同。</w:t>
      </w: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u w:val="single"/>
        </w:rPr>
        <w:t>（所有分包供应商名称）</w:t>
      </w:r>
      <w:r>
        <w:rPr>
          <w:rFonts w:hint="eastAsia" w:ascii="宋体" w:hAnsi="宋体" w:eastAsia="宋体" w:cs="宋体"/>
          <w:color w:val="auto"/>
          <w:kern w:val="0"/>
          <w:sz w:val="24"/>
          <w:szCs w:val="24"/>
          <w:highlight w:val="none"/>
        </w:rPr>
        <w:t>达成分包意向协议</w:t>
      </w:r>
      <w:r>
        <w:rPr>
          <w:rFonts w:hint="eastAsia" w:ascii="宋体" w:hAnsi="宋体" w:eastAsia="宋体" w:cs="宋体"/>
          <w:color w:val="auto"/>
          <w:kern w:val="0"/>
          <w:sz w:val="24"/>
          <w:szCs w:val="24"/>
          <w:highlight w:val="none"/>
          <w:lang w:val="zh-CN"/>
        </w:rPr>
        <w:t>。</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一、分包标的及数量</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lang w:val="zh-CN"/>
        </w:rPr>
        <w:t>将</w:t>
      </w:r>
      <w:r>
        <w:rPr>
          <w:rFonts w:hint="eastAsia" w:ascii="宋体" w:hAnsi="宋体" w:eastAsia="宋体" w:cs="宋体"/>
          <w:color w:val="auto"/>
          <w:sz w:val="24"/>
          <w:szCs w:val="24"/>
          <w:highlight w:val="none"/>
          <w:u w:val="single"/>
        </w:rPr>
        <w:t>XX工作内容</w:t>
      </w:r>
      <w:r>
        <w:rPr>
          <w:rFonts w:hint="eastAsia" w:ascii="宋体" w:hAnsi="宋体" w:eastAsia="宋体" w:cs="宋体"/>
          <w:color w:val="auto"/>
          <w:sz w:val="24"/>
          <w:szCs w:val="24"/>
          <w:highlight w:val="none"/>
        </w:rPr>
        <w:t>分包给</w:t>
      </w:r>
      <w:r>
        <w:rPr>
          <w:rFonts w:hint="eastAsia" w:ascii="宋体" w:hAnsi="宋体" w:eastAsia="宋体" w:cs="宋体"/>
          <w:color w:val="auto"/>
          <w:kern w:val="0"/>
          <w:sz w:val="24"/>
          <w:szCs w:val="24"/>
          <w:highlight w:val="none"/>
          <w:u w:val="single"/>
        </w:rPr>
        <w:t>（某分包供应商名称）</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rPr>
        <w:t>（某分包供应商名称）</w:t>
      </w:r>
      <w:r>
        <w:rPr>
          <w:rFonts w:hint="eastAsia" w:ascii="宋体" w:hAnsi="宋体" w:eastAsia="宋体" w:cs="宋体"/>
          <w:color w:val="auto"/>
          <w:kern w:val="0"/>
          <w:sz w:val="24"/>
          <w:szCs w:val="24"/>
          <w:highlight w:val="none"/>
          <w:lang w:val="zh-CN"/>
        </w:rPr>
        <w:t>具备承</w:t>
      </w:r>
      <w:r>
        <w:rPr>
          <w:rFonts w:hint="eastAsia" w:ascii="宋体" w:hAnsi="宋体" w:eastAsia="宋体" w:cs="宋体"/>
          <w:color w:val="auto"/>
          <w:kern w:val="0"/>
          <w:sz w:val="24"/>
          <w:szCs w:val="24"/>
          <w:highlight w:val="none"/>
        </w:rPr>
        <w:t>担</w:t>
      </w:r>
      <w:r>
        <w:rPr>
          <w:rFonts w:hint="eastAsia" w:ascii="宋体" w:hAnsi="宋体" w:eastAsia="宋体" w:cs="宋体"/>
          <w:color w:val="auto"/>
          <w:sz w:val="24"/>
          <w:szCs w:val="24"/>
          <w:highlight w:val="none"/>
          <w:u w:val="single"/>
        </w:rPr>
        <w:t>XX工作内容</w:t>
      </w:r>
      <w:r>
        <w:rPr>
          <w:rFonts w:hint="eastAsia" w:ascii="宋体" w:hAnsi="宋体" w:eastAsia="宋体" w:cs="宋体"/>
          <w:color w:val="auto"/>
          <w:kern w:val="0"/>
          <w:sz w:val="24"/>
          <w:szCs w:val="24"/>
          <w:highlight w:val="none"/>
          <w:lang w:val="zh-CN"/>
        </w:rPr>
        <w:t>相应资质条件且不得再次分包；</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二、分包工作履行期限、地点、方式：</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三、质量：</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四、价款或者报酬：</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五、违约责任：</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六、争议解决的办法：</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七、其他：</w:t>
      </w:r>
    </w:p>
    <w:p>
      <w:pPr>
        <w:snapToGrid w:val="0"/>
        <w:spacing w:line="360" w:lineRule="auto"/>
        <w:ind w:firstLine="480"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u w:val="single"/>
        </w:rPr>
        <w:t>（某分包供应商名称）</w:t>
      </w:r>
      <w:r>
        <w:rPr>
          <w:rFonts w:hint="eastAsia" w:ascii="宋体" w:hAnsi="宋体" w:eastAsia="宋体" w:cs="宋体"/>
          <w:color w:val="auto"/>
          <w:kern w:val="0"/>
          <w:sz w:val="24"/>
          <w:szCs w:val="24"/>
          <w:highlight w:val="none"/>
          <w:u w:val="single"/>
          <w:lang w:val="zh-CN"/>
        </w:rPr>
        <w:t>的合同份额占到合同总金额     %以上。</w:t>
      </w:r>
    </w:p>
    <w:p>
      <w:pPr>
        <w:snapToGrid w:val="0"/>
        <w:spacing w:line="360" w:lineRule="auto"/>
        <w:ind w:firstLine="480" w:firstLineChars="200"/>
        <w:rPr>
          <w:rFonts w:hint="eastAsia" w:ascii="宋体" w:hAnsi="宋体" w:eastAsia="宋体" w:cs="宋体"/>
          <w:color w:val="auto"/>
          <w:kern w:val="0"/>
          <w:sz w:val="24"/>
          <w:szCs w:val="24"/>
          <w:highlight w:val="none"/>
          <w:lang w:val="zh-CN"/>
        </w:rPr>
      </w:pPr>
    </w:p>
    <w:p>
      <w:pPr>
        <w:snapToGrid w:val="0"/>
        <w:spacing w:line="360" w:lineRule="auto"/>
        <w:ind w:firstLine="482" w:firstLineChars="200"/>
        <w:rPr>
          <w:rFonts w:hint="eastAsia" w:ascii="宋体" w:hAnsi="宋体" w:eastAsia="宋体" w:cs="宋体"/>
          <w:b/>
          <w:bCs/>
          <w:color w:val="auto"/>
          <w:kern w:val="0"/>
          <w:sz w:val="24"/>
          <w:szCs w:val="24"/>
          <w:highlight w:val="none"/>
          <w:lang w:val="zh-CN"/>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分包供应商名称（公章）：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napToGrid w:val="0"/>
        <w:spacing w:before="120" w:beforeLines="50" w:after="5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三、商务和技术文件部分封面格式</w:t>
      </w:r>
    </w:p>
    <w:p>
      <w:pPr>
        <w:snapToGrid w:val="0"/>
        <w:spacing w:before="120" w:beforeLines="50" w:after="50"/>
        <w:rPr>
          <w:rFonts w:hint="eastAsia" w:ascii="宋体" w:hAnsi="宋体" w:eastAsia="宋体" w:cs="宋体"/>
          <w:b/>
          <w:bCs/>
          <w:color w:val="auto"/>
          <w:sz w:val="24"/>
          <w:highlight w:val="none"/>
        </w:rPr>
      </w:pPr>
    </w:p>
    <w:p>
      <w:pPr>
        <w:pStyle w:val="14"/>
        <w:ind w:left="0" w:leftChars="0" w:right="1470"/>
        <w:rPr>
          <w:rFonts w:hint="eastAsia" w:ascii="宋体" w:hAnsi="宋体" w:eastAsia="宋体" w:cs="宋体"/>
          <w:b/>
          <w:color w:val="auto"/>
          <w:sz w:val="24"/>
          <w:szCs w:val="24"/>
          <w:highlight w:val="none"/>
        </w:rPr>
      </w:pPr>
    </w:p>
    <w:p>
      <w:pPr>
        <w:snapToGrid w:val="0"/>
        <w:spacing w:line="400" w:lineRule="exact"/>
        <w:jc w:val="center"/>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highlight w:val="none"/>
        </w:rPr>
        <w:t>商务和技术文件</w:t>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附件5</w:t>
      </w:r>
    </w:p>
    <w:p>
      <w:pPr>
        <w:spacing w:line="4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商务和技术文件投标文件</w:t>
      </w:r>
    </w:p>
    <w:p>
      <w:pPr>
        <w:spacing w:line="4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评分索引表</w:t>
      </w:r>
    </w:p>
    <w:p>
      <w:pPr>
        <w:spacing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为了方便专家评审投标文件，针对招标文件评分细则要求，投标人应制作标书索引，置于投标文件首页，格式如下：</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序号</w:t>
            </w:r>
          </w:p>
        </w:tc>
        <w:tc>
          <w:tcPr>
            <w:tcW w:w="6956" w:type="dxa"/>
            <w:vAlign w:val="center"/>
          </w:tcPr>
          <w:p>
            <w:pPr>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评分内容</w:t>
            </w:r>
          </w:p>
        </w:tc>
        <w:tc>
          <w:tcPr>
            <w:tcW w:w="1313" w:type="dxa"/>
            <w:vAlign w:val="center"/>
          </w:tcPr>
          <w:p>
            <w:pPr>
              <w:pStyle w:val="57"/>
              <w:spacing w:line="400" w:lineRule="exact"/>
              <w:rPr>
                <w:rFonts w:hint="eastAsia" w:ascii="宋体" w:hAnsi="宋体" w:eastAsia="宋体" w:cs="宋体"/>
                <w:b/>
                <w:color w:val="auto"/>
                <w:spacing w:val="-6"/>
                <w:szCs w:val="24"/>
                <w:highlight w:val="none"/>
              </w:rPr>
            </w:pPr>
            <w:r>
              <w:rPr>
                <w:rFonts w:hint="eastAsia" w:ascii="宋体" w:hAnsi="宋体" w:eastAsia="宋体" w:cs="宋体"/>
                <w:b/>
                <w:color w:val="auto"/>
                <w:spacing w:val="-6"/>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w:t>
            </w:r>
          </w:p>
        </w:tc>
        <w:tc>
          <w:tcPr>
            <w:tcW w:w="6956" w:type="dxa"/>
            <w:vAlign w:val="center"/>
          </w:tcPr>
          <w:p>
            <w:pPr>
              <w:spacing w:line="400" w:lineRule="exact"/>
              <w:jc w:val="left"/>
              <w:rPr>
                <w:rFonts w:hint="eastAsia" w:ascii="宋体" w:hAnsi="宋体" w:eastAsia="宋体" w:cs="宋体"/>
                <w:color w:val="auto"/>
                <w:kern w:val="0"/>
                <w:sz w:val="24"/>
                <w:szCs w:val="24"/>
                <w:highlight w:val="none"/>
              </w:rPr>
            </w:pPr>
          </w:p>
          <w:p>
            <w:pPr>
              <w:spacing w:line="400" w:lineRule="exact"/>
              <w:jc w:val="left"/>
              <w:rPr>
                <w:rFonts w:hint="eastAsia" w:ascii="宋体" w:hAnsi="宋体" w:eastAsia="宋体" w:cs="宋体"/>
                <w:color w:val="auto"/>
                <w:kern w:val="0"/>
                <w:sz w:val="24"/>
                <w:szCs w:val="24"/>
                <w:highlight w:val="none"/>
              </w:rPr>
            </w:pPr>
          </w:p>
        </w:tc>
        <w:tc>
          <w:tcPr>
            <w:tcW w:w="1313" w:type="dxa"/>
            <w:vAlign w:val="center"/>
          </w:tcPr>
          <w:p>
            <w:pPr>
              <w:pStyle w:val="2"/>
              <w:spacing w:line="400" w:lineRule="exact"/>
              <w:ind w:left="456" w:hanging="456"/>
              <w:rPr>
                <w:rFonts w:hint="eastAsia" w:ascii="宋体" w:hAnsi="宋体" w:eastAsia="宋体" w:cs="宋体"/>
                <w:color w:val="auto"/>
                <w:spacing w:val="-6"/>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2</w:t>
            </w:r>
          </w:p>
        </w:tc>
        <w:tc>
          <w:tcPr>
            <w:tcW w:w="6956" w:type="dxa"/>
            <w:vAlign w:val="center"/>
          </w:tcPr>
          <w:p>
            <w:pPr>
              <w:spacing w:line="400" w:lineRule="exact"/>
              <w:jc w:val="left"/>
              <w:rPr>
                <w:rFonts w:hint="eastAsia" w:ascii="宋体" w:hAnsi="宋体" w:eastAsia="宋体" w:cs="宋体"/>
                <w:color w:val="auto"/>
                <w:kern w:val="0"/>
                <w:sz w:val="24"/>
                <w:szCs w:val="24"/>
                <w:highlight w:val="none"/>
              </w:rPr>
            </w:pPr>
          </w:p>
        </w:tc>
        <w:tc>
          <w:tcPr>
            <w:tcW w:w="1313" w:type="dxa"/>
            <w:vAlign w:val="center"/>
          </w:tcPr>
          <w:p>
            <w:pPr>
              <w:pStyle w:val="2"/>
              <w:spacing w:line="400" w:lineRule="exact"/>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8</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bl>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备注：一.“评分内容”对应“第六部分”评标原则及方法。</w:t>
      </w:r>
    </w:p>
    <w:p>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二.评标内容自行添加。本表可扩展。</w:t>
      </w:r>
    </w:p>
    <w:p>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三.各投标人在投标文件最前页根据本评标细则制作评分索引表，清楚标注响应内容及证明材料的所在页码。</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附件6</w:t>
      </w:r>
    </w:p>
    <w:p>
      <w:pPr>
        <w:pStyle w:val="2"/>
        <w:ind w:left="0" w:firstLine="0" w:firstLineChars="0"/>
        <w:rPr>
          <w:rFonts w:hint="eastAsia" w:ascii="宋体" w:hAnsi="宋体" w:eastAsia="宋体" w:cs="宋体"/>
          <w:color w:val="auto"/>
          <w:szCs w:val="24"/>
          <w:highlight w:val="none"/>
        </w:rPr>
      </w:pPr>
    </w:p>
    <w:p>
      <w:pPr>
        <w:ind w:right="-1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法定代表人资格证明书</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文成县卫生健康局</w:t>
      </w:r>
      <w:r>
        <w:rPr>
          <w:rFonts w:hint="eastAsia" w:ascii="宋体" w:hAnsi="宋体" w:eastAsia="宋体" w:cs="宋体"/>
          <w:color w:val="auto"/>
          <w:sz w:val="24"/>
          <w:szCs w:val="24"/>
          <w:highlight w:val="none"/>
        </w:rPr>
        <w:t>、浙江乐诚工程咨询有限公司：</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（姓名、性别、年龄）</w:t>
      </w:r>
      <w:r>
        <w:rPr>
          <w:rFonts w:hint="eastAsia" w:ascii="宋体" w:hAnsi="宋体" w:eastAsia="宋体" w:cs="宋体"/>
          <w:color w:val="auto"/>
          <w:sz w:val="24"/>
          <w:szCs w:val="24"/>
          <w:highlight w:val="none"/>
        </w:rPr>
        <w:t>在我单位任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（职务名称）职务，是我单位的法定代表人。</w:t>
      </w:r>
    </w:p>
    <w:p>
      <w:pPr>
        <w:spacing w:line="48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00" w:lineRule="exact"/>
        <w:jc w:val="left"/>
        <w:rPr>
          <w:rFonts w:hint="eastAsia" w:ascii="宋体" w:hAnsi="宋体" w:eastAsia="宋体" w:cs="宋体"/>
          <w:b/>
          <w:bCs/>
          <w:color w:val="auto"/>
          <w:sz w:val="24"/>
          <w:szCs w:val="24"/>
          <w:highlight w:val="none"/>
        </w:rPr>
      </w:pP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法定代表人身份证号：（身份证复印附后）</w:t>
      </w: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法定代表人电话：</w:t>
      </w:r>
    </w:p>
    <w:p>
      <w:pPr>
        <w:spacing w:line="40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投标人全称（电子签章）</w:t>
      </w: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   年  月  日</w:t>
      </w:r>
    </w:p>
    <w:p>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napToGrid w:val="0"/>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说明：投标人的法定代表人参加投标，须在投标文件中提供法定代表人资格证明书；投标人的法定代表人委托授权代表参加投标，须在投标文件中提供法定代表人授权委托书。</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line="360" w:lineRule="auto"/>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法定代表人授权委托书</w:t>
      </w:r>
    </w:p>
    <w:p>
      <w:pPr>
        <w:snapToGrid w:val="0"/>
        <w:spacing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Cs/>
          <w:color w:val="auto"/>
          <w:spacing w:val="-6"/>
          <w:sz w:val="24"/>
          <w:szCs w:val="24"/>
          <w:highlight w:val="none"/>
        </w:rPr>
        <w:t>致：</w:t>
      </w:r>
      <w:r>
        <w:rPr>
          <w:rFonts w:hint="eastAsia" w:ascii="宋体" w:hAnsi="宋体" w:eastAsia="宋体" w:cs="宋体"/>
          <w:color w:val="auto"/>
          <w:sz w:val="24"/>
          <w:szCs w:val="24"/>
          <w:highlight w:val="none"/>
          <w:lang w:eastAsia="zh-CN"/>
        </w:rPr>
        <w:t>文成县卫生健康局</w:t>
      </w:r>
      <w:r>
        <w:rPr>
          <w:rFonts w:hint="eastAsia" w:ascii="宋体" w:hAnsi="宋体" w:eastAsia="宋体" w:cs="宋体"/>
          <w:color w:val="auto"/>
          <w:sz w:val="24"/>
          <w:szCs w:val="24"/>
          <w:highlight w:val="none"/>
        </w:rPr>
        <w:t>、浙江乐诚工程咨询有限公司</w:t>
      </w:r>
      <w:r>
        <w:rPr>
          <w:rFonts w:hint="eastAsia" w:ascii="宋体" w:hAnsi="宋体" w:eastAsia="宋体" w:cs="宋体"/>
          <w:color w:val="auto"/>
          <w:spacing w:val="-6"/>
          <w:sz w:val="24"/>
          <w:szCs w:val="24"/>
          <w:highlight w:val="none"/>
        </w:rPr>
        <w:t>：</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我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（姓名）系</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（投标人名称）的法定代表人，现授权委托本单位在职职工</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（姓名）（身份证号：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）以我方的名义参加</w:t>
      </w:r>
      <w:r>
        <w:rPr>
          <w:rFonts w:hint="eastAsia" w:ascii="宋体" w:hAnsi="宋体" w:eastAsia="宋体" w:cs="宋体"/>
          <w:color w:val="auto"/>
          <w:spacing w:val="-6"/>
          <w:sz w:val="24"/>
          <w:szCs w:val="24"/>
          <w:highlight w:val="none"/>
          <w:lang w:eastAsia="zh-CN"/>
        </w:rPr>
        <w:t>文成县卫生健康局</w:t>
      </w:r>
      <w:r>
        <w:rPr>
          <w:rFonts w:hint="eastAsia" w:ascii="宋体" w:hAnsi="宋体" w:eastAsia="宋体" w:cs="宋体"/>
          <w:color w:val="auto"/>
          <w:spacing w:val="-6"/>
          <w:sz w:val="24"/>
          <w:szCs w:val="24"/>
          <w:highlight w:val="none"/>
        </w:rPr>
        <w:t>（采购项目</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）的投标活动，并代表我方全权办理针对上述项目的投标、开标、评标、签约等具体事务和签署相关文件。</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我方对被授权人的签名负全部责任。</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被授权人无转委托权，特此委托。</w:t>
      </w:r>
    </w:p>
    <w:p>
      <w:pPr>
        <w:snapToGrid w:val="0"/>
        <w:spacing w:line="288" w:lineRule="auto"/>
        <w:rPr>
          <w:rFonts w:hint="eastAsia" w:ascii="宋体" w:hAnsi="宋体" w:eastAsia="宋体" w:cs="宋体"/>
          <w:color w:val="auto"/>
          <w:spacing w:val="-6"/>
          <w:sz w:val="24"/>
          <w:szCs w:val="24"/>
          <w:highlight w:val="none"/>
        </w:rPr>
      </w:pPr>
    </w:p>
    <w:p>
      <w:pPr>
        <w:snapToGrid w:val="0"/>
        <w:spacing w:line="288" w:lineRule="auto"/>
        <w:rPr>
          <w:rFonts w:hint="eastAsia" w:ascii="宋体" w:hAnsi="宋体" w:eastAsia="宋体" w:cs="宋体"/>
          <w:color w:val="auto"/>
          <w:spacing w:val="-6"/>
          <w:sz w:val="24"/>
          <w:szCs w:val="24"/>
          <w:highlight w:val="none"/>
        </w:rPr>
      </w:pPr>
    </w:p>
    <w:p>
      <w:pPr>
        <w:snapToGrid w:val="0"/>
        <w:spacing w:line="288"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被授权人签字：                              法定代表人签字或签章：</w:t>
      </w:r>
    </w:p>
    <w:p>
      <w:pPr>
        <w:snapToGrid w:val="0"/>
        <w:spacing w:line="288" w:lineRule="auto"/>
        <w:ind w:firstLine="912" w:firstLineChars="4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职务：                               职务：</w:t>
      </w:r>
    </w:p>
    <w:p>
      <w:pPr>
        <w:snapToGrid w:val="0"/>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被授权人身份证号码：</w:t>
      </w:r>
    </w:p>
    <w:p>
      <w:pPr>
        <w:pStyle w:val="3"/>
        <w:ind w:left="456" w:hanging="456"/>
        <w:rPr>
          <w:rFonts w:hint="eastAsia" w:ascii="宋体" w:hAnsi="宋体" w:eastAsia="宋体" w:cs="宋体"/>
          <w:color w:val="auto"/>
          <w:highlight w:val="none"/>
          <w:u w:val="single"/>
        </w:rPr>
      </w:pPr>
      <w:r>
        <w:rPr>
          <w:rFonts w:hint="eastAsia" w:ascii="宋体" w:hAnsi="宋体" w:eastAsia="宋体" w:cs="宋体"/>
          <w:color w:val="auto"/>
          <w:spacing w:val="-6"/>
          <w:szCs w:val="24"/>
          <w:highlight w:val="none"/>
        </w:rPr>
        <w:t>被授权人手机号码：</w:t>
      </w:r>
    </w:p>
    <w:p>
      <w:pPr>
        <w:snapToGrid w:val="0"/>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供应商名称（CA电子公章）：</w:t>
      </w:r>
    </w:p>
    <w:p>
      <w:pPr>
        <w:snapToGrid w:val="0"/>
        <w:spacing w:line="288"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年    月    日</w:t>
      </w:r>
    </w:p>
    <w:p>
      <w:pPr>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法定代表人授权书</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 w:val="28"/>
          <w:szCs w:val="28"/>
          <w:highlight w:val="none"/>
        </w:rPr>
        <w:t>联合投标授权委托书（联合体投标须提供）</w:t>
      </w:r>
    </w:p>
    <w:p>
      <w:pPr>
        <w:pStyle w:val="9"/>
        <w:overflowPunct w:val="0"/>
        <w:spacing w:line="360" w:lineRule="auto"/>
        <w:ind w:firstLine="0"/>
        <w:rPr>
          <w:rFonts w:hint="eastAsia" w:ascii="宋体" w:hAnsi="宋体" w:eastAsia="宋体" w:cs="宋体"/>
          <w:color w:val="auto"/>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bookmarkStart w:id="106" w:name="_Hlk112340065"/>
      <w:r>
        <w:rPr>
          <w:rFonts w:hint="eastAsia" w:ascii="宋体" w:hAnsi="宋体" w:eastAsia="宋体" w:cs="宋体"/>
          <w:color w:val="auto"/>
          <w:spacing w:val="-6"/>
          <w:sz w:val="24"/>
          <w:szCs w:val="24"/>
          <w:highlight w:val="none"/>
        </w:rPr>
        <w:t>本授权委托书声明：</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与</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签订的《联合协议》的内容，联合体牵头人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的法定代表人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现授权（ _________（姓名），身份证号码：_________________________，手机号码：</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特此委托。</w:t>
      </w:r>
    </w:p>
    <w:p>
      <w:pPr>
        <w:snapToGrid w:val="0"/>
        <w:spacing w:line="360" w:lineRule="auto"/>
        <w:ind w:firstLine="456" w:firstLineChars="200"/>
        <w:rPr>
          <w:rFonts w:hint="eastAsia" w:ascii="宋体" w:hAnsi="宋体" w:eastAsia="宋体" w:cs="宋体"/>
          <w:color w:val="auto"/>
          <w:spacing w:val="-6"/>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授权人（签字或签章）：</w:t>
      </w:r>
    </w:p>
    <w:p>
      <w:pPr>
        <w:snapToGrid w:val="0"/>
        <w:spacing w:line="360" w:lineRule="auto"/>
        <w:ind w:firstLine="456" w:firstLineChars="200"/>
        <w:rPr>
          <w:rFonts w:hint="eastAsia" w:ascii="宋体" w:hAnsi="宋体" w:eastAsia="宋体" w:cs="宋体"/>
          <w:color w:val="auto"/>
          <w:spacing w:val="-6"/>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授权代表（签字）：</w:t>
      </w:r>
    </w:p>
    <w:bookmarkEnd w:id="106"/>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  年  月  日</w:t>
      </w:r>
    </w:p>
    <w:p>
      <w:pPr>
        <w:pStyle w:val="2"/>
        <w:spacing w:line="360" w:lineRule="auto"/>
        <w:ind w:left="0" w:firstLine="0" w:firstLineChars="0"/>
        <w:rPr>
          <w:rFonts w:hint="eastAsia" w:ascii="宋体" w:hAnsi="宋体" w:eastAsia="宋体" w:cs="宋体"/>
          <w:color w:val="auto"/>
          <w:spacing w:val="-6"/>
          <w:szCs w:val="24"/>
          <w:highlight w:val="none"/>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附件7</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 标 函</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文成县卫生健康局</w:t>
      </w:r>
      <w:r>
        <w:rPr>
          <w:rFonts w:hint="eastAsia" w:ascii="宋体" w:hAnsi="宋体" w:eastAsia="宋体" w:cs="宋体"/>
          <w:color w:val="auto"/>
          <w:sz w:val="24"/>
          <w:szCs w:val="24"/>
          <w:highlight w:val="none"/>
          <w:u w:val="single"/>
        </w:rPr>
        <w:t>、浙江乐诚工程咨询有限公司</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lang w:eastAsia="zh-CN"/>
        </w:rPr>
        <w:t>文成县卫生健康局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）的投标邀请，我方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（投标人名称）作为投标人正式授权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（授权代表全名，职务）代表我方处理本次项目中的一切投标相关事宜。</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我方己完全明白招标文件的所有条款要求，并重申以下几点：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（一）本投标文件的有效期自提交投标文件的截止之日起 </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天内有效，如中标，有效期将延至合同终止日为止；</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（三）我方明白并愿意在规定的开标时间之后，投标人在投标有效期内不撤回投标；</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（四）我方同意提供按照贵方可能要求的与投标有关的一切数据或资料；</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（五）我方理解贵方不一定接受最低报价。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（七）所有与本投标有关的函件请发往下列地址：</w:t>
      </w:r>
    </w:p>
    <w:p>
      <w:pPr>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pPr>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40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pPr>
        <w:spacing w:line="400" w:lineRule="exact"/>
        <w:rPr>
          <w:rFonts w:hint="eastAsia" w:ascii="宋体" w:hAnsi="宋体" w:eastAsia="宋体" w:cs="宋体"/>
          <w:color w:val="auto"/>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pacing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color w:val="auto"/>
          <w:sz w:val="24"/>
          <w:szCs w:val="24"/>
          <w:highlight w:val="none"/>
          <w:lang w:eastAsia="zh-CN"/>
        </w:rPr>
        <w:t>附件8</w:t>
      </w:r>
    </w:p>
    <w:p>
      <w:pPr>
        <w:snapToGrid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投标声明书</w:t>
      </w:r>
    </w:p>
    <w:p>
      <w:pPr>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文成县卫生健康局</w:t>
      </w:r>
      <w:r>
        <w:rPr>
          <w:rFonts w:hint="eastAsia" w:ascii="宋体" w:hAnsi="宋体" w:eastAsia="宋体" w:cs="宋体"/>
          <w:color w:val="auto"/>
          <w:sz w:val="24"/>
          <w:szCs w:val="24"/>
          <w:highlight w:val="none"/>
          <w:u w:val="single"/>
        </w:rPr>
        <w:t>、浙江乐诚工程咨询有限公司</w:t>
      </w:r>
      <w:r>
        <w:rPr>
          <w:rFonts w:hint="eastAsia" w:ascii="宋体" w:hAnsi="宋体" w:eastAsia="宋体" w:cs="宋体"/>
          <w:color w:val="auto"/>
          <w:sz w:val="24"/>
          <w:szCs w:val="24"/>
          <w:highlight w:val="none"/>
        </w:rPr>
        <w:t>：</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系中华人民共和国合法企业，经营地址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40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的法定代表人，我方愿意参加贵方组织的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）的投标，为便于贵方公正、择优地确定中标人及其服务，我方就本次投标有关事项郑重声明如下：</w:t>
      </w:r>
    </w:p>
    <w:p>
      <w:pPr>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1.我方向贵方提交的所有投标文件、资料都是准确的和真实的；</w:t>
      </w:r>
    </w:p>
    <w:p>
      <w:pPr>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2.我方不是采购人的附属机构；在获知本项目采购信息后，与采购人聘请的为此项目提供咨询服务的公司及其附属机构没有任何联系；</w:t>
      </w:r>
    </w:p>
    <w:p>
      <w:pPr>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3.我方在参加政府采购活动前3年内：</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pacing w:val="-6"/>
          <w:sz w:val="24"/>
          <w:szCs w:val="24"/>
          <w:highlight w:val="none"/>
        </w:rPr>
        <w:t>（填写“有”或“没有”，如实填写，如不填写视同未按要求填写）</w:t>
      </w:r>
      <w:r>
        <w:rPr>
          <w:rFonts w:hint="eastAsia" w:ascii="宋体" w:hAnsi="宋体" w:eastAsia="宋体" w:cs="宋体"/>
          <w:color w:val="auto"/>
          <w:spacing w:val="-6"/>
          <w:sz w:val="24"/>
          <w:szCs w:val="24"/>
          <w:highlight w:val="none"/>
        </w:rPr>
        <w:t>因违法经营被禁止在一定期限内参加政府采购活动，且期限未满的情形；</w:t>
      </w:r>
    </w:p>
    <w:p>
      <w:pPr>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4.以上事项如有虚假或隐瞒，我方愿意承担一切后果和责任。</w:t>
      </w:r>
    </w:p>
    <w:p>
      <w:pPr>
        <w:pStyle w:val="13"/>
        <w:tabs>
          <w:tab w:val="left" w:pos="939"/>
        </w:tabs>
        <w:snapToGrid w:val="0"/>
        <w:spacing w:line="400" w:lineRule="exact"/>
        <w:ind w:left="458" w:leftChars="0" w:hanging="458" w:hangingChars="191"/>
        <w:rPr>
          <w:rFonts w:hint="eastAsia" w:ascii="宋体" w:hAnsi="宋体" w:eastAsia="宋体" w:cs="宋体"/>
          <w:color w:val="auto"/>
          <w:sz w:val="24"/>
          <w:szCs w:val="24"/>
          <w:highlight w:val="none"/>
        </w:rPr>
      </w:pPr>
    </w:p>
    <w:p>
      <w:pPr>
        <w:pStyle w:val="58"/>
        <w:snapToGrid w:val="0"/>
        <w:spacing w:line="400" w:lineRule="exact"/>
        <w:ind w:firstLine="200"/>
        <w:rPr>
          <w:rFonts w:hint="eastAsia" w:ascii="宋体" w:hAnsi="宋体" w:eastAsia="宋体" w:cs="宋体"/>
          <w:color w:val="auto"/>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br w:type="page"/>
      </w:r>
    </w:p>
    <w:p>
      <w:pPr>
        <w:spacing w:line="400" w:lineRule="exact"/>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附件9</w:t>
      </w:r>
    </w:p>
    <w:p>
      <w:pPr>
        <w:spacing w:line="400" w:lineRule="exact"/>
        <w:ind w:firstLine="435"/>
        <w:jc w:val="cente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投标人基本情况表</w:t>
      </w:r>
    </w:p>
    <w:tbl>
      <w:tblPr>
        <w:tblStyle w:val="31"/>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3</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4</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电话：</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5</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传真：</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6</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注册地：</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8</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9</w:t>
            </w:r>
          </w:p>
        </w:tc>
        <w:tc>
          <w:tcPr>
            <w:tcW w:w="2520"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其他需要说明的情况</w:t>
            </w:r>
          </w:p>
        </w:tc>
        <w:tc>
          <w:tcPr>
            <w:tcW w:w="5970" w:type="dxa"/>
            <w:gridSpan w:val="2"/>
            <w:vAlign w:val="center"/>
          </w:tcPr>
          <w:p>
            <w:pPr>
              <w:spacing w:line="400" w:lineRule="exact"/>
              <w:rPr>
                <w:rFonts w:hint="eastAsia" w:ascii="宋体" w:hAnsi="宋体" w:eastAsia="宋体" w:cs="宋体"/>
                <w:color w:val="auto"/>
                <w:spacing w:val="-6"/>
                <w:sz w:val="24"/>
                <w:highlight w:val="none"/>
              </w:rPr>
            </w:pPr>
          </w:p>
        </w:tc>
      </w:tr>
    </w:tbl>
    <w:p>
      <w:pPr>
        <w:spacing w:line="400" w:lineRule="exact"/>
        <w:rPr>
          <w:rFonts w:hint="eastAsia" w:ascii="宋体" w:hAnsi="宋体" w:eastAsia="宋体" w:cs="宋体"/>
          <w:color w:val="auto"/>
          <w:spacing w:val="-6"/>
          <w:sz w:val="24"/>
          <w:highlight w:val="none"/>
        </w:rPr>
      </w:pP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说明：所有投标人都须填写此表。</w:t>
      </w:r>
    </w:p>
    <w:p>
      <w:pPr>
        <w:spacing w:line="400" w:lineRule="exact"/>
        <w:rPr>
          <w:rFonts w:hint="eastAsia" w:ascii="宋体" w:hAnsi="宋体" w:eastAsia="宋体" w:cs="宋体"/>
          <w:color w:val="auto"/>
          <w:spacing w:val="-6"/>
          <w:sz w:val="24"/>
          <w:highlight w:val="none"/>
        </w:rPr>
      </w:pPr>
    </w:p>
    <w:p>
      <w:pPr>
        <w:spacing w:line="400" w:lineRule="exact"/>
        <w:rPr>
          <w:rFonts w:hint="eastAsia" w:ascii="宋体" w:hAnsi="宋体" w:eastAsia="宋体" w:cs="宋体"/>
          <w:color w:val="auto"/>
          <w:spacing w:val="-6"/>
          <w:sz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附件10</w:t>
      </w:r>
    </w:p>
    <w:p>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节能、环保产品证明材料（如有）</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\t "http://www.ccgp.gov.cn/jnhb/jnhbqd/_blank" \o "关于印发环境标志产品政府采购品目清单的通知（财库〔2019〕18号）"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关于印发环境标志产品政府采购品目清单的通知（财库〔2019〕18号）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http://www.ccgp.gov.cn/zcfg/mof/201903/t20190330_11833800.htm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\t "http://www.ccgp.gov.cn/jnhb/jnhbqd/_blank" \o "关于印发节能产品政府采购品目清单的通知（财库〔2019〕19号）"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关于印发节能产品政府采购品目清单的通知（财库〔2019〕19号）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http://www.ccgp.gov.cn/zcfg/mof/201904/t20190403_11849836.htm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2、评审小组成员审查此项只根据投标文件本身的内容，不再寻求其他的外部证据。</w:t>
      </w:r>
    </w:p>
    <w:p>
      <w:pPr>
        <w:spacing w:line="400" w:lineRule="exact"/>
        <w:jc w:val="center"/>
        <w:rPr>
          <w:rFonts w:hint="eastAsia" w:ascii="宋体" w:hAnsi="宋体" w:eastAsia="宋体" w:cs="宋体"/>
          <w:b/>
          <w:color w:val="auto"/>
          <w:sz w:val="24"/>
          <w:szCs w:val="24"/>
          <w:highlight w:val="none"/>
        </w:rPr>
      </w:pP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w:t>
      </w: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（1）投标产品中节能产品明细清单</w:t>
      </w:r>
    </w:p>
    <w:tbl>
      <w:tblPr>
        <w:tblStyle w:val="3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bl>
    <w:p>
      <w:pPr>
        <w:rPr>
          <w:rFonts w:hint="eastAsia" w:ascii="宋体" w:hAnsi="宋体" w:eastAsia="宋体" w:cs="宋体"/>
          <w:color w:val="auto"/>
          <w:sz w:val="22"/>
          <w:highlight w:val="none"/>
        </w:rPr>
      </w:pP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（2）投标产品中环保产品明细清单</w:t>
      </w:r>
    </w:p>
    <w:tbl>
      <w:tblPr>
        <w:tblStyle w:val="31"/>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bl>
    <w:p>
      <w:pPr>
        <w:rPr>
          <w:rFonts w:hint="eastAsia" w:ascii="宋体" w:hAnsi="宋体" w:eastAsia="宋体" w:cs="宋体"/>
          <w:color w:val="auto"/>
          <w:sz w:val="22"/>
          <w:highlight w:val="none"/>
        </w:rPr>
      </w:pP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备注：节能产品、环境标志产品认证证书附后</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附件11</w:t>
      </w:r>
    </w:p>
    <w:p>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投标人同类项目业绩一览表（如有）</w:t>
      </w:r>
    </w:p>
    <w:p>
      <w:pPr>
        <w:spacing w:line="400" w:lineRule="exact"/>
        <w:rPr>
          <w:rFonts w:hint="eastAsia" w:ascii="宋体" w:hAnsi="宋体" w:eastAsia="宋体" w:cs="宋体"/>
          <w:b/>
          <w:bCs/>
          <w:color w:val="auto"/>
          <w:sz w:val="24"/>
          <w:szCs w:val="24"/>
          <w:highlight w:val="none"/>
        </w:rPr>
      </w:pPr>
    </w:p>
    <w:p>
      <w:pPr>
        <w:pStyle w:val="14"/>
        <w:spacing w:after="0" w:line="400" w:lineRule="exact"/>
        <w:ind w:left="0" w:leftChars="0" w:right="1470"/>
        <w:rPr>
          <w:rFonts w:hint="eastAsia" w:ascii="宋体" w:hAnsi="宋体" w:eastAsia="宋体" w:cs="宋体"/>
          <w:bCs/>
          <w:color w:val="auto"/>
          <w:sz w:val="24"/>
          <w:szCs w:val="24"/>
          <w:highlight w:val="none"/>
        </w:rPr>
      </w:pPr>
      <w:r>
        <w:rPr>
          <w:rFonts w:hint="eastAsia" w:ascii="宋体" w:hAnsi="宋体" w:eastAsia="宋体" w:cs="宋体"/>
          <w:b/>
          <w:color w:val="auto"/>
          <w:sz w:val="22"/>
          <w:highlight w:val="none"/>
        </w:rPr>
        <w:t>项</w:t>
      </w:r>
      <w:r>
        <w:rPr>
          <w:rFonts w:hint="eastAsia" w:ascii="宋体" w:hAnsi="宋体" w:eastAsia="宋体" w:cs="宋体"/>
          <w:b/>
          <w:color w:val="auto"/>
          <w:sz w:val="24"/>
          <w:szCs w:val="24"/>
          <w:highlight w:val="none"/>
        </w:rPr>
        <w:t xml:space="preserve">目名称：                              项目编号：                  </w:t>
      </w:r>
    </w:p>
    <w:tbl>
      <w:tblPr>
        <w:tblStyle w:val="31"/>
        <w:tblW w:w="9536"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0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序号</w:t>
            </w:r>
          </w:p>
        </w:tc>
        <w:tc>
          <w:tcPr>
            <w:tcW w:w="1833"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采购单位名称</w:t>
            </w:r>
          </w:p>
        </w:tc>
        <w:tc>
          <w:tcPr>
            <w:tcW w:w="1614"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项目名称</w:t>
            </w:r>
          </w:p>
        </w:tc>
        <w:tc>
          <w:tcPr>
            <w:tcW w:w="1464"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合同金额</w:t>
            </w:r>
          </w:p>
        </w:tc>
        <w:tc>
          <w:tcPr>
            <w:tcW w:w="1728"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合同签订时间</w:t>
            </w:r>
          </w:p>
        </w:tc>
        <w:tc>
          <w:tcPr>
            <w:tcW w:w="2008"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采购单位联系人及</w:t>
            </w:r>
          </w:p>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008" w:type="dxa"/>
          </w:tcPr>
          <w:p>
            <w:pPr>
              <w:spacing w:line="400" w:lineRule="exact"/>
              <w:jc w:val="center"/>
              <w:rPr>
                <w:rFonts w:hint="eastAsia" w:ascii="宋体" w:hAnsi="宋体" w:eastAsia="宋体" w:cs="宋体"/>
                <w:b/>
                <w:bCs/>
                <w:color w:val="auto"/>
                <w:sz w:val="24"/>
                <w:szCs w:val="24"/>
                <w:highlight w:val="none"/>
              </w:rPr>
            </w:pPr>
          </w:p>
        </w:tc>
      </w:tr>
    </w:tbl>
    <w:p>
      <w:pPr>
        <w:spacing w:line="400" w:lineRule="exact"/>
        <w:ind w:left="647" w:hanging="646" w:hangingChars="294"/>
        <w:rPr>
          <w:rFonts w:hint="eastAsia" w:ascii="宋体" w:hAnsi="宋体" w:eastAsia="宋体" w:cs="宋体"/>
          <w:color w:val="auto"/>
          <w:sz w:val="22"/>
          <w:highlight w:val="none"/>
        </w:rPr>
      </w:pPr>
      <w:r>
        <w:rPr>
          <w:rFonts w:hint="eastAsia" w:ascii="宋体" w:hAnsi="宋体" w:eastAsia="宋体" w:cs="宋体"/>
          <w:color w:val="auto"/>
          <w:sz w:val="22"/>
          <w:highlight w:val="none"/>
        </w:rPr>
        <w:t>备注：证明材料附后</w:t>
      </w:r>
    </w:p>
    <w:p>
      <w:pPr>
        <w:widowControl/>
        <w:spacing w:line="400" w:lineRule="exact"/>
        <w:rPr>
          <w:rFonts w:hint="eastAsia" w:ascii="宋体" w:hAnsi="宋体" w:eastAsia="宋体" w:cs="宋体"/>
          <w:color w:val="auto"/>
          <w:kern w:val="0"/>
          <w:sz w:val="22"/>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zCs w:val="24"/>
          <w:highlight w:val="none"/>
          <w:lang w:eastAsia="zh-CN"/>
        </w:rPr>
      </w:pPr>
      <w:r>
        <w:rPr>
          <w:rFonts w:hint="eastAsia" w:ascii="宋体" w:hAnsi="宋体" w:eastAsia="宋体" w:cs="宋体"/>
          <w:b/>
          <w:color w:val="auto"/>
          <w:sz w:val="24"/>
          <w:szCs w:val="24"/>
          <w:highlight w:val="none"/>
          <w:lang w:eastAsia="zh-CN"/>
        </w:rPr>
        <w:t>附件12</w:t>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采购需求偏离表</w:t>
      </w:r>
    </w:p>
    <w:p>
      <w:pPr>
        <w:pStyle w:val="14"/>
        <w:spacing w:after="0" w:line="400" w:lineRule="exact"/>
        <w:ind w:left="0" w:leftChars="0" w:right="1470"/>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项目名称：                                                项目编号：                  </w:t>
      </w:r>
    </w:p>
    <w:tbl>
      <w:tblPr>
        <w:tblStyle w:val="31"/>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序号</w:t>
            </w:r>
          </w:p>
        </w:tc>
        <w:tc>
          <w:tcPr>
            <w:tcW w:w="1656"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招标文件要求</w:t>
            </w:r>
          </w:p>
        </w:tc>
        <w:tc>
          <w:tcPr>
            <w:tcW w:w="3219"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投标文件对应规范</w:t>
            </w:r>
          </w:p>
        </w:tc>
        <w:tc>
          <w:tcPr>
            <w:tcW w:w="1822"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是否偏离</w:t>
            </w:r>
          </w:p>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（提供说明）</w:t>
            </w:r>
          </w:p>
        </w:tc>
        <w:tc>
          <w:tcPr>
            <w:tcW w:w="2092"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hint="eastAsia" w:ascii="宋体" w:hAnsi="宋体" w:eastAsia="宋体" w:cs="宋体"/>
                <w:color w:val="auto"/>
                <w:spacing w:val="-6"/>
                <w:sz w:val="24"/>
                <w:highlight w:val="none"/>
              </w:rPr>
            </w:pPr>
          </w:p>
        </w:tc>
        <w:tc>
          <w:tcPr>
            <w:tcW w:w="1656" w:type="dxa"/>
            <w:vAlign w:val="center"/>
          </w:tcPr>
          <w:p>
            <w:pPr>
              <w:snapToGrid w:val="0"/>
              <w:spacing w:line="400" w:lineRule="exact"/>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bl>
    <w:p>
      <w:pPr>
        <w:adjustRightInd w:val="0"/>
        <w:snapToGrid w:val="0"/>
        <w:spacing w:line="400" w:lineRule="exact"/>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注意：1.逐项按照招标文件要求填写响应规格；</w:t>
      </w:r>
    </w:p>
    <w:p>
      <w:pPr>
        <w:adjustRightInd w:val="0"/>
        <w:snapToGrid w:val="0"/>
        <w:spacing w:line="400" w:lineRule="exact"/>
        <w:ind w:firstLine="627" w:firstLineChars="3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3.此表留空或不填写，则视为完全响应招标文件的要求，自行承担投标风险</w:t>
      </w:r>
      <w:r>
        <w:rPr>
          <w:rFonts w:hint="eastAsia" w:ascii="宋体" w:hAnsi="宋体" w:eastAsia="宋体" w:cs="宋体"/>
          <w:b/>
          <w:color w:val="auto"/>
          <w:spacing w:val="-6"/>
          <w:sz w:val="24"/>
          <w:szCs w:val="24"/>
          <w:highlight w:val="none"/>
        </w:rPr>
        <w:t>。</w:t>
      </w:r>
    </w:p>
    <w:p>
      <w:pPr>
        <w:adjustRightInd w:val="0"/>
        <w:snapToGrid w:val="0"/>
        <w:spacing w:line="400" w:lineRule="exact"/>
        <w:ind w:firstLine="418" w:firstLine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hint="eastAsia" w:ascii="宋体" w:hAnsi="宋体" w:eastAsia="宋体" w:cs="宋体"/>
          <w:color w:val="auto"/>
          <w:kern w:val="0"/>
          <w:sz w:val="22"/>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附件13</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货物配置清单</w:t>
      </w:r>
    </w:p>
    <w:p>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2"/>
          <w:highlight w:val="none"/>
        </w:rPr>
        <w:t>项目名称：                                                项目编号：</w:t>
      </w:r>
    </w:p>
    <w:tbl>
      <w:tblPr>
        <w:tblStyle w:val="3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250"/>
        <w:gridCol w:w="950"/>
        <w:gridCol w:w="861"/>
        <w:gridCol w:w="827"/>
        <w:gridCol w:w="1237"/>
        <w:gridCol w:w="1538"/>
        <w:gridCol w:w="1462"/>
        <w:gridCol w:w="8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单位及数量</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性能及指标</w:t>
            </w: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nil"/>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bl>
    <w:p>
      <w:pPr>
        <w:adjustRightInd w:val="0"/>
        <w:spacing w:line="360" w:lineRule="auto"/>
        <w:ind w:firstLine="4042" w:firstLineChars="1925"/>
        <w:rPr>
          <w:rFonts w:hint="eastAsia" w:ascii="宋体" w:hAnsi="宋体" w:eastAsia="宋体" w:cs="宋体"/>
          <w:color w:val="auto"/>
          <w:szCs w:val="21"/>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napToGrid w:val="0"/>
        <w:spacing w:line="360" w:lineRule="auto"/>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附件14</w:t>
      </w:r>
    </w:p>
    <w:p>
      <w:pPr>
        <w:adjustRightInd w:val="0"/>
        <w:snapToGrid w:val="0"/>
        <w:spacing w:line="360" w:lineRule="auto"/>
        <w:jc w:val="center"/>
        <w:rPr>
          <w:rFonts w:hint="eastAsia" w:ascii="宋体" w:hAnsi="宋体" w:eastAsia="宋体" w:cs="宋体"/>
          <w:b/>
          <w:snapToGrid w:val="0"/>
          <w:color w:val="auto"/>
          <w:sz w:val="24"/>
          <w:szCs w:val="24"/>
          <w:highlight w:val="none"/>
        </w:rPr>
      </w:pPr>
      <w:r>
        <w:rPr>
          <w:rFonts w:hint="eastAsia" w:ascii="宋体" w:hAnsi="宋体" w:eastAsia="宋体" w:cs="宋体"/>
          <w:b/>
          <w:color w:val="auto"/>
          <w:sz w:val="24"/>
          <w:szCs w:val="24"/>
          <w:highlight w:val="none"/>
        </w:rPr>
        <w:t>常用材料、</w:t>
      </w:r>
      <w:r>
        <w:rPr>
          <w:rFonts w:hint="eastAsia" w:ascii="宋体" w:hAnsi="宋体" w:eastAsia="宋体" w:cs="宋体"/>
          <w:b/>
          <w:snapToGrid w:val="0"/>
          <w:color w:val="auto"/>
          <w:sz w:val="24"/>
          <w:szCs w:val="24"/>
          <w:highlight w:val="none"/>
        </w:rPr>
        <w:t>零配件及备品备件报价清单</w:t>
      </w:r>
    </w:p>
    <w:p>
      <w:pPr>
        <w:pStyle w:val="15"/>
        <w:snapToGrid w:val="0"/>
        <w:spacing w:line="288"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项目名称：                                            项目编号：                  </w:t>
      </w:r>
    </w:p>
    <w:p>
      <w:pPr>
        <w:pStyle w:val="15"/>
        <w:snapToGrid w:val="0"/>
        <w:spacing w:line="288" w:lineRule="auto"/>
        <w:jc w:val="right"/>
        <w:rPr>
          <w:rFonts w:hint="eastAsia" w:ascii="宋体" w:hAnsi="宋体" w:eastAsia="宋体" w:cs="宋体"/>
          <w:color w:val="auto"/>
          <w:kern w:val="0"/>
          <w:sz w:val="22"/>
          <w:highlight w:val="none"/>
        </w:rPr>
      </w:pPr>
      <w:r>
        <w:rPr>
          <w:rFonts w:hint="eastAsia" w:ascii="宋体" w:hAnsi="宋体" w:eastAsia="宋体" w:cs="宋体"/>
          <w:color w:val="auto"/>
          <w:spacing w:val="-6"/>
          <w:sz w:val="22"/>
          <w:highlight w:val="none"/>
        </w:rPr>
        <w:t>金额单位：人民币（元）</w:t>
      </w:r>
    </w:p>
    <w:tbl>
      <w:tblPr>
        <w:tblStyle w:val="3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序号</w:t>
            </w:r>
          </w:p>
        </w:tc>
        <w:tc>
          <w:tcPr>
            <w:tcW w:w="712"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名称</w:t>
            </w:r>
          </w:p>
        </w:tc>
        <w:tc>
          <w:tcPr>
            <w:tcW w:w="992" w:type="dxa"/>
            <w:vAlign w:val="center"/>
          </w:tcPr>
          <w:p>
            <w:pPr>
              <w:pStyle w:val="68"/>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制造商</w:t>
            </w:r>
          </w:p>
        </w:tc>
        <w:tc>
          <w:tcPr>
            <w:tcW w:w="808" w:type="dxa"/>
            <w:vAlign w:val="center"/>
          </w:tcPr>
          <w:p>
            <w:pPr>
              <w:pStyle w:val="68"/>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产地</w:t>
            </w:r>
          </w:p>
        </w:tc>
        <w:tc>
          <w:tcPr>
            <w:tcW w:w="656" w:type="dxa"/>
            <w:vAlign w:val="center"/>
          </w:tcPr>
          <w:p>
            <w:pPr>
              <w:pStyle w:val="68"/>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品牌</w:t>
            </w:r>
          </w:p>
        </w:tc>
        <w:tc>
          <w:tcPr>
            <w:tcW w:w="1238" w:type="dxa"/>
            <w:vAlign w:val="center"/>
          </w:tcPr>
          <w:p>
            <w:pPr>
              <w:pStyle w:val="68"/>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型号规格</w:t>
            </w: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单位</w:t>
            </w: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数量</w:t>
            </w:r>
          </w:p>
        </w:tc>
        <w:tc>
          <w:tcPr>
            <w:tcW w:w="1237"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单价（元）</w:t>
            </w:r>
          </w:p>
        </w:tc>
        <w:tc>
          <w:tcPr>
            <w:tcW w:w="1350"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总价（元）</w:t>
            </w:r>
          </w:p>
        </w:tc>
        <w:tc>
          <w:tcPr>
            <w:tcW w:w="6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pStyle w:val="22"/>
              <w:pBdr>
                <w:bottom w:val="none" w:color="auto" w:sz="0" w:space="0"/>
              </w:pBdr>
              <w:tabs>
                <w:tab w:val="left" w:pos="420"/>
              </w:tabs>
              <w:spacing w:line="360" w:lineRule="auto"/>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67" w:type="dxa"/>
            <w:vAlign w:val="center"/>
          </w:tcPr>
          <w:p>
            <w:pPr>
              <w:pStyle w:val="17"/>
              <w:adjustRightInd w:val="0"/>
              <w:snapToGrid w:val="0"/>
              <w:spacing w:line="360" w:lineRule="auto"/>
              <w:ind w:left="5250" w:leftChars="0"/>
              <w:rPr>
                <w:rFonts w:hint="eastAsia" w:ascii="宋体" w:hAnsi="宋体" w:eastAsia="宋体" w:cs="宋体"/>
                <w:snapToGrid w:val="0"/>
                <w:color w:val="auto"/>
                <w:kern w:val="0"/>
                <w:sz w:val="22"/>
                <w:szCs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jc w:val="center"/>
              <w:rPr>
                <w:rFonts w:hint="eastAsia" w:ascii="宋体" w:hAnsi="宋体" w:eastAsia="宋体" w:cs="宋体"/>
                <w:b/>
                <w:bCs/>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bl>
    <w:p>
      <w:pPr>
        <w:pStyle w:val="15"/>
        <w:snapToGrid w:val="0"/>
        <w:spacing w:line="360" w:lineRule="auto"/>
        <w:rPr>
          <w:rFonts w:hint="eastAsia" w:ascii="宋体" w:hAnsi="宋体" w:eastAsia="宋体" w:cs="宋体"/>
          <w:color w:val="auto"/>
          <w:kern w:val="0"/>
          <w:sz w:val="22"/>
          <w:highlight w:val="none"/>
        </w:rPr>
      </w:pPr>
    </w:p>
    <w:p>
      <w:pPr>
        <w:adjustRightInd w:val="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注：供应商根据实际情况填写</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z w:val="24"/>
          <w:szCs w:val="24"/>
          <w:highlight w:val="none"/>
          <w:lang w:eastAsia="zh-CN"/>
        </w:rPr>
        <w:t>附件15</w:t>
      </w:r>
    </w:p>
    <w:p>
      <w:pPr>
        <w:pStyle w:val="15"/>
        <w:snapToGrid w:val="0"/>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承诺书</w:t>
      </w:r>
    </w:p>
    <w:p>
      <w:pPr>
        <w:pStyle w:val="15"/>
        <w:snapToGrid w:val="0"/>
        <w:spacing w:line="400" w:lineRule="exact"/>
        <w:jc w:val="center"/>
        <w:rPr>
          <w:rFonts w:hint="eastAsia" w:ascii="宋体" w:hAnsi="宋体" w:eastAsia="宋体" w:cs="宋体"/>
          <w:b/>
          <w:color w:val="auto"/>
          <w:szCs w:val="24"/>
          <w:highlight w:val="none"/>
        </w:rPr>
      </w:pPr>
    </w:p>
    <w:p>
      <w:pPr>
        <w:spacing w:line="500" w:lineRule="exac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u w:val="single"/>
          <w:lang w:eastAsia="zh-CN"/>
        </w:rPr>
        <w:t>文成县卫生健康局</w:t>
      </w:r>
      <w:r>
        <w:rPr>
          <w:rFonts w:hint="eastAsia" w:ascii="宋体" w:hAnsi="宋体" w:eastAsia="宋体" w:cs="宋体"/>
          <w:color w:val="auto"/>
          <w:sz w:val="22"/>
          <w:highlight w:val="none"/>
        </w:rPr>
        <w:t>：</w:t>
      </w:r>
    </w:p>
    <w:p>
      <w:pPr>
        <w:spacing w:line="5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 xml:space="preserve">                   （项目编号：           ）</w:t>
      </w:r>
      <w:r>
        <w:rPr>
          <w:rFonts w:hint="eastAsia" w:ascii="宋体" w:hAnsi="宋体" w:eastAsia="宋体" w:cs="宋体"/>
          <w:color w:val="auto"/>
          <w:sz w:val="22"/>
          <w:highlight w:val="none"/>
        </w:rPr>
        <w:t>项目承诺如下：</w:t>
      </w:r>
    </w:p>
    <w:p>
      <w:pPr>
        <w:spacing w:line="5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p>
    <w:p>
      <w:pPr>
        <w:spacing w:line="50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xml:space="preserve">                 </w:t>
      </w:r>
    </w:p>
    <w:p>
      <w:pPr>
        <w:spacing w:line="500" w:lineRule="exact"/>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u w:val="single"/>
        </w:rPr>
        <w:t xml:space="preserve">                 </w:t>
      </w:r>
    </w:p>
    <w:p>
      <w:pPr>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若不能落实到位，我方无条件接受采购人的任何处理决定，我单位对此无任何异议。</w:t>
      </w:r>
    </w:p>
    <w:p>
      <w:pPr>
        <w:spacing w:line="4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特此承诺！</w:t>
      </w:r>
    </w:p>
    <w:p>
      <w:pPr>
        <w:pStyle w:val="4"/>
        <w:spacing w:before="0" w:after="0"/>
        <w:jc w:val="left"/>
        <w:rPr>
          <w:rFonts w:hint="eastAsia" w:ascii="宋体" w:hAnsi="宋体" w:eastAsia="宋体" w:cs="宋体"/>
          <w:b w:val="0"/>
          <w:bCs w:val="0"/>
          <w:color w:val="auto"/>
          <w:kern w:val="2"/>
          <w:sz w:val="22"/>
          <w:szCs w:val="22"/>
          <w:highlight w:val="none"/>
        </w:rPr>
      </w:pPr>
    </w:p>
    <w:p>
      <w:pPr>
        <w:rPr>
          <w:rFonts w:hint="eastAsia" w:ascii="宋体" w:hAnsi="宋体" w:eastAsia="宋体" w:cs="宋体"/>
          <w:color w:val="auto"/>
          <w:sz w:val="22"/>
          <w:highlight w:val="none"/>
        </w:rPr>
      </w:pPr>
    </w:p>
    <w:p>
      <w:pPr>
        <w:widowControl/>
        <w:spacing w:line="400" w:lineRule="exact"/>
        <w:rPr>
          <w:rFonts w:hint="eastAsia" w:ascii="宋体" w:hAnsi="宋体" w:eastAsia="宋体" w:cs="宋体"/>
          <w:color w:val="auto"/>
          <w:kern w:val="0"/>
          <w:sz w:val="22"/>
          <w:highlight w:val="none"/>
        </w:rPr>
      </w:pP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附件16</w:t>
      </w:r>
    </w:p>
    <w:p>
      <w:pPr>
        <w:spacing w:line="400"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投标</w:t>
      </w:r>
      <w:r>
        <w:rPr>
          <w:rFonts w:hint="eastAsia" w:ascii="宋体" w:hAnsi="宋体" w:eastAsia="宋体" w:cs="宋体"/>
          <w:b/>
          <w:bCs/>
          <w:color w:val="auto"/>
          <w:sz w:val="28"/>
          <w:szCs w:val="28"/>
          <w:highlight w:val="none"/>
        </w:rPr>
        <w:t>产品</w:t>
      </w:r>
      <w:r>
        <w:rPr>
          <w:rFonts w:hint="eastAsia" w:ascii="宋体" w:hAnsi="宋体" w:eastAsia="宋体" w:cs="宋体"/>
          <w:b/>
          <w:color w:val="auto"/>
          <w:spacing w:val="-6"/>
          <w:sz w:val="28"/>
          <w:szCs w:val="28"/>
          <w:highlight w:val="none"/>
        </w:rPr>
        <w:t>技术支持材料</w:t>
      </w:r>
    </w:p>
    <w:p>
      <w:pPr>
        <w:spacing w:line="400" w:lineRule="exact"/>
        <w:rPr>
          <w:rFonts w:hint="eastAsia" w:ascii="宋体" w:hAnsi="宋体" w:eastAsia="宋体" w:cs="宋体"/>
          <w:b/>
          <w:color w:val="auto"/>
          <w:spacing w:val="-6"/>
          <w:sz w:val="24"/>
          <w:highlight w:val="none"/>
        </w:rPr>
      </w:pPr>
    </w:p>
    <w:p>
      <w:pPr>
        <w:spacing w:line="400" w:lineRule="exact"/>
        <w:rPr>
          <w:rFonts w:hint="eastAsia" w:ascii="宋体" w:hAnsi="宋体" w:eastAsia="宋体" w:cs="宋体"/>
          <w:b/>
          <w:color w:val="auto"/>
          <w:spacing w:val="-6"/>
          <w:sz w:val="24"/>
          <w:highlight w:val="none"/>
        </w:rPr>
      </w:pP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1.投标人提供技术支持资料以证明其对技术指标的应答；</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2.技术支持资料应是制造商公开发布的印刷资料（彩页、Datasheet）或由有关政府部门或检测机构合法出具的文件或报告；</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3.不符合上述要求的资料，可被视为是无效的技术支持资料；</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4.如上述资料之间存在不一致的，以有关政府部门或检测机构合法出具的文件或报告为准；</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5.若对技术指标的应答无技术支持资料证明，评审小组可不予承认，并可认为该应答不符合招标文件要求，</w:t>
      </w:r>
      <w:r>
        <w:rPr>
          <w:rFonts w:hint="eastAsia" w:ascii="宋体" w:hAnsi="宋体" w:eastAsia="宋体" w:cs="宋体"/>
          <w:b/>
          <w:bCs/>
          <w:color w:val="auto"/>
          <w:spacing w:val="-6"/>
          <w:sz w:val="24"/>
          <w:highlight w:val="none"/>
        </w:rPr>
        <w:t>将作出不利于投标人的技术评审，其后果将由投标人自行承担</w:t>
      </w:r>
      <w:r>
        <w:rPr>
          <w:rFonts w:hint="eastAsia" w:ascii="宋体" w:hAnsi="宋体" w:eastAsia="宋体" w:cs="宋体"/>
          <w:b/>
          <w:color w:val="auto"/>
          <w:spacing w:val="-6"/>
          <w:sz w:val="24"/>
          <w:highlight w:val="none"/>
        </w:rPr>
        <w:t>；</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6.投标人可提供同等于或优于招标文件要求的产品和服务。</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b/>
          <w:color w:val="auto"/>
          <w:spacing w:val="-6"/>
          <w:sz w:val="24"/>
          <w:highlight w:val="none"/>
        </w:rPr>
        <w:t>投标人不得提供虚假材料（包括伪造、变造证书、合同等）谋取中标、成交。投标人投标（响应）产品规格型号与官网公布的产品规格型号一致，但技术参数不一致的，应当在投标（响应）文件中阐述技术参数不一致的原因，以及通过何种技术路线来实现投标（响应）产品技术参数。</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400" w:lineRule="exact"/>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附件17</w:t>
      </w:r>
    </w:p>
    <w:p>
      <w:pPr>
        <w:pStyle w:val="64"/>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政府采购活动现场确认声明书</w:t>
      </w:r>
    </w:p>
    <w:p>
      <w:pPr>
        <w:pStyle w:val="64"/>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single"/>
        </w:rPr>
        <w:t>浙江乐诚工程咨询有限公司</w:t>
      </w:r>
      <w:r>
        <w:rPr>
          <w:rFonts w:hint="eastAsia" w:ascii="宋体" w:hAnsi="宋体" w:eastAsia="宋体" w:cs="宋体"/>
          <w:color w:val="auto"/>
          <w:kern w:val="0"/>
          <w:sz w:val="24"/>
          <w:szCs w:val="24"/>
          <w:highlight w:val="none"/>
        </w:rPr>
        <w:t>：</w:t>
      </w:r>
    </w:p>
    <w:p>
      <w:pPr>
        <w:pStyle w:val="64"/>
        <w:snapToGrid w:val="0"/>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本人经由</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pacing w:val="6"/>
          <w:sz w:val="24"/>
          <w:szCs w:val="24"/>
          <w:highlight w:val="none"/>
          <w:u w:val="single"/>
        </w:rPr>
        <w:t xml:space="preserve">单位）           </w:t>
      </w:r>
      <w:r>
        <w:rPr>
          <w:rFonts w:hint="eastAsia" w:ascii="宋体" w:hAnsi="宋体" w:eastAsia="宋体" w:cs="宋体"/>
          <w:color w:val="auto"/>
          <w:spacing w:val="6"/>
          <w:sz w:val="24"/>
          <w:szCs w:val="24"/>
          <w:highlight w:val="none"/>
        </w:rPr>
        <w:t>法人代表（负责人）</w:t>
      </w:r>
      <w:r>
        <w:rPr>
          <w:rFonts w:hint="eastAsia" w:ascii="宋体" w:hAnsi="宋体" w:eastAsia="宋体" w:cs="宋体"/>
          <w:color w:val="auto"/>
          <w:spacing w:val="6"/>
          <w:sz w:val="24"/>
          <w:szCs w:val="24"/>
          <w:highlight w:val="none"/>
          <w:u w:val="single"/>
        </w:rPr>
        <w:t xml:space="preserve">         （姓名）</w:t>
      </w:r>
      <w:r>
        <w:rPr>
          <w:rFonts w:hint="eastAsia" w:ascii="宋体" w:hAnsi="宋体" w:eastAsia="宋体" w:cs="宋体"/>
          <w:color w:val="auto"/>
          <w:spacing w:val="6"/>
          <w:sz w:val="24"/>
          <w:szCs w:val="24"/>
          <w:highlight w:val="none"/>
        </w:rPr>
        <w:t>合法授权参加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）标项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64"/>
        <w:numPr>
          <w:ilvl w:val="0"/>
          <w:numId w:val="6"/>
        </w:numPr>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本单位与采购人之间□不存在利害关系 □存在下列利害关系：</w:t>
      </w:r>
    </w:p>
    <w:p>
      <w:pPr>
        <w:pStyle w:val="64"/>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A.投资关系    B.行政隶属关系    C.业务指导关系</w:t>
      </w:r>
    </w:p>
    <w:p>
      <w:pPr>
        <w:pStyle w:val="64"/>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pPr>
        <w:pStyle w:val="65"/>
        <w:widowControl/>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4"/>
          <w:szCs w:val="24"/>
          <w:highlight w:val="none"/>
          <w:u w:val="single"/>
        </w:rPr>
        <w:t xml:space="preserve">           （供应商名称）</w:t>
      </w:r>
      <w:r>
        <w:rPr>
          <w:rFonts w:hint="eastAsia" w:ascii="宋体" w:hAnsi="宋体" w:eastAsia="宋体" w:cs="宋体"/>
          <w:color w:val="auto"/>
          <w:kern w:val="0"/>
          <w:sz w:val="24"/>
          <w:szCs w:val="24"/>
          <w:highlight w:val="none"/>
        </w:rPr>
        <w:t>之间存在下列利害关系：</w:t>
      </w:r>
    </w:p>
    <w:p>
      <w:pPr>
        <w:pStyle w:val="6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A.法定代表人或负责人或实际控制人是同一人</w:t>
      </w:r>
    </w:p>
    <w:p>
      <w:pPr>
        <w:pStyle w:val="6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B.法定代表人或负责人或实际控制人是夫妻关系</w:t>
      </w:r>
    </w:p>
    <w:p>
      <w:pPr>
        <w:pStyle w:val="6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C.法定代表人或负责人或实际控制人是直系血亲关系</w:t>
      </w:r>
    </w:p>
    <w:p>
      <w:pPr>
        <w:pStyle w:val="6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D.法定代表人或负责人或实际控制人存在三代以内旁系血亲关系</w:t>
      </w:r>
    </w:p>
    <w:p>
      <w:pPr>
        <w:pStyle w:val="6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E.法定代表人或负责人或实际控制人存在近姻亲关系</w:t>
      </w:r>
    </w:p>
    <w:p>
      <w:pPr>
        <w:pStyle w:val="6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F.法定代表人或负责人或实际控制人存在股份控制或实际控制关系</w:t>
      </w:r>
    </w:p>
    <w:p>
      <w:pPr>
        <w:pStyle w:val="6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G.存在共同直接或间接投资设立子公司、联营企业和合营企业情况</w:t>
      </w:r>
    </w:p>
    <w:p>
      <w:pPr>
        <w:pStyle w:val="64"/>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H.存在分级代理或代销关系、同一生产制造商关系、</w:t>
      </w:r>
      <w:r>
        <w:rPr>
          <w:rFonts w:hint="eastAsia" w:ascii="宋体" w:hAnsi="宋体" w:eastAsia="宋体" w:cs="宋体"/>
          <w:color w:val="auto"/>
          <w:sz w:val="24"/>
          <w:szCs w:val="24"/>
          <w:highlight w:val="none"/>
        </w:rPr>
        <w:t>管理关系、重要业务（占主营业务收入50%以上）或重要财务往来关系（如融资）等其他实质性控制关系</w:t>
      </w:r>
    </w:p>
    <w:p>
      <w:pPr>
        <w:pStyle w:val="6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  I</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其他利害关系情况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65"/>
        <w:widowControl/>
        <w:numPr>
          <w:ilvl w:val="0"/>
          <w:numId w:val="7"/>
        </w:num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严格遵守政府采购法律法规和现场纪律。</w:t>
      </w:r>
    </w:p>
    <w:p>
      <w:pPr>
        <w:pStyle w:val="65"/>
        <w:widowControl/>
        <w:numPr>
          <w:ilvl w:val="0"/>
          <w:numId w:val="7"/>
        </w:num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我发现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供应商之间存在或可能存在上述第二条第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项利害关系。</w:t>
      </w:r>
    </w:p>
    <w:p>
      <w:pPr>
        <w:pStyle w:val="64"/>
        <w:snapToGrid w:val="0"/>
        <w:spacing w:line="400" w:lineRule="exact"/>
        <w:ind w:firstLine="480" w:firstLineChars="200"/>
        <w:rPr>
          <w:rFonts w:hint="eastAsia" w:ascii="宋体" w:hAnsi="宋体" w:eastAsia="宋体" w:cs="宋体"/>
          <w:color w:val="auto"/>
          <w:sz w:val="24"/>
          <w:szCs w:val="24"/>
          <w:highlight w:val="none"/>
        </w:rPr>
      </w:pPr>
    </w:p>
    <w:p>
      <w:pPr>
        <w:pStyle w:val="64"/>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供应商授权代表签名：</w:t>
      </w:r>
    </w:p>
    <w:p>
      <w:pPr>
        <w:pStyle w:val="64"/>
        <w:snapToGrid w:val="0"/>
        <w:spacing w:line="600" w:lineRule="exact"/>
        <w:ind w:right="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2023年  月   日  </w:t>
      </w: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"mailto:投标人在投标文件解密后，通过电子邮件形式，向邮箱地址（1783329431@qq.com）发送《政府采购活动现场确认声明书》（上表）。" </w:instrText>
      </w:r>
      <w:r>
        <w:rPr>
          <w:rFonts w:hint="eastAsia" w:ascii="宋体" w:hAnsi="宋体" w:eastAsia="宋体" w:cs="宋体"/>
          <w:color w:val="auto"/>
          <w:highlight w:val="none"/>
        </w:rPr>
        <w:fldChar w:fldCharType="separate"/>
      </w:r>
      <w:r>
        <w:rPr>
          <w:rStyle w:val="37"/>
          <w:rFonts w:hint="eastAsia" w:ascii="宋体" w:hAnsi="宋体" w:eastAsia="宋体" w:cs="宋体"/>
          <w:b/>
          <w:bCs/>
          <w:color w:val="auto"/>
          <w:sz w:val="24"/>
          <w:highlight w:val="none"/>
        </w:rPr>
        <w:t>投标人在投标文件解密后，通过电子邮件形式，向邮箱地址（</w:t>
      </w:r>
      <w:r>
        <w:rPr>
          <w:rStyle w:val="37"/>
          <w:rFonts w:hint="eastAsia" w:ascii="宋体" w:hAnsi="宋体" w:eastAsia="宋体" w:cs="宋体"/>
          <w:b/>
          <w:bCs/>
          <w:color w:val="auto"/>
          <w:sz w:val="24"/>
          <w:highlight w:val="none"/>
          <w:lang w:eastAsia="zh-CN"/>
        </w:rPr>
        <w:t>2812799762</w:t>
      </w:r>
      <w:r>
        <w:rPr>
          <w:rStyle w:val="37"/>
          <w:rFonts w:hint="eastAsia" w:ascii="宋体" w:hAnsi="宋体" w:eastAsia="宋体" w:cs="宋体"/>
          <w:b/>
          <w:bCs/>
          <w:color w:val="auto"/>
          <w:sz w:val="24"/>
          <w:highlight w:val="none"/>
        </w:rPr>
        <w:t>@qq.com）发送《政府采购活动现场确认声明书》（上表）。</w:t>
      </w:r>
      <w:r>
        <w:rPr>
          <w:rStyle w:val="37"/>
          <w:rFonts w:hint="eastAsia" w:ascii="宋体" w:hAnsi="宋体" w:eastAsia="宋体" w:cs="宋体"/>
          <w:b/>
          <w:bCs/>
          <w:color w:val="auto"/>
          <w:sz w:val="24"/>
          <w:highlight w:val="none"/>
        </w:rPr>
        <w:fldChar w:fldCharType="end"/>
      </w:r>
    </w:p>
    <w:p>
      <w:pPr>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eastAsia="zh-CN"/>
        </w:rPr>
        <w:t>附件18</w:t>
      </w:r>
    </w:p>
    <w:p>
      <w:pPr>
        <w:widowControl/>
        <w:spacing w:line="315" w:lineRule="atLeast"/>
        <w:jc w:val="center"/>
        <w:rPr>
          <w:rFonts w:hint="eastAsia" w:ascii="宋体" w:hAnsi="宋体" w:eastAsia="宋体" w:cs="宋体"/>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质保期外年维保报价</w:t>
      </w:r>
    </w:p>
    <w:p>
      <w:pPr>
        <w:pStyle w:val="15"/>
        <w:snapToGrid w:val="0"/>
        <w:spacing w:line="288"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项目名称：                                            项目编号：                  </w:t>
      </w:r>
    </w:p>
    <w:p>
      <w:pPr>
        <w:pStyle w:val="15"/>
        <w:snapToGrid w:val="0"/>
        <w:spacing w:line="288" w:lineRule="auto"/>
        <w:jc w:val="right"/>
        <w:rPr>
          <w:rFonts w:hint="eastAsia" w:ascii="宋体" w:hAnsi="宋体" w:eastAsia="宋体" w:cs="宋体"/>
          <w:color w:val="auto"/>
          <w:kern w:val="0"/>
          <w:sz w:val="22"/>
          <w:highlight w:val="none"/>
        </w:rPr>
      </w:pPr>
      <w:r>
        <w:rPr>
          <w:rFonts w:hint="eastAsia" w:ascii="宋体" w:hAnsi="宋体" w:eastAsia="宋体" w:cs="宋体"/>
          <w:color w:val="auto"/>
          <w:spacing w:val="-6"/>
          <w:sz w:val="22"/>
          <w:highlight w:val="none"/>
        </w:rPr>
        <w:t>金额单位：人民币（元）</w:t>
      </w:r>
    </w:p>
    <w:tbl>
      <w:tblPr>
        <w:tblStyle w:val="31"/>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56"/>
        <w:gridCol w:w="263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序号</w:t>
            </w: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lang w:eastAsia="zh-CN"/>
              </w:rPr>
            </w:pPr>
            <w:r>
              <w:rPr>
                <w:rFonts w:hint="eastAsia" w:ascii="宋体" w:hAnsi="宋体" w:eastAsia="宋体" w:cs="宋体"/>
                <w:snapToGrid w:val="0"/>
                <w:color w:val="auto"/>
                <w:kern w:val="0"/>
                <w:sz w:val="22"/>
                <w:highlight w:val="none"/>
                <w:lang w:val="en-US" w:eastAsia="zh-CN"/>
              </w:rPr>
              <w:t>内容</w:t>
            </w:r>
          </w:p>
        </w:tc>
        <w:tc>
          <w:tcPr>
            <w:tcW w:w="263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lang w:val="en-US" w:eastAsia="zh-CN"/>
              </w:rPr>
              <w:t>报价</w:t>
            </w:r>
            <w:r>
              <w:rPr>
                <w:rFonts w:hint="eastAsia" w:ascii="宋体" w:hAnsi="宋体" w:eastAsia="宋体" w:cs="宋体"/>
                <w:snapToGrid w:val="0"/>
                <w:color w:val="auto"/>
                <w:kern w:val="0"/>
                <w:sz w:val="22"/>
                <w:highlight w:val="none"/>
              </w:rPr>
              <w:t>（元）</w:t>
            </w:r>
          </w:p>
        </w:tc>
        <w:tc>
          <w:tcPr>
            <w:tcW w:w="141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lang w:val="en-US" w:eastAsia="zh-CN"/>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lang w:val="en-US" w:eastAsia="zh-CN"/>
              </w:rPr>
            </w:pPr>
            <w:r>
              <w:rPr>
                <w:rFonts w:hint="eastAsia" w:ascii="宋体" w:hAnsi="宋体" w:eastAsia="宋体" w:cs="宋体"/>
                <w:snapToGrid w:val="0"/>
                <w:color w:val="auto"/>
                <w:kern w:val="0"/>
                <w:sz w:val="22"/>
                <w:highlight w:val="none"/>
                <w:lang w:val="en-US" w:eastAsia="zh-CN"/>
              </w:rPr>
              <w:t>质保期外1年维保服务</w:t>
            </w: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pStyle w:val="17"/>
              <w:adjustRightInd w:val="0"/>
              <w:snapToGrid w:val="0"/>
              <w:spacing w:line="360" w:lineRule="auto"/>
              <w:ind w:left="5250" w:leftChars="0"/>
              <w:jc w:val="center"/>
              <w:rPr>
                <w:rFonts w:hint="eastAsia" w:ascii="宋体" w:hAnsi="宋体" w:eastAsia="宋体" w:cs="宋体"/>
                <w:snapToGrid w:val="0"/>
                <w:color w:val="auto"/>
                <w:kern w:val="0"/>
                <w:sz w:val="22"/>
                <w:szCs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bl>
    <w:p>
      <w:pPr>
        <w:pStyle w:val="15"/>
        <w:snapToGrid w:val="0"/>
        <w:spacing w:line="360" w:lineRule="auto"/>
        <w:rPr>
          <w:rFonts w:hint="eastAsia" w:ascii="宋体" w:hAnsi="宋体" w:eastAsia="宋体" w:cs="宋体"/>
          <w:color w:val="auto"/>
          <w:kern w:val="0"/>
          <w:sz w:val="22"/>
          <w:highlight w:val="none"/>
        </w:rPr>
      </w:pPr>
    </w:p>
    <w:p>
      <w:pPr>
        <w:adjustRightInd w:val="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注：供应商根据实际情况填写</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numPr>
          <w:ilvl w:val="0"/>
          <w:numId w:val="8"/>
        </w:numPr>
        <w:spacing w:line="40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07" w:name="_Toc17135"/>
      <w:r>
        <w:rPr>
          <w:rFonts w:hint="eastAsia" w:ascii="宋体" w:hAnsi="宋体" w:eastAsia="宋体" w:cs="宋体"/>
          <w:b/>
          <w:color w:val="auto"/>
          <w:sz w:val="32"/>
          <w:highlight w:val="none"/>
        </w:rPr>
        <w:t>采购需求</w:t>
      </w:r>
      <w:bookmarkEnd w:id="107"/>
    </w:p>
    <w:p>
      <w:pPr>
        <w:pStyle w:val="15"/>
        <w:adjustRightInd/>
        <w:snapToGrid w:val="0"/>
        <w:spacing w:line="360" w:lineRule="exact"/>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一.采购内容及数量</w:t>
      </w:r>
    </w:p>
    <w:tbl>
      <w:tblPr>
        <w:tblStyle w:val="31"/>
        <w:tblW w:w="7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247"/>
        <w:gridCol w:w="1305"/>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spacing w:line="360" w:lineRule="exact"/>
              <w:jc w:val="center"/>
              <w:rPr>
                <w:rFonts w:hint="eastAsia" w:ascii="宋体" w:hAnsi="宋体" w:eastAsia="宋体" w:cs="宋体"/>
                <w:bCs/>
                <w:color w:val="auto"/>
                <w:spacing w:val="-6"/>
                <w:sz w:val="22"/>
                <w:highlight w:val="none"/>
              </w:rPr>
            </w:pPr>
            <w:r>
              <w:rPr>
                <w:rFonts w:hint="eastAsia" w:ascii="宋体" w:hAnsi="宋体" w:eastAsia="宋体" w:cs="宋体"/>
                <w:bCs/>
                <w:color w:val="auto"/>
                <w:spacing w:val="-6"/>
                <w:sz w:val="22"/>
                <w:highlight w:val="none"/>
              </w:rPr>
              <w:t>序号</w:t>
            </w:r>
          </w:p>
        </w:tc>
        <w:tc>
          <w:tcPr>
            <w:tcW w:w="3247" w:type="dxa"/>
            <w:vAlign w:val="center"/>
          </w:tcPr>
          <w:p>
            <w:pPr>
              <w:spacing w:line="360" w:lineRule="exact"/>
              <w:jc w:val="center"/>
              <w:rPr>
                <w:rFonts w:hint="eastAsia" w:ascii="宋体" w:hAnsi="宋体" w:eastAsia="宋体" w:cs="宋体"/>
                <w:bCs/>
                <w:color w:val="auto"/>
                <w:spacing w:val="-6"/>
                <w:sz w:val="22"/>
                <w:highlight w:val="none"/>
                <w:lang w:val="en-US" w:eastAsia="zh-CN"/>
              </w:rPr>
            </w:pPr>
            <w:r>
              <w:rPr>
                <w:rFonts w:hint="eastAsia" w:ascii="宋体" w:hAnsi="宋体" w:eastAsia="宋体" w:cs="宋体"/>
                <w:bCs/>
                <w:color w:val="auto"/>
                <w:spacing w:val="-6"/>
                <w:sz w:val="22"/>
                <w:highlight w:val="none"/>
                <w:lang w:val="en-US" w:eastAsia="zh-CN"/>
              </w:rPr>
              <w:t>设备名称</w:t>
            </w:r>
          </w:p>
        </w:tc>
        <w:tc>
          <w:tcPr>
            <w:tcW w:w="1305" w:type="dxa"/>
            <w:vAlign w:val="center"/>
          </w:tcPr>
          <w:p>
            <w:pPr>
              <w:spacing w:line="360" w:lineRule="exact"/>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highlight w:val="none"/>
              </w:rPr>
              <w:t>数量</w:t>
            </w:r>
          </w:p>
        </w:tc>
        <w:tc>
          <w:tcPr>
            <w:tcW w:w="2524" w:type="dxa"/>
            <w:vAlign w:val="center"/>
          </w:tcPr>
          <w:p>
            <w:pPr>
              <w:spacing w:line="360" w:lineRule="exact"/>
              <w:jc w:val="center"/>
              <w:rPr>
                <w:rFonts w:hint="eastAsia" w:ascii="宋体" w:hAnsi="宋体" w:eastAsia="宋体" w:cs="宋体"/>
                <w:bCs/>
                <w:color w:val="auto"/>
                <w:spacing w:val="-6"/>
                <w:sz w:val="22"/>
                <w:highlight w:val="none"/>
                <w:lang w:val="en-US" w:eastAsia="zh-CN"/>
              </w:rPr>
            </w:pPr>
            <w:r>
              <w:rPr>
                <w:rFonts w:hint="eastAsia" w:ascii="宋体" w:hAnsi="宋体" w:eastAsia="宋体" w:cs="宋体"/>
                <w:bCs/>
                <w:color w:val="auto"/>
                <w:spacing w:val="-6"/>
                <w:sz w:val="22"/>
                <w:highlight w:val="none"/>
                <w:lang w:val="en-US" w:eastAsia="zh-CN"/>
              </w:rPr>
              <w:t>是否允许进口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widowControl/>
              <w:spacing w:line="360" w:lineRule="exact"/>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w:t>
            </w:r>
          </w:p>
        </w:tc>
        <w:tc>
          <w:tcPr>
            <w:tcW w:w="3247" w:type="dxa"/>
            <w:vAlign w:val="center"/>
          </w:tcPr>
          <w:p>
            <w:pPr>
              <w:spacing w:line="360" w:lineRule="exact"/>
              <w:jc w:val="center"/>
              <w:rPr>
                <w:rFonts w:hint="eastAsia" w:ascii="宋体" w:hAnsi="宋体" w:eastAsia="宋体" w:cs="宋体"/>
                <w:bCs/>
                <w:color w:val="auto"/>
                <w:spacing w:val="-6"/>
                <w:sz w:val="22"/>
                <w:highlight w:val="none"/>
                <w:lang w:val="zh-CN" w:eastAsia="zh-CN"/>
              </w:rPr>
            </w:pPr>
            <w:r>
              <w:rPr>
                <w:rFonts w:hint="eastAsia" w:ascii="宋体" w:hAnsi="宋体" w:eastAsia="宋体" w:cs="宋体"/>
                <w:bCs/>
                <w:color w:val="auto"/>
                <w:spacing w:val="-6"/>
                <w:sz w:val="22"/>
                <w:highlight w:val="none"/>
                <w:lang w:eastAsia="zh-CN"/>
              </w:rPr>
              <w:t>螺旋CT</w:t>
            </w:r>
          </w:p>
        </w:tc>
        <w:tc>
          <w:tcPr>
            <w:tcW w:w="1305" w:type="dxa"/>
            <w:vAlign w:val="center"/>
          </w:tcPr>
          <w:p>
            <w:pPr>
              <w:spacing w:line="360" w:lineRule="exact"/>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highlight w:val="none"/>
                <w:lang w:val="en-US" w:eastAsia="zh-CN"/>
              </w:rPr>
              <w:t>1套</w:t>
            </w:r>
          </w:p>
        </w:tc>
        <w:tc>
          <w:tcPr>
            <w:tcW w:w="2524" w:type="dxa"/>
            <w:vAlign w:val="center"/>
          </w:tcPr>
          <w:p>
            <w:pPr>
              <w:spacing w:line="360" w:lineRule="exact"/>
              <w:jc w:val="center"/>
              <w:rPr>
                <w:rFonts w:hint="eastAsia" w:ascii="宋体" w:hAnsi="宋体" w:eastAsia="宋体" w:cs="宋体"/>
                <w:bCs/>
                <w:color w:val="auto"/>
                <w:spacing w:val="-6"/>
                <w:sz w:val="22"/>
                <w:highlight w:val="none"/>
                <w:lang w:val="en-US" w:eastAsia="zh-CN"/>
              </w:rPr>
            </w:pPr>
            <w:r>
              <w:rPr>
                <w:rFonts w:hint="eastAsia" w:ascii="宋体" w:hAnsi="宋体" w:eastAsia="宋体" w:cs="宋体"/>
                <w:bCs/>
                <w:color w:val="auto"/>
                <w:spacing w:val="-6"/>
                <w:sz w:val="22"/>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widowControl/>
              <w:spacing w:line="360" w:lineRule="exact"/>
              <w:jc w:val="center"/>
              <w:rPr>
                <w:rFonts w:hint="eastAsia" w:ascii="宋体" w:hAnsi="宋体" w:eastAsia="宋体" w:cs="宋体"/>
                <w:bCs/>
                <w:color w:val="auto"/>
                <w:kern w:val="0"/>
                <w:sz w:val="22"/>
                <w:highlight w:val="none"/>
                <w:lang w:val="en-US" w:eastAsia="zh-CN"/>
              </w:rPr>
            </w:pPr>
            <w:r>
              <w:rPr>
                <w:rFonts w:hint="eastAsia" w:ascii="宋体" w:hAnsi="宋体" w:eastAsia="宋体" w:cs="宋体"/>
                <w:bCs/>
                <w:color w:val="auto"/>
                <w:kern w:val="0"/>
                <w:sz w:val="22"/>
                <w:highlight w:val="none"/>
                <w:lang w:val="en-US" w:eastAsia="zh-CN"/>
              </w:rPr>
              <w:t>2</w:t>
            </w:r>
          </w:p>
        </w:tc>
        <w:tc>
          <w:tcPr>
            <w:tcW w:w="3247" w:type="dxa"/>
            <w:vAlign w:val="center"/>
          </w:tcPr>
          <w:p>
            <w:pPr>
              <w:spacing w:line="360" w:lineRule="exact"/>
              <w:jc w:val="center"/>
              <w:rPr>
                <w:rFonts w:hint="eastAsia" w:ascii="宋体" w:hAnsi="宋体" w:eastAsia="宋体" w:cs="宋体"/>
                <w:bCs/>
                <w:color w:val="auto"/>
                <w:spacing w:val="-6"/>
                <w:sz w:val="22"/>
                <w:highlight w:val="none"/>
                <w:lang w:eastAsia="zh-CN"/>
              </w:rPr>
            </w:pPr>
            <w:r>
              <w:rPr>
                <w:rStyle w:val="80"/>
                <w:rFonts w:hint="eastAsia" w:ascii="宋体" w:hAnsi="宋体" w:eastAsia="宋体" w:cs="宋体"/>
                <w:b/>
                <w:bCs/>
                <w:color w:val="auto"/>
                <w:sz w:val="22"/>
                <w:szCs w:val="22"/>
                <w:highlight w:val="none"/>
                <w:lang w:val="en-US" w:eastAsia="zh-CN"/>
              </w:rPr>
              <w:t>口腔CT</w:t>
            </w:r>
          </w:p>
        </w:tc>
        <w:tc>
          <w:tcPr>
            <w:tcW w:w="1305" w:type="dxa"/>
            <w:vAlign w:val="center"/>
          </w:tcPr>
          <w:p>
            <w:pPr>
              <w:spacing w:line="360" w:lineRule="exact"/>
              <w:jc w:val="center"/>
              <w:rPr>
                <w:rFonts w:hint="eastAsia" w:ascii="宋体" w:hAnsi="宋体" w:eastAsia="宋体" w:cs="宋体"/>
                <w:bCs/>
                <w:color w:val="auto"/>
                <w:spacing w:val="-6"/>
                <w:sz w:val="22"/>
                <w:highlight w:val="none"/>
                <w:lang w:val="en-US" w:eastAsia="zh-CN"/>
              </w:rPr>
            </w:pPr>
            <w:r>
              <w:rPr>
                <w:rFonts w:hint="eastAsia" w:ascii="宋体" w:hAnsi="宋体" w:eastAsia="宋体" w:cs="宋体"/>
                <w:bCs/>
                <w:color w:val="auto"/>
                <w:spacing w:val="-6"/>
                <w:sz w:val="22"/>
                <w:highlight w:val="none"/>
                <w:lang w:val="en-US" w:eastAsia="zh-CN"/>
              </w:rPr>
              <w:t>1套</w:t>
            </w:r>
          </w:p>
        </w:tc>
        <w:tc>
          <w:tcPr>
            <w:tcW w:w="2524" w:type="dxa"/>
            <w:vAlign w:val="center"/>
          </w:tcPr>
          <w:p>
            <w:pPr>
              <w:spacing w:line="360" w:lineRule="exact"/>
              <w:jc w:val="center"/>
              <w:rPr>
                <w:rFonts w:hint="eastAsia" w:ascii="宋体" w:hAnsi="宋体" w:eastAsia="宋体" w:cs="宋体"/>
                <w:bCs/>
                <w:color w:val="auto"/>
                <w:spacing w:val="-6"/>
                <w:sz w:val="22"/>
                <w:highlight w:val="none"/>
                <w:lang w:val="en-US" w:eastAsia="zh-CN"/>
              </w:rPr>
            </w:pPr>
            <w:r>
              <w:rPr>
                <w:rFonts w:hint="eastAsia" w:ascii="宋体" w:hAnsi="宋体" w:eastAsia="宋体" w:cs="宋体"/>
                <w:bCs/>
                <w:color w:val="auto"/>
                <w:spacing w:val="-6"/>
                <w:sz w:val="22"/>
                <w:highlight w:val="none"/>
                <w:lang w:val="en-US" w:eastAsia="zh-CN"/>
              </w:rPr>
              <w:t>是</w:t>
            </w:r>
          </w:p>
        </w:tc>
      </w:tr>
    </w:tbl>
    <w:p>
      <w:pPr>
        <w:snapToGrid w:val="0"/>
        <w:spacing w:line="360" w:lineRule="exact"/>
        <w:rPr>
          <w:rFonts w:hint="eastAsia" w:ascii="宋体" w:hAnsi="宋体" w:eastAsia="宋体" w:cs="宋体"/>
          <w:b/>
          <w:bCs/>
          <w:color w:val="auto"/>
          <w:spacing w:val="-6"/>
          <w:sz w:val="22"/>
          <w:highlight w:val="none"/>
        </w:rPr>
      </w:pPr>
      <w:r>
        <w:rPr>
          <w:rFonts w:hint="eastAsia" w:ascii="宋体" w:hAnsi="宋体" w:eastAsia="宋体" w:cs="宋体"/>
          <w:b/>
          <w:bCs/>
          <w:color w:val="auto"/>
          <w:sz w:val="22"/>
          <w:highlight w:val="none"/>
        </w:rPr>
        <w:t>二.</w:t>
      </w:r>
      <w:r>
        <w:rPr>
          <w:rFonts w:hint="eastAsia" w:ascii="宋体" w:hAnsi="宋体" w:eastAsia="宋体" w:cs="宋体"/>
          <w:b/>
          <w:bCs/>
          <w:color w:val="auto"/>
          <w:spacing w:val="-6"/>
          <w:sz w:val="22"/>
          <w:highlight w:val="none"/>
        </w:rPr>
        <w:t>商务要求（技术要求里另有注明的以技术要求为准）</w:t>
      </w:r>
    </w:p>
    <w:tbl>
      <w:tblPr>
        <w:tblStyle w:val="3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8"/>
        <w:gridCol w:w="7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履约保证金</w:t>
            </w:r>
          </w:p>
        </w:tc>
        <w:tc>
          <w:tcPr>
            <w:tcW w:w="7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color w:val="auto"/>
                <w:spacing w:val="-6"/>
                <w:kern w:val="0"/>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pacing w:val="-6"/>
                <w:kern w:val="0"/>
                <w:sz w:val="22"/>
                <w:szCs w:val="22"/>
                <w:highlight w:val="none"/>
                <w:u w:val="single"/>
                <w:lang w:bidi="ar"/>
              </w:rPr>
              <w:t>1.合同签订</w:t>
            </w:r>
            <w:r>
              <w:rPr>
                <w:rFonts w:hint="eastAsia" w:ascii="宋体" w:hAnsi="宋体" w:cs="宋体"/>
                <w:color w:val="auto"/>
                <w:spacing w:val="-6"/>
                <w:kern w:val="0"/>
                <w:sz w:val="22"/>
                <w:szCs w:val="22"/>
                <w:highlight w:val="none"/>
                <w:u w:val="single"/>
                <w:lang w:val="en-US" w:eastAsia="zh-CN" w:bidi="ar"/>
              </w:rPr>
              <w:t>后5个工作日内</w:t>
            </w:r>
            <w:r>
              <w:rPr>
                <w:rFonts w:hint="eastAsia" w:ascii="宋体" w:hAnsi="宋体" w:eastAsia="宋体" w:cs="宋体"/>
                <w:color w:val="auto"/>
                <w:spacing w:val="-6"/>
                <w:kern w:val="0"/>
                <w:sz w:val="22"/>
                <w:szCs w:val="22"/>
                <w:highlight w:val="none"/>
                <w:u w:val="single"/>
                <w:lang w:bidi="ar"/>
              </w:rPr>
              <w:t>，</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向采购人提交合同总价1%的履约保证金，履约保证金在合同履约期间无违约情形的，项目验收合格后，于</w:t>
            </w:r>
            <w:r>
              <w:rPr>
                <w:rFonts w:hint="eastAsia" w:ascii="宋体" w:hAnsi="宋体" w:eastAsia="宋体" w:cs="宋体"/>
                <w:color w:val="auto"/>
                <w:spacing w:val="-6"/>
                <w:kern w:val="0"/>
                <w:sz w:val="22"/>
                <w:szCs w:val="22"/>
                <w:highlight w:val="none"/>
                <w:u w:val="single"/>
                <w:lang w:val="en-US" w:eastAsia="zh-CN" w:bidi="ar"/>
              </w:rPr>
              <w:t>7个工作日</w:t>
            </w:r>
            <w:r>
              <w:rPr>
                <w:rFonts w:hint="eastAsia" w:ascii="宋体" w:hAnsi="宋体" w:eastAsia="宋体" w:cs="宋体"/>
                <w:color w:val="auto"/>
                <w:spacing w:val="-6"/>
                <w:kern w:val="0"/>
                <w:sz w:val="22"/>
                <w:szCs w:val="22"/>
                <w:highlight w:val="none"/>
                <w:u w:val="single"/>
                <w:lang w:bidi="ar"/>
              </w:rPr>
              <w:t>内退还（不计息）；</w:t>
            </w:r>
          </w:p>
          <w:p>
            <w:pPr>
              <w:adjustRightInd w:val="0"/>
              <w:snapToGrid w:val="0"/>
              <w:spacing w:line="288" w:lineRule="auto"/>
              <w:rPr>
                <w:rFonts w:hint="eastAsia" w:ascii="宋体" w:hAnsi="宋体" w:eastAsia="宋体" w:cs="宋体"/>
                <w:b/>
                <w:bCs/>
                <w:color w:val="auto"/>
                <w:spacing w:val="-6"/>
                <w:sz w:val="22"/>
                <w:szCs w:val="22"/>
                <w:highlight w:val="none"/>
                <w:u w:val="single"/>
              </w:rPr>
            </w:pPr>
            <w:r>
              <w:rPr>
                <w:rFonts w:hint="eastAsia" w:ascii="宋体" w:hAnsi="宋体" w:eastAsia="宋体" w:cs="宋体"/>
                <w:color w:val="auto"/>
                <w:spacing w:val="-6"/>
                <w:kern w:val="0"/>
                <w:sz w:val="22"/>
                <w:szCs w:val="22"/>
                <w:highlight w:val="none"/>
                <w:u w:val="single"/>
                <w:lang w:bidi="ar"/>
              </w:rPr>
              <w:t>2.提交方式：支票、汇票、本票或金融机构、担保机构出具的保函等非现金形式。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支付方式</w:t>
            </w:r>
          </w:p>
        </w:tc>
        <w:tc>
          <w:tcPr>
            <w:tcW w:w="7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left"/>
              <w:rPr>
                <w:rFonts w:hint="eastAsia" w:ascii="宋体" w:hAnsi="宋体" w:eastAsia="宋体" w:cs="宋体"/>
                <w:color w:val="auto"/>
                <w:spacing w:val="-6"/>
                <w:kern w:val="0"/>
                <w:sz w:val="22"/>
                <w:szCs w:val="22"/>
                <w:highlight w:val="none"/>
                <w:u w:val="single"/>
                <w:lang w:val="en-US" w:bidi="ar"/>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pacing w:val="-6"/>
                <w:kern w:val="0"/>
                <w:sz w:val="22"/>
                <w:szCs w:val="22"/>
                <w:highlight w:val="none"/>
                <w:u w:val="single"/>
                <w:lang w:bidi="ar"/>
              </w:rPr>
              <w:t>1.合同生效以及具备实施条件后7个工作日内，且</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已向</w:t>
            </w:r>
            <w:r>
              <w:rPr>
                <w:rFonts w:hint="eastAsia" w:ascii="宋体" w:hAnsi="宋体" w:cs="宋体"/>
                <w:color w:val="auto"/>
                <w:spacing w:val="-6"/>
                <w:kern w:val="0"/>
                <w:sz w:val="22"/>
                <w:szCs w:val="22"/>
                <w:highlight w:val="none"/>
                <w:u w:val="single"/>
                <w:lang w:val="en-US" w:eastAsia="zh-CN" w:bidi="ar"/>
              </w:rPr>
              <w:t>采购人</w:t>
            </w:r>
            <w:r>
              <w:rPr>
                <w:rFonts w:hint="eastAsia" w:ascii="宋体" w:hAnsi="宋体" w:eastAsia="宋体" w:cs="宋体"/>
                <w:color w:val="auto"/>
                <w:spacing w:val="-6"/>
                <w:kern w:val="0"/>
                <w:sz w:val="22"/>
                <w:szCs w:val="22"/>
                <w:highlight w:val="none"/>
                <w:u w:val="single"/>
                <w:lang w:bidi="ar"/>
              </w:rPr>
              <w:t>提交银行、保险公司等金融机构出具的预付款保函的，</w:t>
            </w:r>
            <w:r>
              <w:rPr>
                <w:rFonts w:hint="eastAsia" w:ascii="宋体" w:hAnsi="宋体" w:eastAsia="宋体" w:cs="宋体"/>
                <w:color w:val="auto"/>
                <w:spacing w:val="-6"/>
                <w:kern w:val="0"/>
                <w:sz w:val="22"/>
                <w:szCs w:val="22"/>
                <w:highlight w:val="none"/>
                <w:u w:val="single"/>
                <w:lang w:val="en-US" w:eastAsia="zh-CN" w:bidi="ar"/>
              </w:rPr>
              <w:t>采购人</w:t>
            </w:r>
            <w:r>
              <w:rPr>
                <w:rFonts w:hint="eastAsia" w:ascii="宋体" w:hAnsi="宋体" w:eastAsia="宋体" w:cs="宋体"/>
                <w:color w:val="auto"/>
                <w:spacing w:val="-6"/>
                <w:kern w:val="0"/>
                <w:sz w:val="22"/>
                <w:szCs w:val="22"/>
                <w:highlight w:val="none"/>
                <w:u w:val="single"/>
                <w:lang w:bidi="ar"/>
              </w:rPr>
              <w:t>向</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支付合同总价40%的预付款，</w:t>
            </w:r>
            <w:r>
              <w:rPr>
                <w:rFonts w:hint="eastAsia" w:ascii="宋体" w:hAnsi="宋体" w:eastAsia="宋体" w:cs="宋体"/>
                <w:color w:val="auto"/>
                <w:spacing w:val="-6"/>
                <w:kern w:val="0"/>
                <w:sz w:val="22"/>
                <w:szCs w:val="22"/>
                <w:highlight w:val="none"/>
                <w:u w:val="single"/>
                <w:lang w:val="en-US" w:eastAsia="zh-CN" w:bidi="ar"/>
              </w:rPr>
              <w:t>采购人</w:t>
            </w:r>
            <w:r>
              <w:rPr>
                <w:rFonts w:hint="eastAsia" w:ascii="宋体" w:hAnsi="宋体" w:eastAsia="宋体" w:cs="宋体"/>
                <w:color w:val="auto"/>
                <w:spacing w:val="-6"/>
                <w:kern w:val="0"/>
                <w:sz w:val="22"/>
                <w:szCs w:val="22"/>
                <w:highlight w:val="none"/>
                <w:u w:val="single"/>
                <w:lang w:bidi="ar"/>
              </w:rPr>
              <w:t>在项目</w:t>
            </w:r>
            <w:r>
              <w:rPr>
                <w:rFonts w:hint="eastAsia" w:ascii="宋体" w:hAnsi="宋体" w:eastAsia="宋体" w:cs="宋体"/>
                <w:color w:val="auto"/>
                <w:spacing w:val="-6"/>
                <w:kern w:val="0"/>
                <w:sz w:val="22"/>
                <w:szCs w:val="22"/>
                <w:highlight w:val="none"/>
                <w:u w:val="single"/>
                <w:lang w:val="en-US" w:eastAsia="zh-CN" w:bidi="ar"/>
              </w:rPr>
              <w:t>验收</w:t>
            </w:r>
            <w:r>
              <w:rPr>
                <w:rFonts w:hint="eastAsia" w:ascii="宋体" w:hAnsi="宋体" w:eastAsia="宋体" w:cs="宋体"/>
                <w:color w:val="auto"/>
                <w:spacing w:val="-6"/>
                <w:kern w:val="0"/>
                <w:sz w:val="22"/>
                <w:szCs w:val="22"/>
                <w:highlight w:val="none"/>
                <w:u w:val="single"/>
                <w:lang w:bidi="ar"/>
              </w:rPr>
              <w:t>合格后向</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支付</w:t>
            </w:r>
            <w:r>
              <w:rPr>
                <w:rFonts w:hint="eastAsia" w:ascii="宋体" w:hAnsi="宋体" w:eastAsia="宋体" w:cs="宋体"/>
                <w:color w:val="auto"/>
                <w:spacing w:val="-6"/>
                <w:kern w:val="0"/>
                <w:sz w:val="22"/>
                <w:szCs w:val="22"/>
                <w:highlight w:val="none"/>
                <w:u w:val="single"/>
                <w:lang w:val="en-US" w:eastAsia="zh-CN" w:bidi="ar"/>
              </w:rPr>
              <w:t>合同尾款</w:t>
            </w:r>
            <w:r>
              <w:rPr>
                <w:rFonts w:hint="eastAsia" w:ascii="宋体" w:hAnsi="宋体" w:eastAsia="宋体" w:cs="宋体"/>
                <w:color w:val="auto"/>
                <w:spacing w:val="-6"/>
                <w:kern w:val="0"/>
                <w:sz w:val="22"/>
                <w:szCs w:val="22"/>
                <w:highlight w:val="none"/>
                <w:u w:val="single"/>
                <w:lang w:val="zh-CN" w:bidi="ar"/>
              </w:rPr>
              <w:t>。</w:t>
            </w:r>
          </w:p>
          <w:p>
            <w:pPr>
              <w:autoSpaceDE w:val="0"/>
              <w:autoSpaceDN w:val="0"/>
              <w:adjustRightInd w:val="0"/>
              <w:snapToGrid w:val="0"/>
              <w:spacing w:line="288"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pacing w:val="-6"/>
                <w:kern w:val="0"/>
                <w:sz w:val="22"/>
                <w:szCs w:val="22"/>
                <w:highlight w:val="none"/>
                <w:u w:val="single"/>
                <w:lang w:val="en-US" w:eastAsia="zh-CN" w:bidi="ar"/>
              </w:rPr>
              <w:t>注：在合同签订时，</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val="en-US" w:eastAsia="zh-CN" w:bidi="ar"/>
              </w:rPr>
              <w:t>明确表示无需预付款或者主动要求降低预付款比例的，按实际比例计</w:t>
            </w:r>
            <w:r>
              <w:rPr>
                <w:rFonts w:hint="eastAsia" w:ascii="宋体" w:hAnsi="宋体" w:eastAsia="宋体" w:cs="宋体"/>
                <w:color w:val="auto"/>
                <w:spacing w:val="-6"/>
                <w:kern w:val="0"/>
                <w:sz w:val="22"/>
                <w:szCs w:val="22"/>
                <w:highlight w:val="none"/>
                <w:u w:val="single"/>
                <w:lang w:bidi="ar"/>
              </w:rPr>
              <w:t>（预付款保函同步调整）</w:t>
            </w:r>
            <w:r>
              <w:rPr>
                <w:rFonts w:hint="eastAsia" w:ascii="宋体" w:hAnsi="宋体" w:eastAsia="宋体" w:cs="宋体"/>
                <w:color w:val="auto"/>
                <w:spacing w:val="-6"/>
                <w:kern w:val="0"/>
                <w:sz w:val="22"/>
                <w:szCs w:val="22"/>
                <w:highlight w:val="none"/>
                <w:u w:val="single"/>
                <w:lang w:val="en-US" w:eastAsia="zh-CN" w:bidi="ar"/>
              </w:rPr>
              <w:t>。采购人对于满足合同约定支付条件的，自收到发票后7个工作日内将资金支付到合同约定的</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val="en-US" w:eastAsia="zh-CN" w:bidi="ar"/>
              </w:rPr>
              <w:t>账户</w:t>
            </w:r>
            <w:r>
              <w:rPr>
                <w:rFonts w:hint="eastAsia" w:ascii="宋体" w:hAnsi="宋体" w:eastAsia="宋体" w:cs="宋体"/>
                <w:color w:val="auto"/>
                <w:spacing w:val="-6"/>
                <w:kern w:val="0"/>
                <w:sz w:val="22"/>
                <w:szCs w:val="22"/>
                <w:highlight w:val="none"/>
                <w:u w:val="singl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质保期</w:t>
            </w:r>
          </w:p>
        </w:tc>
        <w:tc>
          <w:tcPr>
            <w:tcW w:w="7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kern w:val="2"/>
                <w:sz w:val="22"/>
                <w:szCs w:val="22"/>
                <w:highlight w:val="none"/>
                <w:u w:val="single"/>
                <w:lang w:val="en-US" w:eastAsia="zh-CN" w:bidi="ar-SA"/>
              </w:rPr>
              <w:t>所有产品自验收之日起质保期3年。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交付时间</w:t>
            </w:r>
          </w:p>
        </w:tc>
        <w:tc>
          <w:tcPr>
            <w:tcW w:w="7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自合同签订之日起</w:t>
            </w:r>
            <w:r>
              <w:rPr>
                <w:rFonts w:hint="eastAsia" w:ascii="宋体" w:hAnsi="宋体" w:eastAsia="宋体" w:cs="宋体"/>
                <w:color w:val="auto"/>
                <w:sz w:val="22"/>
                <w:szCs w:val="22"/>
                <w:highlight w:val="none"/>
                <w:lang w:val="en-US" w:eastAsia="zh-CN"/>
              </w:rPr>
              <w:t>60</w:t>
            </w:r>
            <w:r>
              <w:rPr>
                <w:rFonts w:hint="eastAsia" w:ascii="宋体" w:hAnsi="宋体" w:eastAsia="宋体" w:cs="宋体"/>
                <w:color w:val="auto"/>
                <w:sz w:val="22"/>
                <w:szCs w:val="22"/>
                <w:highlight w:val="none"/>
              </w:rPr>
              <w:t>日内交付使用。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交付地点</w:t>
            </w:r>
          </w:p>
        </w:tc>
        <w:tc>
          <w:tcPr>
            <w:tcW w:w="770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文成县卫生健康局</w:t>
            </w:r>
            <w:r>
              <w:rPr>
                <w:rFonts w:hint="eastAsia" w:ascii="宋体" w:hAnsi="宋体" w:eastAsia="宋体" w:cs="宋体"/>
                <w:color w:val="auto"/>
                <w:sz w:val="22"/>
                <w:szCs w:val="22"/>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服务标准、期限、效率</w:t>
            </w:r>
          </w:p>
        </w:tc>
        <w:tc>
          <w:tcPr>
            <w:tcW w:w="7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1.在质保期内，供应商应对货物出现的质量及安全问题负责处理解决并承担一切费用。</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2.质保期内出现无法排除的故障，供应商需无条件更换同型号产品。</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3.质保期满后，供应商继续为采购人服务，仅收取零配件成本费。零配件在该设备停产后仍需保证十年的供应。维修过程中所需零配件供应商在接到通知后最长不超过3天必须送达采购人。</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因人为因素出现的故障不在免费保修范围内。</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.提供7×24小时技术支持，对采购人的需求应当积极响应，如在使用过程中发生质量问题，供应商维修响应时间：4小时以内；电话技术支持时间：8小时以内；若需上门维修，则在</w:t>
            </w: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小时内到达现场并进行维修；以保证系统的正常运行。</w:t>
            </w:r>
          </w:p>
          <w:p>
            <w:pPr>
              <w:adjustRightInd w:val="0"/>
              <w:snapToGrid w:val="0"/>
              <w:spacing w:line="288" w:lineRule="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highlight w:val="none"/>
                <w:lang w:val="en-US" w:eastAsia="zh-CN"/>
              </w:rPr>
              <w:t>6.</w:t>
            </w:r>
            <w:r>
              <w:rPr>
                <w:rFonts w:hint="eastAsia" w:ascii="宋体" w:hAnsi="宋体" w:eastAsia="宋体" w:cs="宋体"/>
                <w:color w:val="auto"/>
                <w:sz w:val="22"/>
                <w:szCs w:val="22"/>
                <w:highlight w:val="none"/>
              </w:rPr>
              <w:t>供应商应在投标文件中提供售后服务方案，如售后服务机构备品备件储备</w:t>
            </w:r>
            <w:r>
              <w:rPr>
                <w:rFonts w:hint="eastAsia" w:ascii="宋体" w:hAnsi="宋体" w:eastAsia="宋体" w:cs="宋体"/>
                <w:color w:val="auto"/>
                <w:sz w:val="22"/>
                <w:szCs w:val="22"/>
                <w:highlight w:val="none"/>
                <w:lang w:val="en-US" w:eastAsia="zh-CN"/>
              </w:rPr>
              <w:t>及仓库地址</w:t>
            </w:r>
            <w:r>
              <w:rPr>
                <w:rFonts w:hint="eastAsia" w:ascii="宋体" w:hAnsi="宋体" w:eastAsia="宋体" w:cs="宋体"/>
                <w:color w:val="auto"/>
                <w:sz w:val="22"/>
                <w:szCs w:val="22"/>
                <w:highlight w:val="none"/>
              </w:rPr>
              <w:t>及联系电话，固定维修点</w:t>
            </w:r>
            <w:r>
              <w:rPr>
                <w:rFonts w:hint="eastAsia" w:ascii="宋体" w:hAnsi="宋体" w:eastAsia="宋体" w:cs="宋体"/>
                <w:color w:val="auto"/>
                <w:sz w:val="22"/>
                <w:szCs w:val="22"/>
                <w:highlight w:val="none"/>
                <w:lang w:val="en-US" w:eastAsia="zh-CN"/>
              </w:rPr>
              <w:t>地址</w:t>
            </w:r>
            <w:r>
              <w:rPr>
                <w:rFonts w:hint="eastAsia" w:ascii="宋体" w:hAnsi="宋体" w:eastAsia="宋体" w:cs="宋体"/>
                <w:color w:val="auto"/>
                <w:sz w:val="22"/>
                <w:szCs w:val="22"/>
                <w:highlight w:val="none"/>
              </w:rPr>
              <w:t>及联系电话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远程维修中心</w:t>
            </w:r>
            <w:r>
              <w:rPr>
                <w:rFonts w:hint="eastAsia" w:ascii="宋体" w:hAnsi="宋体" w:eastAsia="宋体" w:cs="宋体"/>
                <w:color w:val="auto"/>
                <w:sz w:val="22"/>
                <w:szCs w:val="22"/>
                <w:highlight w:val="none"/>
                <w:lang w:val="en-US" w:eastAsia="zh-CN"/>
              </w:rPr>
              <w:t>地址</w:t>
            </w:r>
            <w:r>
              <w:rPr>
                <w:rFonts w:hint="eastAsia" w:ascii="宋体" w:hAnsi="宋体" w:eastAsia="宋体" w:cs="宋体"/>
                <w:color w:val="auto"/>
                <w:sz w:val="22"/>
                <w:szCs w:val="22"/>
                <w:highlight w:val="none"/>
              </w:rPr>
              <w:t>及联系电话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售后服务机构技术服务人员情况</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验收标准</w:t>
            </w:r>
          </w:p>
        </w:tc>
        <w:tc>
          <w:tcPr>
            <w:tcW w:w="7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合同履约验收参照《温州市政府采购履约验收办法》(温财采[2020]6号)相关规定；</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验收依据：</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2.1合同、招标文件、投标文件；</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提供的技术规格、经</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认可的合同货物的有效检验文件；</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投标文件中提供的经</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认可的合同货物的验收标准（符合中国有关的国家、地方、行业标准）和检测办法及相应检测手段。</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应派员在所供货物到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处时进行到货验收，有需要时能联系产品制造商到场共同验收，若发现任何损坏及质量问题，</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负责妥善处理直至</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满意，由此产生的费用由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验收合格的条件：</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4.1所供货物符合产品标准和合同的要求；</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4.2在进行测试和验收过程中发现的问题已被解决并得到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的认可；</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4.3合同中规定的所有货物和材料均已交付；</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4.4所供货物已通过使用单位组织的验收；</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4.5所有相关的技术文件及资料均已提交并得到接受。</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5.以上验收费用产生的费用由</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承担</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其他技术、服务要求</w:t>
            </w:r>
          </w:p>
        </w:tc>
        <w:tc>
          <w:tcPr>
            <w:tcW w:w="7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1.供应商应按</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规定的货物性能、技术要求、质量标准向采购人提供未经使用的全新产品，符合国家法律规定和技术规格、质量标准的出厂原装合格产品。</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2.安装调试：</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2.1安装地点：采购人指定地点；</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2.2安装完成时间：接到采购人通知后在规定时间内完成安装和调试，如在规定的时间内由于供应商的原因不能完成安装和调试，供应商应承担由此给采购人造成的损失；</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2.3如供应商委托国内代理（或其他机构）负责安装或配合安装应在签约时指明，但供应商仍要对合同货物及其安装质量负全部责任；</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2.4安装标准：符合我国国家有关技术规范要求和技术标准，所有的软件和硬件必须保证同时安装到位；</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2.5供应商免费提供合同货物的安装服务；</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2.6供应商在</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中应提供安装调试计划、对安装场地和环境的要求。</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3.培训：</w:t>
            </w:r>
          </w:p>
          <w:p>
            <w:pPr>
              <w:adjustRightInd w:val="0"/>
              <w:snapToGrid w:val="0"/>
              <w:spacing w:line="288"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对采购人的操作人员、维修人员</w:t>
            </w: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rPr>
              <w:t>免费培训服务</w:t>
            </w:r>
            <w:r>
              <w:rPr>
                <w:rFonts w:hint="eastAsia" w:ascii="宋体" w:hAnsi="宋体" w:eastAsia="宋体" w:cs="宋体"/>
                <w:color w:val="auto"/>
                <w:sz w:val="22"/>
                <w:szCs w:val="22"/>
                <w:highlight w:val="none"/>
                <w:lang w:eastAsia="zh-CN"/>
              </w:rPr>
              <w:t>。</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 提供完整详细的实施、培训和运维计划方案，并得到采购人的批准。实施过程严格按照批准后的计划进行，如有变更需再次得到采购人的批准。</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供应商应提供质保期满后主要零部件报价单、质保期满后维护费、软件升级及其相关服务内容；</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.供货时提供有关的全套技术文件。</w:t>
            </w:r>
          </w:p>
          <w:p>
            <w:pPr>
              <w:adjustRightInd w:val="0"/>
              <w:snapToGrid w:val="0"/>
              <w:spacing w:line="288" w:lineRule="auto"/>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pacing w:val="-6"/>
                <w:sz w:val="22"/>
                <w:szCs w:val="22"/>
                <w:highlight w:val="none"/>
              </w:rPr>
              <w:t>供应商应保证所提供的货物或其中任何一部分均不会侵犯第三方的知识产权。</w:t>
            </w:r>
          </w:p>
          <w:p>
            <w:pPr>
              <w:adjustRightInd w:val="0"/>
              <w:snapToGrid w:val="0"/>
              <w:spacing w:line="288"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6"/>
                <w:sz w:val="22"/>
                <w:szCs w:val="22"/>
                <w:highlight w:val="none"/>
                <w:lang w:val="en-US" w:eastAsia="zh-CN"/>
              </w:rPr>
              <w:t>7</w:t>
            </w:r>
            <w:r>
              <w:rPr>
                <w:rFonts w:hint="eastAsia" w:ascii="宋体" w:hAnsi="宋体" w:eastAsia="宋体" w:cs="宋体"/>
                <w:color w:val="auto"/>
                <w:spacing w:val="-6"/>
                <w:sz w:val="22"/>
                <w:szCs w:val="22"/>
                <w:highlight w:val="none"/>
              </w:rPr>
              <w:t>.供应商在安装调试中造成的人员伤亡及财产损失，由供应商自行承担。</w:t>
            </w:r>
          </w:p>
        </w:tc>
      </w:tr>
    </w:tbl>
    <w:p>
      <w:pPr>
        <w:numPr>
          <w:ilvl w:val="0"/>
          <w:numId w:val="0"/>
        </w:numPr>
        <w:snapToGrid w:val="0"/>
        <w:spacing w:line="360" w:lineRule="exact"/>
        <w:jc w:val="left"/>
        <w:rPr>
          <w:rFonts w:hint="eastAsia" w:ascii="宋体" w:hAnsi="宋体" w:eastAsia="宋体" w:cs="宋体"/>
          <w:b/>
          <w:color w:val="auto"/>
          <w:sz w:val="22"/>
          <w:szCs w:val="22"/>
          <w:highlight w:val="none"/>
          <w:lang w:val="en-US"/>
        </w:rPr>
      </w:pPr>
      <w:r>
        <w:rPr>
          <w:rFonts w:hint="eastAsia" w:ascii="宋体" w:hAnsi="宋体" w:eastAsia="宋体" w:cs="宋体"/>
          <w:b/>
          <w:bCs/>
          <w:color w:val="auto"/>
          <w:spacing w:val="-6"/>
          <w:sz w:val="22"/>
          <w:szCs w:val="22"/>
          <w:highlight w:val="none"/>
          <w:lang w:val="en-US" w:eastAsia="zh-CN"/>
        </w:rPr>
        <w:t>三.</w:t>
      </w:r>
      <w:r>
        <w:rPr>
          <w:rFonts w:hint="eastAsia" w:ascii="宋体" w:hAnsi="宋体" w:eastAsia="宋体" w:cs="宋体"/>
          <w:b/>
          <w:bCs/>
          <w:color w:val="auto"/>
          <w:spacing w:val="-6"/>
          <w:sz w:val="22"/>
          <w:szCs w:val="22"/>
          <w:highlight w:val="none"/>
        </w:rPr>
        <w:t>技术要求</w:t>
      </w:r>
    </w:p>
    <w:p>
      <w:pPr>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（一）螺旋CT（1套）</w:t>
      </w:r>
    </w:p>
    <w:tbl>
      <w:tblPr>
        <w:tblStyle w:val="31"/>
        <w:tblW w:w="0" w:type="auto"/>
        <w:jc w:val="center"/>
        <w:tblLayout w:type="autofit"/>
        <w:tblCellMar>
          <w:top w:w="0" w:type="dxa"/>
          <w:left w:w="30" w:type="dxa"/>
          <w:bottom w:w="0" w:type="dxa"/>
          <w:right w:w="30" w:type="dxa"/>
        </w:tblCellMar>
      </w:tblPr>
      <w:tblGrid>
        <w:gridCol w:w="720"/>
        <w:gridCol w:w="2946"/>
        <w:gridCol w:w="5641"/>
      </w:tblGrid>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lang w:val="en-GB"/>
              </w:rPr>
            </w:pPr>
            <w:r>
              <w:rPr>
                <w:rFonts w:hint="eastAsia" w:ascii="宋体" w:hAnsi="宋体" w:cs="宋体"/>
                <w:color w:val="auto"/>
                <w:sz w:val="22"/>
                <w:highlight w:val="none"/>
              </w:rPr>
              <w:t>序号</w:t>
            </w:r>
          </w:p>
        </w:tc>
        <w:tc>
          <w:tcPr>
            <w:tcW w:w="8587" w:type="dxa"/>
            <w:gridSpan w:val="2"/>
            <w:tcBorders>
              <w:top w:val="single" w:color="000000" w:sz="6" w:space="0"/>
              <w:left w:val="single" w:color="000000" w:sz="6" w:space="0"/>
              <w:bottom w:val="single" w:color="000000" w:sz="6" w:space="0"/>
              <w:right w:val="single" w:color="000000" w:sz="6" w:space="0"/>
            </w:tcBorders>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技术规格</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机架系统</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jc w:val="right"/>
              <w:rPr>
                <w:rFonts w:ascii="宋体" w:hAnsi="宋体" w:cs="宋体"/>
                <w:color w:val="auto"/>
                <w:sz w:val="22"/>
                <w:highlight w:val="none"/>
              </w:rPr>
            </w:pP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旋转方式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螺旋</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机架宽度</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≤205cm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孔径</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≥70cm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机架倾角（不限类型）</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rPr>
              <w:sym w:font="Symbol" w:char="F0B1"/>
            </w:r>
            <w:r>
              <w:rPr>
                <w:rFonts w:hint="eastAsia" w:ascii="宋体" w:hAnsi="宋体" w:cs="宋体"/>
                <w:color w:val="auto"/>
                <w:sz w:val="22"/>
                <w:highlight w:val="none"/>
              </w:rPr>
              <w:t>30度</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1.5</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探测器类型</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集成化探测器</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1.6</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探测器排列</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≥16排</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1.7</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每排探测器物理个数</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≥900个</w:t>
            </w:r>
            <w:r>
              <w:rPr>
                <w:rFonts w:hint="eastAsia" w:ascii="宋体" w:hAnsi="宋体" w:cs="宋体"/>
                <w:b/>
                <w:bCs/>
                <w:color w:val="auto"/>
                <w:sz w:val="22"/>
                <w:highlight w:val="none"/>
              </w:rPr>
              <w:t>（商务和技术文件中提供相关技术白皮书，否则视为负偏离）</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1.8</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滑环类型</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低压滑环</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▲1.9</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探测器宽度</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≥20mm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bCs/>
                <w:color w:val="auto"/>
                <w:sz w:val="22"/>
                <w:highlight w:val="none"/>
              </w:rPr>
              <w:t>★</w:t>
            </w:r>
            <w:r>
              <w:rPr>
                <w:rFonts w:hint="eastAsia" w:ascii="宋体" w:hAnsi="宋体" w:cs="宋体"/>
                <w:color w:val="auto"/>
                <w:sz w:val="22"/>
                <w:highlight w:val="none"/>
              </w:rPr>
              <w:t>1.10</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球管焦点到等中心点距离</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≤55cm（商务和技术文件中提供相关技术白皮书，否则视为负偏离）</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1.11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机架配置智能数控触摸平板</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具备，≥2块</w:t>
            </w:r>
          </w:p>
        </w:tc>
      </w:tr>
      <w:tr>
        <w:tblPrEx>
          <w:tblCellMar>
            <w:top w:w="0" w:type="dxa"/>
            <w:left w:w="30" w:type="dxa"/>
            <w:bottom w:w="0" w:type="dxa"/>
            <w:right w:w="30" w:type="dxa"/>
          </w:tblCellMar>
        </w:tblPrEx>
        <w:trPr>
          <w:trHeight w:val="278"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扫描床系统</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jc w:val="right"/>
              <w:rPr>
                <w:rFonts w:ascii="宋体" w:hAnsi="宋体" w:cs="宋体"/>
                <w:color w:val="auto"/>
                <w:sz w:val="22"/>
                <w:highlight w:val="none"/>
              </w:rPr>
            </w:pP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2.1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床水平移动范围</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≥1600mm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2.2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床水平移动速度</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≥0.5-100mm/s</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2.3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床垂直移动范围</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≥45-97cm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2.4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床定位精度</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rPr>
              <w:sym w:font="Symbol" w:char="F0B1"/>
            </w:r>
            <w:r>
              <w:rPr>
                <w:rFonts w:hint="eastAsia" w:ascii="宋体" w:hAnsi="宋体" w:cs="宋体"/>
                <w:color w:val="auto"/>
                <w:sz w:val="22"/>
                <w:highlight w:val="none"/>
              </w:rPr>
              <w:t>0.25mm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高压系统</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jc w:val="right"/>
              <w:rPr>
                <w:rFonts w:ascii="宋体" w:hAnsi="宋体" w:cs="宋体"/>
                <w:color w:val="auto"/>
                <w:sz w:val="22"/>
                <w:highlight w:val="none"/>
              </w:rPr>
            </w:pP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none"/>
              </w:rPr>
            </w:pPr>
            <w:r>
              <w:rPr>
                <w:rFonts w:hint="eastAsia" w:ascii="宋体" w:hAnsi="宋体" w:cs="宋体"/>
                <w:color w:val="auto"/>
                <w:sz w:val="22"/>
                <w:highlight w:val="none"/>
                <w:u w:val="none"/>
              </w:rPr>
              <w:t>3.1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none"/>
              </w:rPr>
            </w:pPr>
            <w:r>
              <w:rPr>
                <w:rFonts w:hint="eastAsia" w:ascii="宋体" w:hAnsi="宋体" w:cs="宋体"/>
                <w:color w:val="auto"/>
                <w:sz w:val="22"/>
                <w:highlight w:val="none"/>
                <w:u w:val="none"/>
              </w:rPr>
              <w:t>高压发生器实际功率（非等效）</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none"/>
              </w:rPr>
            </w:pPr>
            <w:r>
              <w:rPr>
                <w:rFonts w:hint="eastAsia" w:ascii="宋体" w:hAnsi="宋体" w:cs="宋体"/>
                <w:color w:val="auto"/>
                <w:sz w:val="22"/>
                <w:highlight w:val="none"/>
                <w:u w:val="none"/>
              </w:rPr>
              <w:t>≥40KW</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none"/>
              </w:rPr>
            </w:pPr>
            <w:r>
              <w:rPr>
                <w:rFonts w:hint="eastAsia" w:ascii="宋体" w:hAnsi="宋体" w:cs="宋体"/>
                <w:color w:val="auto"/>
                <w:sz w:val="22"/>
                <w:highlight w:val="none"/>
                <w:u w:val="none"/>
              </w:rPr>
              <w:t>3.2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none"/>
              </w:rPr>
            </w:pPr>
            <w:r>
              <w:rPr>
                <w:rFonts w:hint="eastAsia" w:ascii="宋体" w:hAnsi="宋体" w:cs="宋体"/>
                <w:color w:val="auto"/>
                <w:sz w:val="22"/>
                <w:highlight w:val="none"/>
                <w:u w:val="none"/>
              </w:rPr>
              <w:t>球管阳极热容量（非等效）</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none"/>
              </w:rPr>
            </w:pPr>
            <w:r>
              <w:rPr>
                <w:rFonts w:hint="eastAsia" w:ascii="宋体" w:hAnsi="宋体" w:cs="宋体"/>
                <w:color w:val="auto"/>
                <w:sz w:val="22"/>
                <w:highlight w:val="none"/>
                <w:u w:val="none"/>
              </w:rPr>
              <w:t>≥3.5MHU</w:t>
            </w:r>
          </w:p>
        </w:tc>
      </w:tr>
      <w:tr>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3.3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阳极最大散热率</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≥8</w:t>
            </w:r>
            <w:r>
              <w:rPr>
                <w:rFonts w:ascii="宋体" w:hAnsi="宋体" w:cs="宋体"/>
                <w:color w:val="auto"/>
                <w:sz w:val="22"/>
                <w:highlight w:val="none"/>
              </w:rPr>
              <w:t>2</w:t>
            </w:r>
            <w:r>
              <w:rPr>
                <w:rFonts w:hint="eastAsia" w:ascii="宋体" w:hAnsi="宋体" w:cs="宋体"/>
                <w:color w:val="auto"/>
                <w:sz w:val="22"/>
                <w:highlight w:val="none"/>
              </w:rPr>
              <w:t>0KHU/min</w:t>
            </w:r>
            <w:r>
              <w:rPr>
                <w:rFonts w:hint="eastAsia" w:ascii="宋体" w:hAnsi="宋体" w:cs="宋体"/>
                <w:b/>
                <w:bCs/>
                <w:color w:val="auto"/>
                <w:sz w:val="22"/>
                <w:highlight w:val="none"/>
              </w:rPr>
              <w:t>（商务和技术文件中提供相关技术白皮书，否则视为负偏离）</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球管最小输出电流</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≤10mA</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3.5</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球管最大输出电流</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≥350mA</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3.6</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球管电压范围</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≥80-140KV</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▲3.7</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小焦点大小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≤0.4mm</w:t>
            </w:r>
            <w:r>
              <w:rPr>
                <w:rFonts w:hint="eastAsia" w:ascii="宋体" w:hAnsi="宋体" w:cs="宋体"/>
                <w:color w:val="auto"/>
                <w:sz w:val="22"/>
                <w:highlight w:val="none"/>
                <w:u w:val="single"/>
                <w:vertAlign w:val="superscript"/>
              </w:rPr>
              <w:t>2</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3.8</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大焦点大小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≤1.1mm</w:t>
            </w:r>
            <w:r>
              <w:rPr>
                <w:rFonts w:hint="eastAsia" w:ascii="宋体" w:hAnsi="宋体" w:cs="宋体"/>
                <w:color w:val="auto"/>
                <w:sz w:val="22"/>
                <w:highlight w:val="none"/>
                <w:vertAlign w:val="superscript"/>
              </w:rPr>
              <w:t>2</w:t>
            </w:r>
            <w:r>
              <w:rPr>
                <w:rFonts w:hint="eastAsia" w:ascii="宋体" w:hAnsi="宋体" w:cs="宋体"/>
                <w:b/>
                <w:bCs/>
                <w:color w:val="auto"/>
                <w:sz w:val="22"/>
                <w:highlight w:val="none"/>
              </w:rPr>
              <w:t>（商务和技术文件中提供相关技术白皮书，否则视为负偏离）</w:t>
            </w:r>
          </w:p>
        </w:tc>
      </w:tr>
      <w:tr>
        <w:tblPrEx>
          <w:tblCellMar>
            <w:top w:w="0" w:type="dxa"/>
            <w:left w:w="30" w:type="dxa"/>
            <w:bottom w:w="0" w:type="dxa"/>
            <w:right w:w="30" w:type="dxa"/>
          </w:tblCellMar>
        </w:tblPrEx>
        <w:trPr>
          <w:cantSplit/>
          <w:trHeight w:val="225" w:hRule="atLeast"/>
          <w:jc w:val="center"/>
        </w:trPr>
        <w:tc>
          <w:tcPr>
            <w:tcW w:w="0" w:type="auto"/>
            <w:tcBorders>
              <w:top w:val="single" w:color="000000" w:sz="6" w:space="0"/>
              <w:left w:val="single" w:color="000000" w:sz="6" w:space="0"/>
              <w:bottom w:val="single" w:color="auto" w:sz="4"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3.9</w:t>
            </w:r>
          </w:p>
        </w:tc>
        <w:tc>
          <w:tcPr>
            <w:tcW w:w="2946" w:type="dxa"/>
            <w:tcBorders>
              <w:top w:val="single" w:color="000000" w:sz="6" w:space="0"/>
              <w:left w:val="single" w:color="000000" w:sz="6" w:space="0"/>
              <w:bottom w:val="single" w:color="auto" w:sz="4"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最大单次连续螺旋扫描时间</w:t>
            </w:r>
          </w:p>
        </w:tc>
        <w:tc>
          <w:tcPr>
            <w:tcW w:w="5641" w:type="dxa"/>
            <w:tcBorders>
              <w:top w:val="single" w:color="000000" w:sz="6" w:space="0"/>
              <w:left w:val="single" w:color="000000" w:sz="6" w:space="0"/>
              <w:bottom w:val="single" w:color="auto" w:sz="4"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≥120秒</w:t>
            </w:r>
            <w:r>
              <w:rPr>
                <w:rFonts w:hint="eastAsia" w:ascii="宋体" w:hAnsi="宋体" w:cs="宋体"/>
                <w:b/>
                <w:bCs/>
                <w:color w:val="auto"/>
                <w:sz w:val="22"/>
                <w:highlight w:val="none"/>
              </w:rPr>
              <w:t>（商务和技术文件中提供相关技术白皮书，否则视为负偏离）</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bookmarkStart w:id="108" w:name="_Hlk74910405"/>
            <w:r>
              <w:rPr>
                <w:rFonts w:hint="eastAsia" w:ascii="宋体" w:hAnsi="宋体" w:cs="宋体"/>
                <w:color w:val="auto"/>
                <w:sz w:val="22"/>
                <w:highlight w:val="none"/>
              </w:rPr>
              <w:t>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 xml:space="preserve">主操作台 </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jc w:val="right"/>
              <w:rPr>
                <w:rFonts w:ascii="宋体" w:hAnsi="宋体" w:cs="宋体"/>
                <w:color w:val="auto"/>
                <w:sz w:val="22"/>
                <w:highlight w:val="none"/>
              </w:rPr>
            </w:pP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主计算机操作系统</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Linux或Windows</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内存</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≥64GB</w:t>
            </w:r>
          </w:p>
        </w:tc>
      </w:tr>
      <w:tr>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硬盘容量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≥1.5TB</w:t>
            </w:r>
          </w:p>
        </w:tc>
      </w:tr>
      <w:tr>
        <w:tblPrEx>
          <w:tblCellMar>
            <w:top w:w="0" w:type="dxa"/>
            <w:left w:w="30" w:type="dxa"/>
            <w:bottom w:w="0" w:type="dxa"/>
            <w:right w:w="30" w:type="dxa"/>
          </w:tblCellMar>
        </w:tblPrEx>
        <w:trPr>
          <w:trHeight w:val="106"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图像存储量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≥460，000幅无压缩图像（512×512）</w:t>
            </w:r>
          </w:p>
        </w:tc>
      </w:tr>
      <w:tr>
        <w:tblPrEx>
          <w:tblCellMar>
            <w:top w:w="0" w:type="dxa"/>
            <w:left w:w="30" w:type="dxa"/>
            <w:bottom w:w="0" w:type="dxa"/>
            <w:right w:w="30" w:type="dxa"/>
          </w:tblCellMar>
        </w:tblPrEx>
        <w:trPr>
          <w:trHeight w:val="252"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4.5</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同步处理功能</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4.6</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同步同屏显示不同方式后处理的图像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 xml:space="preserve">4.7 </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同步摄片</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4.8</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高分辨率显示器</w:t>
            </w:r>
          </w:p>
        </w:tc>
        <w:tc>
          <w:tcPr>
            <w:tcW w:w="5641" w:type="dxa"/>
            <w:tcBorders>
              <w:top w:val="single" w:color="000000" w:sz="6" w:space="0"/>
              <w:left w:val="single" w:color="000000" w:sz="6" w:space="0"/>
              <w:bottom w:val="single" w:color="000000" w:sz="6" w:space="0"/>
              <w:right w:val="single" w:color="000000" w:sz="6" w:space="0"/>
            </w:tcBorders>
          </w:tcPr>
          <w:p>
            <w:pPr>
              <w:tabs>
                <w:tab w:val="left" w:pos="30232"/>
              </w:tabs>
              <w:spacing w:line="360" w:lineRule="exact"/>
              <w:rPr>
                <w:rFonts w:ascii="宋体" w:hAnsi="宋体" w:cs="宋体"/>
                <w:color w:val="auto"/>
                <w:sz w:val="22"/>
                <w:highlight w:val="none"/>
              </w:rPr>
            </w:pPr>
            <w:r>
              <w:rPr>
                <w:rFonts w:hint="eastAsia" w:ascii="宋体" w:hAnsi="宋体" w:cs="宋体"/>
                <w:color w:val="auto"/>
                <w:sz w:val="22"/>
                <w:highlight w:val="none"/>
              </w:rPr>
              <w:t>≥2块，19英寸LCD（1024× 1280）</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4.9</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显示器要求逐行扫描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扫描线≥1024  帧频≥70帧</w:t>
            </w:r>
          </w:p>
        </w:tc>
      </w:tr>
      <w:bookmarkEnd w:id="108"/>
      <w:tr>
        <w:tblPrEx>
          <w:tblCellMar>
            <w:top w:w="0" w:type="dxa"/>
            <w:left w:w="30" w:type="dxa"/>
            <w:bottom w:w="0" w:type="dxa"/>
            <w:right w:w="30" w:type="dxa"/>
          </w:tblCellMar>
        </w:tblPrEx>
        <w:trPr>
          <w:cantSplit/>
          <w:trHeight w:val="28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扫描参数</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p>
        </w:tc>
      </w:tr>
      <w:tr>
        <w:tblPrEx>
          <w:tblCellMar>
            <w:top w:w="0" w:type="dxa"/>
            <w:left w:w="30" w:type="dxa"/>
            <w:bottom w:w="0" w:type="dxa"/>
            <w:right w:w="30" w:type="dxa"/>
          </w:tblCellMar>
        </w:tblPrEx>
        <w:trPr>
          <w:cantSplit/>
          <w:trHeight w:val="28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5.1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图像重建速度</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≥30幅/秒</w:t>
            </w:r>
            <w:r>
              <w:rPr>
                <w:rFonts w:hint="eastAsia" w:ascii="宋体" w:hAnsi="宋体" w:cs="宋体"/>
                <w:b/>
                <w:bCs/>
                <w:color w:val="auto"/>
                <w:sz w:val="22"/>
                <w:highlight w:val="none"/>
              </w:rPr>
              <w:t>（商务和技术文件中提供相关技术白皮书，否则视为负偏离）</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扫描时间</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≤0.8s/360度</w:t>
            </w:r>
          </w:p>
        </w:tc>
      </w:tr>
      <w:tr>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双倍采集技术</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▲5.4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轴位扫描成像</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u w:val="single"/>
              </w:rPr>
            </w:pPr>
            <w:r>
              <w:rPr>
                <w:rFonts w:hint="eastAsia" w:ascii="宋体" w:hAnsi="宋体" w:cs="宋体"/>
                <w:color w:val="auto"/>
                <w:sz w:val="22"/>
                <w:highlight w:val="none"/>
                <w:u w:val="single"/>
              </w:rPr>
              <w:t>≥32层/360度</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5.5</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bCs/>
                <w:color w:val="auto"/>
                <w:sz w:val="22"/>
                <w:highlight w:val="none"/>
              </w:rPr>
              <w:t>最大扫描螺距</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bCs/>
                <w:color w:val="auto"/>
                <w:sz w:val="22"/>
                <w:highlight w:val="none"/>
              </w:rPr>
              <w:t>≥1</w:t>
            </w:r>
            <w:r>
              <w:rPr>
                <w:rFonts w:ascii="宋体" w:hAnsi="宋体" w:cs="宋体"/>
                <w:bCs/>
                <w:color w:val="auto"/>
                <w:sz w:val="22"/>
                <w:highlight w:val="none"/>
              </w:rPr>
              <w:t>.75</w:t>
            </w:r>
            <w:r>
              <w:rPr>
                <w:rFonts w:hint="eastAsia" w:ascii="宋体" w:hAnsi="宋体" w:cs="宋体"/>
                <w:bCs/>
                <w:color w:val="auto"/>
                <w:sz w:val="22"/>
                <w:highlight w:val="none"/>
              </w:rPr>
              <w:t>:</w:t>
            </w:r>
            <w:r>
              <w:rPr>
                <w:rFonts w:ascii="宋体" w:hAnsi="宋体" w:cs="宋体"/>
                <w:bCs/>
                <w:color w:val="auto"/>
                <w:sz w:val="22"/>
                <w:highlight w:val="none"/>
              </w:rPr>
              <w:t>1</w:t>
            </w:r>
            <w:r>
              <w:rPr>
                <w:rFonts w:hint="eastAsia" w:ascii="宋体" w:hAnsi="宋体" w:cs="宋体"/>
                <w:bCs/>
                <w:color w:val="auto"/>
                <w:sz w:val="22"/>
                <w:highlight w:val="none"/>
              </w:rPr>
              <w:t>（商务和技术文件中提供相关技术白皮书，否则视为负偏离）</w:t>
            </w:r>
          </w:p>
        </w:tc>
      </w:tr>
      <w:tr>
        <w:tblPrEx>
          <w:tblCellMar>
            <w:top w:w="0" w:type="dxa"/>
            <w:left w:w="30" w:type="dxa"/>
            <w:bottom w:w="0" w:type="dxa"/>
            <w:right w:w="30" w:type="dxa"/>
          </w:tblCellMar>
        </w:tblPrEx>
        <w:trPr>
          <w:trHeight w:val="278"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5.6</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最大扫描视野FOV</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50cm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5.7</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定位像长度</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≥100cm</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5.8</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定位像方向</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后前，前后，左右侧位，任意角度</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5.9</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空间分辨率</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≥15IP/cm (0%MTF)</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5.10</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密度分辨率</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≤5mm@0.3% 10mGy</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5.11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扫描程序存储</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≥3000组</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临床应用软件</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MPR</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MPVR</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auto" w:sz="4"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3D软件包</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6.4</w:t>
            </w:r>
          </w:p>
        </w:tc>
        <w:tc>
          <w:tcPr>
            <w:tcW w:w="2946" w:type="dxa"/>
            <w:tcBorders>
              <w:top w:val="single" w:color="000000" w:sz="6" w:space="0"/>
              <w:left w:val="single" w:color="auto" w:sz="4"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最大密度投影MIP</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6.5</w:t>
            </w:r>
          </w:p>
        </w:tc>
        <w:tc>
          <w:tcPr>
            <w:tcW w:w="2946" w:type="dxa"/>
            <w:tcBorders>
              <w:top w:val="single" w:color="000000" w:sz="6" w:space="0"/>
              <w:left w:val="single" w:color="auto" w:sz="4" w:space="0"/>
              <w:bottom w:val="single" w:color="auto" w:sz="4"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最小密度投影MinIP</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rPr>
          <w:cantSplit/>
          <w:trHeight w:val="250" w:hRule="atLeast"/>
          <w:jc w:val="center"/>
        </w:trPr>
        <w:tc>
          <w:tcPr>
            <w:tcW w:w="0" w:type="auto"/>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6.6</w:t>
            </w:r>
          </w:p>
        </w:tc>
        <w:tc>
          <w:tcPr>
            <w:tcW w:w="2946" w:type="dxa"/>
            <w:tcBorders>
              <w:top w:val="single" w:color="auto" w:sz="4" w:space="0"/>
              <w:left w:val="single" w:color="auto" w:sz="4" w:space="0"/>
              <w:bottom w:val="single" w:color="auto" w:sz="4" w:space="0"/>
              <w:right w:val="single" w:color="auto" w:sz="4" w:space="0"/>
            </w:tcBorders>
          </w:tcPr>
          <w:p>
            <w:pPr>
              <w:spacing w:line="360" w:lineRule="exact"/>
              <w:jc w:val="left"/>
              <w:rPr>
                <w:rFonts w:ascii="宋体" w:hAnsi="宋体" w:cs="宋体"/>
                <w:color w:val="auto"/>
                <w:sz w:val="22"/>
                <w:highlight w:val="none"/>
              </w:rPr>
            </w:pPr>
            <w:r>
              <w:rPr>
                <w:rFonts w:hint="eastAsia" w:ascii="宋体" w:hAnsi="宋体" w:cs="宋体"/>
                <w:color w:val="auto"/>
                <w:sz w:val="22"/>
                <w:highlight w:val="none"/>
              </w:rPr>
              <w:t>三维容积显示 (Volume Rendering)</w:t>
            </w:r>
          </w:p>
        </w:tc>
        <w:tc>
          <w:tcPr>
            <w:tcW w:w="5641" w:type="dxa"/>
            <w:tcBorders>
              <w:top w:val="single" w:color="000000" w:sz="6" w:space="0"/>
              <w:left w:val="single" w:color="auto" w:sz="4"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cantSplit/>
          <w:trHeight w:val="250" w:hRule="atLeast"/>
          <w:jc w:val="center"/>
        </w:trPr>
        <w:tc>
          <w:tcPr>
            <w:tcW w:w="0" w:type="auto"/>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6.7</w:t>
            </w:r>
          </w:p>
        </w:tc>
        <w:tc>
          <w:tcPr>
            <w:tcW w:w="294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三维血管CTA</w:t>
            </w:r>
          </w:p>
        </w:tc>
        <w:tc>
          <w:tcPr>
            <w:tcW w:w="5641" w:type="dxa"/>
            <w:tcBorders>
              <w:top w:val="single" w:color="000000" w:sz="6" w:space="0"/>
              <w:left w:val="single" w:color="auto" w:sz="4"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auto" w:sz="4" w:space="0"/>
              <w:left w:val="single" w:color="000000" w:sz="6" w:space="0"/>
              <w:bottom w:val="single" w:color="auto" w:sz="4"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6.8</w:t>
            </w:r>
          </w:p>
        </w:tc>
        <w:tc>
          <w:tcPr>
            <w:tcW w:w="2946" w:type="dxa"/>
            <w:tcBorders>
              <w:top w:val="single" w:color="auto" w:sz="4" w:space="0"/>
              <w:left w:val="single" w:color="000000" w:sz="6" w:space="0"/>
              <w:bottom w:val="single" w:color="auto" w:sz="4"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仿真内窥镜功能</w:t>
            </w:r>
          </w:p>
        </w:tc>
        <w:tc>
          <w:tcPr>
            <w:tcW w:w="5641" w:type="dxa"/>
            <w:tcBorders>
              <w:top w:val="single" w:color="000000" w:sz="6" w:space="0"/>
              <w:left w:val="single" w:color="000000" w:sz="6" w:space="0"/>
              <w:bottom w:val="single" w:color="auto" w:sz="4"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 xml:space="preserve">要求该功能可同时显示管腔器官的内部、腔壁和外部，并可作动态内窥镜(即模拟飞行) </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6.9</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CT电影</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cantSplit/>
          <w:trHeight w:val="315"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6.10</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造影剂智能动态跟踪</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一次注射完成</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螺旋扫描降噪软件</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肺纹理增强软件</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运动伪影校正软件</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条状伪影消除软件</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6.15</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后颅窝伪影校正软件</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w:t>
            </w:r>
          </w:p>
        </w:tc>
      </w:tr>
      <w:tr>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6.16</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焦点自动跟踪功能</w:t>
            </w:r>
          </w:p>
        </w:tc>
        <w:tc>
          <w:tcPr>
            <w:tcW w:w="5641" w:type="dxa"/>
            <w:tcBorders>
              <w:top w:val="single" w:color="000000" w:sz="6" w:space="0"/>
              <w:left w:val="single" w:color="000000" w:sz="6" w:space="0"/>
              <w:bottom w:val="single" w:color="000000" w:sz="6" w:space="0"/>
              <w:right w:val="single" w:color="000000" w:sz="6" w:space="0"/>
            </w:tcBorders>
          </w:tcPr>
          <w:p>
            <w:pPr>
              <w:pStyle w:val="27"/>
              <w:spacing w:before="0" w:after="0" w:afterLines="0" w:line="360" w:lineRule="exact"/>
              <w:rPr>
                <w:rFonts w:hint="default" w:cs="宋体"/>
                <w:color w:val="auto"/>
                <w:sz w:val="22"/>
                <w:szCs w:val="22"/>
                <w:highlight w:val="none"/>
              </w:rPr>
            </w:pPr>
            <w:r>
              <w:rPr>
                <w:rFonts w:cs="宋体"/>
                <w:color w:val="auto"/>
                <w:sz w:val="22"/>
                <w:szCs w:val="22"/>
                <w:highlight w:val="none"/>
              </w:rPr>
              <w:t>球管准直器可自动跟踪焦点轨迹</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6.17</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X射线优化滤过功能及装置</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有，提供软件名称及硬件配置</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6.18</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呼吸控制图形提示</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6.19</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呼吸控制语音提示</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w:t>
            </w:r>
          </w:p>
        </w:tc>
      </w:tr>
      <w:tr>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6.20</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低剂量扫描功能</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有，可达到最低10mA的扫描剂量</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6.21</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儿童专用扫描协议</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Style w:val="80"/>
                <w:rFonts w:hint="eastAsia" w:ascii="宋体" w:hAnsi="宋体" w:cs="宋体"/>
                <w:color w:val="auto"/>
                <w:sz w:val="22"/>
                <w:highlight w:val="none"/>
              </w:rPr>
              <w:t>★</w:t>
            </w:r>
            <w:r>
              <w:rPr>
                <w:rFonts w:hint="eastAsia" w:ascii="宋体" w:hAnsi="宋体" w:cs="宋体"/>
                <w:color w:val="auto"/>
                <w:sz w:val="22"/>
                <w:highlight w:val="none"/>
              </w:rPr>
              <w:t>6.22</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1024*1024重建矩阵</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w:t>
            </w:r>
            <w:r>
              <w:rPr>
                <w:rFonts w:hint="eastAsia" w:ascii="宋体" w:hAnsi="宋体" w:cs="宋体"/>
                <w:b/>
                <w:bCs/>
                <w:color w:val="auto"/>
                <w:sz w:val="22"/>
                <w:highlight w:val="none"/>
              </w:rPr>
              <w:t>（商务和技术文件中提供相关技术白皮书，否则视为负偏离）</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6.23</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Dicom3.0 数字接口</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6.24</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文件输出：USB或光盘</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具备</w:t>
            </w:r>
          </w:p>
        </w:tc>
      </w:tr>
      <w:tr>
        <w:tblPrEx>
          <w:tblCellMar>
            <w:top w:w="0" w:type="dxa"/>
            <w:left w:w="30" w:type="dxa"/>
            <w:bottom w:w="0" w:type="dxa"/>
            <w:right w:w="30" w:type="dxa"/>
          </w:tblCellMar>
        </w:tblPrEx>
        <w:trPr>
          <w:trHeight w:val="250" w:hRule="atLeast"/>
          <w:jc w:val="center"/>
        </w:trPr>
        <w:tc>
          <w:tcPr>
            <w:tcW w:w="0" w:type="auto"/>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7</w:t>
            </w:r>
          </w:p>
        </w:tc>
        <w:tc>
          <w:tcPr>
            <w:tcW w:w="2946"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保修期内的开机率</w:t>
            </w:r>
          </w:p>
        </w:tc>
        <w:tc>
          <w:tcPr>
            <w:tcW w:w="5641" w:type="dxa"/>
            <w:tcBorders>
              <w:top w:val="single" w:color="000000" w:sz="6" w:space="0"/>
              <w:left w:val="single" w:color="000000" w:sz="6" w:space="0"/>
              <w:bottom w:val="single" w:color="000000" w:sz="6" w:space="0"/>
              <w:right w:val="single" w:color="000000" w:sz="6" w:space="0"/>
            </w:tcBorders>
          </w:tcPr>
          <w:p>
            <w:pPr>
              <w:spacing w:line="360" w:lineRule="exact"/>
              <w:rPr>
                <w:rFonts w:ascii="宋体" w:hAnsi="宋体" w:cs="宋体"/>
                <w:color w:val="auto"/>
                <w:sz w:val="22"/>
                <w:highlight w:val="none"/>
              </w:rPr>
            </w:pPr>
            <w:r>
              <w:rPr>
                <w:rFonts w:hint="eastAsia" w:ascii="宋体" w:hAnsi="宋体" w:cs="宋体"/>
                <w:color w:val="auto"/>
                <w:sz w:val="22"/>
                <w:highlight w:val="none"/>
              </w:rPr>
              <w:t>投标人保证开机率90％（按一年365天计算）</w:t>
            </w:r>
          </w:p>
        </w:tc>
      </w:tr>
    </w:tbl>
    <w:p>
      <w:pPr>
        <w:spacing w:line="360" w:lineRule="exact"/>
        <w:rPr>
          <w:rStyle w:val="80"/>
          <w:rFonts w:hint="eastAsia" w:ascii="宋体" w:hAnsi="宋体" w:eastAsia="宋体" w:cs="宋体"/>
          <w:b/>
          <w:bCs/>
          <w:color w:val="auto"/>
          <w:sz w:val="22"/>
          <w:highlight w:val="none"/>
        </w:rPr>
      </w:pPr>
      <w:r>
        <w:rPr>
          <w:rStyle w:val="80"/>
          <w:rFonts w:hint="eastAsia" w:ascii="宋体" w:hAnsi="宋体" w:eastAsia="宋体" w:cs="宋体"/>
          <w:b/>
          <w:bCs/>
          <w:color w:val="auto"/>
          <w:sz w:val="22"/>
          <w:highlight w:val="none"/>
          <w:lang w:eastAsia="zh-CN"/>
        </w:rPr>
        <w:t>（</w:t>
      </w:r>
      <w:r>
        <w:rPr>
          <w:rStyle w:val="80"/>
          <w:rFonts w:hint="eastAsia" w:ascii="宋体" w:hAnsi="宋体" w:eastAsia="宋体" w:cs="宋体"/>
          <w:b/>
          <w:bCs/>
          <w:color w:val="auto"/>
          <w:sz w:val="22"/>
          <w:highlight w:val="none"/>
          <w:lang w:val="en-US" w:eastAsia="zh-CN"/>
        </w:rPr>
        <w:t>二</w:t>
      </w:r>
      <w:r>
        <w:rPr>
          <w:rStyle w:val="80"/>
          <w:rFonts w:hint="eastAsia" w:ascii="宋体" w:hAnsi="宋体" w:eastAsia="宋体" w:cs="宋体"/>
          <w:b/>
          <w:bCs/>
          <w:color w:val="auto"/>
          <w:sz w:val="22"/>
          <w:highlight w:val="none"/>
          <w:lang w:eastAsia="zh-CN"/>
        </w:rPr>
        <w:t>）</w:t>
      </w:r>
      <w:r>
        <w:rPr>
          <w:rStyle w:val="80"/>
          <w:rFonts w:hint="eastAsia" w:ascii="宋体" w:hAnsi="宋体" w:eastAsia="宋体" w:cs="宋体"/>
          <w:b/>
          <w:bCs/>
          <w:color w:val="auto"/>
          <w:sz w:val="22"/>
          <w:highlight w:val="none"/>
        </w:rPr>
        <w:t>口腔CT</w:t>
      </w:r>
    </w:p>
    <w:tbl>
      <w:tblPr>
        <w:tblStyle w:val="32"/>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8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序号</w:t>
            </w:r>
          </w:p>
        </w:tc>
        <w:tc>
          <w:tcPr>
            <w:tcW w:w="847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b/>
                <w:color w:val="auto"/>
                <w:sz w:val="22"/>
                <w:highlight w:val="none"/>
              </w:rPr>
            </w:pPr>
          </w:p>
          <w:p>
            <w:pPr>
              <w:spacing w:line="360" w:lineRule="exact"/>
              <w:jc w:val="center"/>
              <w:rPr>
                <w:rFonts w:hint="eastAsia" w:ascii="宋体" w:hAnsi="宋体" w:eastAsia="宋体" w:cs="宋体"/>
                <w:b/>
                <w:color w:val="auto"/>
                <w:sz w:val="22"/>
                <w:highlight w:val="none"/>
              </w:rPr>
            </w:pPr>
          </w:p>
          <w:p>
            <w:pPr>
              <w:spacing w:line="360" w:lineRule="exact"/>
              <w:jc w:val="center"/>
              <w:rPr>
                <w:rFonts w:hint="eastAsia" w:ascii="宋体" w:hAnsi="宋体" w:eastAsia="宋体" w:cs="宋体"/>
                <w:b/>
                <w:color w:val="auto"/>
                <w:sz w:val="22"/>
                <w:highlight w:val="none"/>
                <w:lang w:val="en-GB"/>
              </w:rPr>
            </w:pPr>
            <w:r>
              <w:rPr>
                <w:rFonts w:hint="eastAsia" w:ascii="宋体" w:hAnsi="宋体" w:eastAsia="宋体" w:cs="宋体"/>
                <w:b/>
                <w:color w:val="auto"/>
                <w:sz w:val="22"/>
                <w:highlight w:val="none"/>
              </w:rPr>
              <w:t>一</w:t>
            </w:r>
          </w:p>
        </w:tc>
        <w:tc>
          <w:tcPr>
            <w:tcW w:w="8474" w:type="dxa"/>
          </w:tcPr>
          <w:p>
            <w:pPr>
              <w:spacing w:line="360" w:lineRule="exact"/>
              <w:rPr>
                <w:rFonts w:hint="eastAsia" w:ascii="宋体" w:hAnsi="宋体" w:eastAsia="宋体" w:cs="宋体"/>
                <w:b/>
                <w:color w:val="auto"/>
                <w:sz w:val="22"/>
                <w:highlight w:val="none"/>
                <w:lang w:val="en-GB"/>
              </w:rPr>
            </w:pPr>
            <w:r>
              <w:rPr>
                <w:rFonts w:hint="eastAsia" w:ascii="宋体" w:hAnsi="宋体" w:eastAsia="宋体" w:cs="宋体"/>
                <w:b/>
                <w:color w:val="auto"/>
                <w:sz w:val="22"/>
                <w:highlight w:val="none"/>
              </w:rPr>
              <w:t>设备用途：用于口腔疾病的诊断，为临床治疗提供影像依据。直接进行三维影像、二维全景及二维头颅片的数字化拍摄。具有中文临床观察软件，完善的图像后处理功能，适合临床口腔科医生使用；可应用于种植科植体植入的诊断及指导，应用于口腔颌面外科对于颌骨外伤检查与诊断；应用于口腔正畸科对牙颌畸形的诊断与治疗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b/>
                <w:color w:val="auto"/>
                <w:sz w:val="22"/>
                <w:highlight w:val="none"/>
                <w:lang w:val="en-GB"/>
              </w:rPr>
            </w:pPr>
            <w:r>
              <w:rPr>
                <w:rFonts w:hint="eastAsia" w:ascii="宋体" w:hAnsi="宋体" w:eastAsia="宋体" w:cs="宋体"/>
                <w:b/>
                <w:color w:val="auto"/>
                <w:sz w:val="22"/>
                <w:highlight w:val="none"/>
              </w:rPr>
              <w:t>二</w:t>
            </w:r>
          </w:p>
        </w:tc>
        <w:tc>
          <w:tcPr>
            <w:tcW w:w="8474" w:type="dxa"/>
          </w:tcPr>
          <w:p>
            <w:pPr>
              <w:spacing w:line="360" w:lineRule="exact"/>
              <w:rPr>
                <w:rFonts w:hint="eastAsia" w:ascii="宋体" w:hAnsi="宋体" w:eastAsia="宋体" w:cs="宋体"/>
                <w:b/>
                <w:color w:val="auto"/>
                <w:sz w:val="22"/>
                <w:highlight w:val="none"/>
                <w:lang w:val="en-GB"/>
              </w:rPr>
            </w:pPr>
            <w:r>
              <w:rPr>
                <w:rFonts w:hint="eastAsia" w:ascii="宋体" w:hAnsi="宋体" w:eastAsia="宋体" w:cs="宋体"/>
                <w:b/>
                <w:color w:val="auto"/>
                <w:sz w:val="22"/>
                <w:highlight w:val="none"/>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2.1</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X射线球管：锥形线束，可自行选择脉冲X射线或连续X射线。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2.2</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三维模式最大管电压：≥85kV；全景头颅模式最大管电压：≥90kV。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2.3</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最大管电流：≥16mA；最小管电流：≤3mA。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2.4</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焦点：≤0.5mm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2.6</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CT曝光时间：≤5秒，全景曝光时间：≤ 14秒，头颅曝光时间：≤9秒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2.7</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总过滤：≥2.5Al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2.8</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最短3D三维加载时间≤3.2S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u w:val="single"/>
                <w:lang w:val="en-GB"/>
              </w:rPr>
            </w:pPr>
            <w:r>
              <w:rPr>
                <w:rFonts w:hint="eastAsia" w:ascii="宋体" w:hAnsi="宋体" w:eastAsia="宋体" w:cs="宋体"/>
                <w:color w:val="auto"/>
                <w:sz w:val="22"/>
                <w:highlight w:val="none"/>
                <w:u w:val="single"/>
              </w:rPr>
              <w:t>▲2.9</w:t>
            </w:r>
          </w:p>
        </w:tc>
        <w:tc>
          <w:tcPr>
            <w:tcW w:w="8474" w:type="dxa"/>
          </w:tcPr>
          <w:p>
            <w:pPr>
              <w:spacing w:line="360" w:lineRule="exact"/>
              <w:rPr>
                <w:rFonts w:hint="eastAsia" w:ascii="宋体" w:hAnsi="宋体" w:eastAsia="宋体" w:cs="宋体"/>
                <w:color w:val="auto"/>
                <w:sz w:val="22"/>
                <w:highlight w:val="none"/>
                <w:u w:val="single"/>
                <w:lang w:val="en-GB"/>
              </w:rPr>
            </w:pPr>
            <w:r>
              <w:rPr>
                <w:rFonts w:hint="eastAsia" w:ascii="宋体" w:hAnsi="宋体" w:eastAsia="宋体" w:cs="宋体"/>
                <w:color w:val="auto"/>
                <w:sz w:val="22"/>
                <w:highlight w:val="none"/>
                <w:u w:val="single"/>
              </w:rPr>
              <w:t>一次性曝光，非拼接最大可视空间（FOV）：≥8×8cm</w:t>
            </w:r>
            <w:r>
              <w:rPr>
                <w:rFonts w:hint="eastAsia" w:ascii="宋体" w:hAnsi="宋体" w:eastAsia="宋体" w:cs="宋体"/>
                <w:color w:val="auto"/>
                <w:sz w:val="22"/>
                <w:highlight w:val="none"/>
                <w:u w:val="single"/>
                <w:vertAlign w:val="superscript"/>
              </w:rPr>
              <w:t>3；</w:t>
            </w:r>
            <w:r>
              <w:rPr>
                <w:rFonts w:hint="eastAsia" w:ascii="宋体" w:hAnsi="宋体" w:eastAsia="宋体" w:cs="宋体"/>
                <w:color w:val="auto"/>
                <w:sz w:val="22"/>
                <w:highlight w:val="none"/>
                <w:u w:val="single"/>
              </w:rPr>
              <w:t>三维模式最小空间分辨率≤0. 1mm，全景、头颅像素尺寸≤27微米。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2.10</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获取用于三维影像重建的独立投照影像：≥ 500幅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2.11</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重建时间（从设备曝光到三维影像显现）：≤2min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2.12</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控制面板：多功能彩色触摸屏，并且可以自由转换到设备左右侧。图像化显示设备参数和操作方法；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u w:val="single"/>
                <w:lang w:val="en-GB"/>
              </w:rPr>
            </w:pPr>
            <w:r>
              <w:rPr>
                <w:rFonts w:hint="eastAsia" w:ascii="宋体" w:hAnsi="宋体" w:eastAsia="宋体" w:cs="宋体"/>
                <w:color w:val="auto"/>
                <w:sz w:val="22"/>
                <w:highlight w:val="none"/>
                <w:u w:val="single"/>
              </w:rPr>
              <w:t>▲2.13</w:t>
            </w:r>
          </w:p>
        </w:tc>
        <w:tc>
          <w:tcPr>
            <w:tcW w:w="8474" w:type="dxa"/>
          </w:tcPr>
          <w:p>
            <w:pPr>
              <w:spacing w:line="360" w:lineRule="exact"/>
              <w:rPr>
                <w:rFonts w:hint="eastAsia" w:ascii="宋体" w:hAnsi="宋体" w:eastAsia="宋体" w:cs="宋体"/>
                <w:color w:val="auto"/>
                <w:sz w:val="22"/>
                <w:highlight w:val="none"/>
                <w:u w:val="single"/>
                <w:lang w:val="en-GB"/>
              </w:rPr>
            </w:pPr>
            <w:r>
              <w:rPr>
                <w:rFonts w:hint="eastAsia" w:ascii="宋体" w:hAnsi="宋体" w:eastAsia="宋体" w:cs="宋体"/>
                <w:color w:val="auto"/>
                <w:sz w:val="22"/>
                <w:highlight w:val="none"/>
                <w:u w:val="single"/>
              </w:rPr>
              <w:t>传感器3块：一个CT碘化铯平板影像探测器CMOS技术；一个碘化铯CCD全景影像传感器；一个碘化铯头颅 CCD影像传感器。三维、全景、头颅模式采用不同的探测器曝光以使维持探测器的持久耐用，并且三维与全景自动转换，无须手动插拔。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2.14</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头颅、全景、三维影像灰度分辨率：≥16bit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2.15</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成像技术：通过锥束投照技术，三维数据重建，可以在颌面部任意区域，形成矢状面、冠状面、横断面及3D影像。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▲2.16</w:t>
            </w:r>
          </w:p>
        </w:tc>
        <w:tc>
          <w:tcPr>
            <w:tcW w:w="8474" w:type="dxa"/>
          </w:tcPr>
          <w:p>
            <w:pPr>
              <w:spacing w:line="360" w:lineRule="exact"/>
              <w:rPr>
                <w:rFonts w:hint="eastAsia" w:ascii="宋体" w:hAnsi="宋体" w:eastAsia="宋体" w:cs="宋体"/>
                <w:color w:val="auto"/>
                <w:sz w:val="22"/>
                <w:highlight w:val="none"/>
                <w:u w:val="single"/>
                <w:lang w:val="en-GB"/>
              </w:rPr>
            </w:pPr>
            <w:r>
              <w:rPr>
                <w:rFonts w:hint="eastAsia" w:ascii="宋体" w:hAnsi="宋体" w:eastAsia="宋体" w:cs="宋体"/>
                <w:color w:val="auto"/>
                <w:sz w:val="22"/>
                <w:highlight w:val="none"/>
                <w:u w:val="single"/>
              </w:rPr>
              <w:t>具有自带双向转动平面镜，方便观察。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2.17</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定位方式：带传感器的电动三点自动头颅定位，自动生成个性化患者的颌弓形状，无需手动选择，辅助激光定位。带传感器的咬合定位模块， 可引导技师对患者进行咬合平面的准确定位。三种定位方式的联合应用，可保证患者定位的稳定性，准确性及可重复性。 方便对患者进行治疗前后的对比。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b/>
                <w:color w:val="auto"/>
                <w:sz w:val="22"/>
                <w:highlight w:val="none"/>
                <w:lang w:val="en-GB"/>
              </w:rPr>
            </w:pPr>
            <w:r>
              <w:rPr>
                <w:rFonts w:hint="eastAsia" w:ascii="宋体" w:hAnsi="宋体" w:eastAsia="宋体" w:cs="宋体"/>
                <w:b/>
                <w:color w:val="auto"/>
                <w:sz w:val="22"/>
                <w:highlight w:val="none"/>
              </w:rPr>
              <w:t>三</w:t>
            </w:r>
          </w:p>
        </w:tc>
        <w:tc>
          <w:tcPr>
            <w:tcW w:w="8474" w:type="dxa"/>
          </w:tcPr>
          <w:p>
            <w:pPr>
              <w:spacing w:line="360" w:lineRule="exact"/>
              <w:rPr>
                <w:rFonts w:hint="eastAsia" w:ascii="宋体" w:hAnsi="宋体" w:eastAsia="宋体" w:cs="宋体"/>
                <w:b/>
                <w:color w:val="auto"/>
                <w:sz w:val="22"/>
                <w:highlight w:val="none"/>
                <w:lang w:val="en-GB"/>
              </w:rPr>
            </w:pPr>
            <w:r>
              <w:rPr>
                <w:rFonts w:hint="eastAsia" w:ascii="宋体" w:hAnsi="宋体" w:eastAsia="宋体" w:cs="宋体"/>
                <w:b/>
                <w:color w:val="auto"/>
                <w:sz w:val="22"/>
                <w:highlight w:val="none"/>
              </w:rPr>
              <w:t>主要软件功能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3.1</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具备三维影像中文处理软件，可以实现曲面断层、头影测量、轴向断层、高解像度细节显示等临床诊断功能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Style w:val="80"/>
                <w:rFonts w:hint="eastAsia" w:ascii="宋体" w:hAnsi="宋体" w:eastAsia="宋体" w:cs="宋体"/>
                <w:color w:val="auto"/>
                <w:sz w:val="22"/>
                <w:highlight w:val="none"/>
              </w:rPr>
              <w:t>★</w:t>
            </w:r>
            <w:r>
              <w:rPr>
                <w:rFonts w:hint="eastAsia" w:ascii="宋体" w:hAnsi="宋体" w:eastAsia="宋体" w:cs="宋体"/>
                <w:color w:val="auto"/>
                <w:sz w:val="22"/>
                <w:highlight w:val="none"/>
              </w:rPr>
              <w:t>3.2</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设计开发三维诊断软件，满足口腔颌面外科、牙体牙髓、牙周、修复科等各科临床诊断应用，具备设计中文版种植体虚拟设计软件，支持术前种植体虚拟设计，并支持种植体手术导板制作；支持CAD/CAM图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3.3</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软件具有3D重组图像：有标准冠状面图像，有标准矢状面图像，有标准轴面图像，有多平面重组图像。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3.4</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具备2D图像编辑工具：移动，图像翻转，放大，对比度调节，亮度调节，图像信息。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3.5</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具备测量工具：距离，连续距离，角度测量，骨密度测量，感兴趣区（ROI）3D影像值测量。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3.6</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具备画图标注功能：可在图像上添加箭头，线图以及标注。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3.7</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具备3D影像调节（可还原软组织轮廓）。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3.8</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系统标准配置软件功能：“容积数据”多平面重建功能，“容积数据”分析功能，3D容积测量功能，3D摘除切割功能。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3.9</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具备多种图像后处理功能：容积再现（VR）、最大密度投影( MIP)、最小密度投影（minIP）、模拟X线投照（X-Ray）。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3.10</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影像数据输出功能：可实现二维，三维图像输出和打印，屏幕快照，另存为等。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3.11</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 xml:space="preserve">具备准视图（矢状面、冠状面、轴面、三维重建、多维图像、标准头颅定位正侧位、标准曲面断层影像）。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3.12</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具备选择性地断面影像输出及打印。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3.13</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具备下颌神经管着色（可以根据测量地直径画出及着色）。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u w:val="none"/>
                <w:lang w:val="en-GB"/>
              </w:rPr>
            </w:pPr>
            <w:r>
              <w:rPr>
                <w:rStyle w:val="80"/>
                <w:rFonts w:hint="eastAsia" w:ascii="宋体" w:hAnsi="宋体" w:eastAsia="宋体" w:cs="宋体"/>
                <w:color w:val="auto"/>
                <w:sz w:val="22"/>
                <w:highlight w:val="none"/>
                <w:u w:val="none"/>
              </w:rPr>
              <w:t>★</w:t>
            </w:r>
            <w:r>
              <w:rPr>
                <w:rFonts w:hint="eastAsia" w:ascii="宋体" w:hAnsi="宋体" w:eastAsia="宋体" w:cs="宋体"/>
                <w:color w:val="auto"/>
                <w:sz w:val="22"/>
                <w:highlight w:val="none"/>
                <w:u w:val="none"/>
              </w:rPr>
              <w:t>3.14</w:t>
            </w:r>
          </w:p>
        </w:tc>
        <w:tc>
          <w:tcPr>
            <w:tcW w:w="8474" w:type="dxa"/>
          </w:tcPr>
          <w:p>
            <w:pPr>
              <w:spacing w:line="360" w:lineRule="exact"/>
              <w:rPr>
                <w:rFonts w:hint="eastAsia" w:ascii="宋体" w:hAnsi="宋体" w:eastAsia="宋体" w:cs="宋体"/>
                <w:color w:val="auto"/>
                <w:sz w:val="22"/>
                <w:highlight w:val="none"/>
                <w:u w:val="none"/>
                <w:lang w:val="en-GB"/>
              </w:rPr>
            </w:pPr>
            <w:r>
              <w:rPr>
                <w:rFonts w:hint="eastAsia" w:ascii="宋体" w:hAnsi="宋体" w:eastAsia="宋体" w:cs="宋体"/>
                <w:color w:val="auto"/>
                <w:sz w:val="22"/>
                <w:highlight w:val="none"/>
                <w:u w:val="none"/>
              </w:rPr>
              <w:t>自带种植软件，数据库包含植体品牌≥70种，植体型号≥100种。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3.15</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配备一个原厂三维图像数据处理工作站：最低配置和性能：CPU：4核（盒装），内存：DDR2 4GB，硬盘：1T，显存容量：2G 独显。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44" w:type="dxa"/>
          </w:tcPr>
          <w:p>
            <w:pPr>
              <w:spacing w:line="360" w:lineRule="exact"/>
              <w:jc w:val="center"/>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3.16</w:t>
            </w:r>
          </w:p>
        </w:tc>
        <w:tc>
          <w:tcPr>
            <w:tcW w:w="8474" w:type="dxa"/>
          </w:tcPr>
          <w:p>
            <w:pPr>
              <w:spacing w:line="360" w:lineRule="exact"/>
              <w:rPr>
                <w:rFonts w:hint="eastAsia" w:ascii="宋体" w:hAnsi="宋体" w:eastAsia="宋体" w:cs="宋体"/>
                <w:color w:val="auto"/>
                <w:sz w:val="22"/>
                <w:highlight w:val="none"/>
                <w:lang w:val="en-GB"/>
              </w:rPr>
            </w:pPr>
            <w:r>
              <w:rPr>
                <w:rFonts w:hint="eastAsia" w:ascii="宋体" w:hAnsi="宋体" w:eastAsia="宋体" w:cs="宋体"/>
                <w:color w:val="auto"/>
                <w:sz w:val="22"/>
                <w:highlight w:val="none"/>
              </w:rPr>
              <w:t>患者体位：站式或坐式方便轮椅患者，同时具备TEST测试按钮。</w:t>
            </w:r>
          </w:p>
        </w:tc>
      </w:tr>
    </w:tbl>
    <w:p>
      <w:pPr>
        <w:snapToGrid w:val="0"/>
        <w:spacing w:line="36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其他</w:t>
      </w:r>
    </w:p>
    <w:p>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1.除招标文件中所明确的采购需求外，欢迎其他能满足本项目采购需求且性所明确采购需求的产品参加投标报价。同时在采购需求偏离表中作出详细对比说明。</w:t>
      </w:r>
    </w:p>
    <w:p>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2.带“★”的为重要条款。带“▲且加下划线”的有关技术和商务条款为实质性条款，投标人必须做出实质性响应，否则视为投标无效。</w:t>
      </w:r>
    </w:p>
    <w:p>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p>
    <w:p>
      <w:pPr>
        <w:snapToGrid w:val="0"/>
        <w:spacing w:line="360" w:lineRule="exact"/>
        <w:ind w:firstLine="418" w:firstLine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szCs w:val="22"/>
          <w:highlight w:val="none"/>
        </w:rPr>
        <w:t>4.技术部分中需要提供</w:t>
      </w:r>
      <w:r>
        <w:rPr>
          <w:rFonts w:hint="eastAsia" w:ascii="宋体" w:hAnsi="宋体" w:eastAsia="宋体" w:cs="宋体"/>
          <w:b/>
          <w:bCs/>
          <w:color w:val="auto"/>
          <w:spacing w:val="-6"/>
          <w:sz w:val="22"/>
          <w:highlight w:val="none"/>
        </w:rPr>
        <w:t>的证明材料有有效期的必须在有效期内，否则视为未提供。</w:t>
      </w:r>
    </w:p>
    <w:p>
      <w:pPr>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br w:type="page"/>
      </w:r>
    </w:p>
    <w:p>
      <w:pPr>
        <w:snapToGrid w:val="0"/>
        <w:spacing w:line="400" w:lineRule="exact"/>
        <w:jc w:val="center"/>
        <w:outlineLvl w:val="0"/>
        <w:rPr>
          <w:rFonts w:hint="eastAsia" w:ascii="宋体" w:hAnsi="宋体" w:eastAsia="宋体" w:cs="宋体"/>
          <w:b/>
          <w:color w:val="auto"/>
          <w:sz w:val="32"/>
          <w:highlight w:val="none"/>
        </w:rPr>
      </w:pPr>
      <w:bookmarkStart w:id="109" w:name="_Toc23602"/>
      <w:r>
        <w:rPr>
          <w:rFonts w:hint="eastAsia" w:ascii="宋体" w:hAnsi="宋体" w:eastAsia="宋体" w:cs="宋体"/>
          <w:b/>
          <w:color w:val="auto"/>
          <w:sz w:val="32"/>
          <w:highlight w:val="none"/>
        </w:rPr>
        <w:t>第六部分 评标原则及方法</w:t>
      </w:r>
      <w:bookmarkEnd w:id="109"/>
    </w:p>
    <w:p>
      <w:pPr>
        <w:pStyle w:val="11"/>
        <w:adjustRightInd w:val="0"/>
        <w:snapToGrid w:val="0"/>
        <w:spacing w:after="0" w:line="360" w:lineRule="exact"/>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根据《中华人民共和国政府采购法》等相关法规特制定以下评标办法。</w:t>
      </w:r>
    </w:p>
    <w:p>
      <w:pPr>
        <w:numPr>
          <w:ilvl w:val="0"/>
          <w:numId w:val="9"/>
        </w:numPr>
        <w:spacing w:line="360" w:lineRule="exact"/>
        <w:ind w:firstLine="440" w:firstLineChars="200"/>
        <w:outlineLvl w:val="1"/>
        <w:rPr>
          <w:rFonts w:hint="eastAsia" w:ascii="宋体" w:hAnsi="宋体" w:eastAsia="宋体" w:cs="宋体"/>
          <w:color w:val="auto"/>
          <w:sz w:val="22"/>
          <w:highlight w:val="none"/>
        </w:rPr>
      </w:pPr>
      <w:bookmarkStart w:id="110" w:name="_Toc20305"/>
      <w:r>
        <w:rPr>
          <w:rFonts w:hint="eastAsia" w:ascii="宋体" w:hAnsi="宋体" w:eastAsia="宋体" w:cs="宋体"/>
          <w:color w:val="auto"/>
          <w:sz w:val="22"/>
          <w:highlight w:val="none"/>
        </w:rPr>
        <w:t>总  则</w:t>
      </w:r>
      <w:bookmarkEnd w:id="110"/>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outlineLvl w:val="1"/>
        <w:rPr>
          <w:rFonts w:hint="eastAsia" w:ascii="宋体" w:hAnsi="宋体" w:eastAsia="宋体" w:cs="宋体"/>
          <w:color w:val="auto"/>
          <w:sz w:val="22"/>
          <w:highlight w:val="none"/>
        </w:rPr>
      </w:pPr>
      <w:bookmarkStart w:id="111" w:name="_Toc21489"/>
      <w:r>
        <w:rPr>
          <w:rFonts w:hint="eastAsia" w:ascii="宋体" w:hAnsi="宋体" w:eastAsia="宋体" w:cs="宋体"/>
          <w:color w:val="auto"/>
          <w:sz w:val="22"/>
          <w:highlight w:val="none"/>
        </w:rPr>
        <w:t>二.评标组织</w:t>
      </w:r>
      <w:bookmarkEnd w:id="111"/>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评标工作由采购人依法组建的评审小组负责，评标全过程由有关部门指导监督。</w:t>
      </w:r>
    </w:p>
    <w:p>
      <w:pPr>
        <w:spacing w:line="360" w:lineRule="exact"/>
        <w:ind w:firstLine="440" w:firstLineChars="200"/>
        <w:outlineLvl w:val="1"/>
        <w:rPr>
          <w:rFonts w:hint="eastAsia" w:ascii="宋体" w:hAnsi="宋体" w:eastAsia="宋体" w:cs="宋体"/>
          <w:color w:val="auto"/>
          <w:sz w:val="22"/>
          <w:highlight w:val="none"/>
        </w:rPr>
      </w:pPr>
      <w:bookmarkStart w:id="112" w:name="_Toc7183"/>
      <w:r>
        <w:rPr>
          <w:rFonts w:hint="eastAsia" w:ascii="宋体" w:hAnsi="宋体" w:eastAsia="宋体" w:cs="宋体"/>
          <w:color w:val="auto"/>
          <w:sz w:val="22"/>
          <w:highlight w:val="none"/>
        </w:rPr>
        <w:t>三.评标程序</w:t>
      </w:r>
      <w:bookmarkEnd w:id="112"/>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outlineLvl w:val="1"/>
        <w:rPr>
          <w:rFonts w:hint="eastAsia" w:ascii="宋体" w:hAnsi="宋体" w:eastAsia="宋体" w:cs="宋体"/>
          <w:color w:val="auto"/>
          <w:sz w:val="22"/>
          <w:highlight w:val="none"/>
        </w:rPr>
      </w:pPr>
      <w:bookmarkStart w:id="113" w:name="_Toc12777"/>
      <w:r>
        <w:rPr>
          <w:rFonts w:hint="eastAsia" w:ascii="宋体" w:hAnsi="宋体" w:eastAsia="宋体" w:cs="宋体"/>
          <w:color w:val="auto"/>
          <w:sz w:val="22"/>
          <w:highlight w:val="none"/>
        </w:rPr>
        <w:t>四.评标办法</w:t>
      </w:r>
      <w:bookmarkEnd w:id="113"/>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评分细则</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1.商务和技术分的评定</w:t>
      </w:r>
    </w:p>
    <w:p>
      <w:pPr>
        <w:pStyle w:val="59"/>
        <w:spacing w:line="360" w:lineRule="exact"/>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7"/>
        <w:gridCol w:w="605"/>
        <w:gridCol w:w="602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107" w:type="dxa"/>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评审因素</w:t>
            </w:r>
          </w:p>
        </w:tc>
        <w:tc>
          <w:tcPr>
            <w:tcW w:w="605" w:type="dxa"/>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6022" w:type="dxa"/>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c>
          <w:tcPr>
            <w:tcW w:w="845" w:type="dxa"/>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07"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tc>
        <w:tc>
          <w:tcPr>
            <w:tcW w:w="605" w:type="dxa"/>
            <w:vAlign w:val="center"/>
          </w:tcPr>
          <w:p>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022" w:type="dxa"/>
            <w:vAlign w:val="center"/>
          </w:tcPr>
          <w:p>
            <w:pPr>
              <w:widowControl/>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制造商</w:t>
            </w:r>
            <w:r>
              <w:rPr>
                <w:rFonts w:hint="eastAsia" w:ascii="宋体" w:hAnsi="宋体" w:eastAsia="宋体" w:cs="宋体"/>
                <w:color w:val="auto"/>
                <w:sz w:val="22"/>
                <w:szCs w:val="22"/>
                <w:highlight w:val="none"/>
              </w:rPr>
              <w:t>自20</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年1月1日以来（以合同签订时间为准）同类合同业绩（以提供的合同扫描件为准）：每提供1份合同业绩得1分，最高得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c>
          <w:tcPr>
            <w:tcW w:w="845"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107" w:type="dxa"/>
            <w:vAlign w:val="center"/>
          </w:tcPr>
          <w:p>
            <w:pPr>
              <w:tabs>
                <w:tab w:val="left" w:pos="2150"/>
              </w:tabs>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质保期</w:t>
            </w:r>
          </w:p>
        </w:tc>
        <w:tc>
          <w:tcPr>
            <w:tcW w:w="605" w:type="dxa"/>
            <w:vAlign w:val="center"/>
          </w:tcPr>
          <w:p>
            <w:pPr>
              <w:tabs>
                <w:tab w:val="left" w:pos="2150"/>
              </w:tabs>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022" w:type="dxa"/>
            <w:vAlign w:val="center"/>
          </w:tcPr>
          <w:p>
            <w:pPr>
              <w:tabs>
                <w:tab w:val="left" w:pos="2150"/>
              </w:tabs>
              <w:spacing w:line="360" w:lineRule="exact"/>
              <w:jc w:val="left"/>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kern w:val="0"/>
                <w:sz w:val="22"/>
                <w:szCs w:val="22"/>
                <w:highlight w:val="none"/>
              </w:rPr>
              <w:t>所有产品质保期满足招标文件要求的基础上，每延长一年加1分，最高得</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分，延长时间不足一年不计入</w:t>
            </w:r>
            <w:r>
              <w:rPr>
                <w:rFonts w:hint="eastAsia" w:ascii="宋体" w:hAnsi="宋体" w:eastAsia="宋体" w:cs="宋体"/>
                <w:color w:val="auto"/>
                <w:kern w:val="0"/>
                <w:sz w:val="22"/>
                <w:szCs w:val="22"/>
                <w:highlight w:val="none"/>
                <w:lang w:val="en-US" w:eastAsia="zh-CN"/>
              </w:rPr>
              <w:t>分值计算</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提供承诺书（格式见附件），否则不得分。</w:t>
            </w:r>
          </w:p>
        </w:tc>
        <w:tc>
          <w:tcPr>
            <w:tcW w:w="845" w:type="dxa"/>
            <w:vAlign w:val="center"/>
          </w:tcPr>
          <w:p>
            <w:pPr>
              <w:spacing w:line="360" w:lineRule="exact"/>
              <w:jc w:val="left"/>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07" w:type="dxa"/>
            <w:vAlign w:val="center"/>
          </w:tcPr>
          <w:p>
            <w:pPr>
              <w:tabs>
                <w:tab w:val="left" w:pos="2150"/>
              </w:tabs>
              <w:spacing w:line="3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b w:val="0"/>
                <w:bCs w:val="0"/>
                <w:color w:val="auto"/>
                <w:kern w:val="0"/>
                <w:sz w:val="22"/>
                <w:szCs w:val="22"/>
                <w:highlight w:val="none"/>
                <w:lang w:val="en-US" w:eastAsia="zh-CN"/>
              </w:rPr>
              <w:t>政策功能</w:t>
            </w:r>
          </w:p>
        </w:tc>
        <w:tc>
          <w:tcPr>
            <w:tcW w:w="605" w:type="dxa"/>
            <w:vAlign w:val="center"/>
          </w:tcPr>
          <w:p>
            <w:pPr>
              <w:tabs>
                <w:tab w:val="left" w:pos="2150"/>
              </w:tabs>
              <w:spacing w:line="3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6022" w:type="dxa"/>
            <w:vAlign w:val="center"/>
          </w:tcPr>
          <w:p>
            <w:pPr>
              <w:widowControl/>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lang w:val="en-US" w:eastAsia="zh-CN"/>
              </w:rPr>
              <w:t>投标产品属于政府采购品目清单范围且提供国家确定的认证机构出具的处于有效期之内的节能产品认证证书或环境标志产品认证证书，每项产品得0.5分，最高得1分</w:t>
            </w:r>
            <w:r>
              <w:rPr>
                <w:rFonts w:hint="eastAsia" w:ascii="宋体" w:hAnsi="宋体" w:eastAsia="宋体" w:cs="宋体"/>
                <w:color w:val="auto"/>
                <w:sz w:val="22"/>
                <w:szCs w:val="22"/>
                <w:highlight w:val="none"/>
              </w:rPr>
              <w:t>（投标产品属于节能产品政府采购品目清单中强制采购的除外）</w:t>
            </w:r>
            <w:r>
              <w:rPr>
                <w:rFonts w:hint="eastAsia" w:ascii="宋体" w:hAnsi="宋体" w:eastAsia="宋体" w:cs="宋体"/>
                <w:b w:val="0"/>
                <w:bCs w:val="0"/>
                <w:color w:val="auto"/>
                <w:kern w:val="0"/>
                <w:sz w:val="22"/>
                <w:szCs w:val="22"/>
                <w:highlight w:val="none"/>
                <w:lang w:val="en-US" w:eastAsia="zh-CN"/>
              </w:rPr>
              <w:t>。</w:t>
            </w:r>
          </w:p>
        </w:tc>
        <w:tc>
          <w:tcPr>
            <w:tcW w:w="845" w:type="dxa"/>
            <w:vAlign w:val="center"/>
          </w:tcPr>
          <w:p>
            <w:pPr>
              <w:spacing w:line="360" w:lineRule="exact"/>
              <w:jc w:val="left"/>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107" w:type="dxa"/>
            <w:vAlign w:val="center"/>
          </w:tcPr>
          <w:p>
            <w:pPr>
              <w:adjustRightInd w:val="0"/>
              <w:snapToGrid w:val="0"/>
              <w:spacing w:line="288" w:lineRule="auto"/>
              <w:jc w:val="center"/>
              <w:rPr>
                <w:rFonts w:hint="eastAsia" w:ascii="宋体" w:hAnsi="宋体" w:eastAsia="宋体" w:cs="宋体"/>
                <w:b w:val="0"/>
                <w:bCs w:val="0"/>
                <w:color w:val="auto"/>
                <w:spacing w:val="-6"/>
                <w:sz w:val="22"/>
                <w:szCs w:val="22"/>
                <w:highlight w:val="none"/>
              </w:rPr>
            </w:pPr>
            <w:r>
              <w:rPr>
                <w:rFonts w:hint="eastAsia" w:ascii="宋体" w:hAnsi="宋体" w:eastAsia="宋体" w:cs="宋体"/>
                <w:b w:val="0"/>
                <w:bCs w:val="0"/>
                <w:color w:val="auto"/>
                <w:sz w:val="22"/>
                <w:szCs w:val="22"/>
                <w:highlight w:val="none"/>
              </w:rPr>
              <w:t>技术响应程度</w:t>
            </w:r>
          </w:p>
        </w:tc>
        <w:tc>
          <w:tcPr>
            <w:tcW w:w="605" w:type="dxa"/>
            <w:vAlign w:val="center"/>
          </w:tcPr>
          <w:p>
            <w:pPr>
              <w:adjustRightInd w:val="0"/>
              <w:snapToGrid w:val="0"/>
              <w:spacing w:line="288" w:lineRule="auto"/>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40</w:t>
            </w:r>
          </w:p>
        </w:tc>
        <w:tc>
          <w:tcPr>
            <w:tcW w:w="6022" w:type="dxa"/>
            <w:vAlign w:val="center"/>
          </w:tcPr>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不符合（负偏离）技术要求中标注“▲</w:t>
            </w:r>
            <w:r>
              <w:rPr>
                <w:rFonts w:hint="eastAsia" w:ascii="宋体" w:hAnsi="宋体" w:eastAsia="宋体" w:cs="宋体"/>
                <w:color w:val="auto"/>
                <w:sz w:val="22"/>
                <w:szCs w:val="22"/>
                <w:highlight w:val="none"/>
                <w:lang w:val="en-US" w:eastAsia="zh-CN"/>
              </w:rPr>
              <w:t>且加下划线</w:t>
            </w:r>
            <w:r>
              <w:rPr>
                <w:rFonts w:hint="eastAsia" w:ascii="宋体" w:hAnsi="宋体" w:eastAsia="宋体" w:cs="宋体"/>
                <w:color w:val="auto"/>
                <w:sz w:val="22"/>
                <w:szCs w:val="22"/>
                <w:highlight w:val="none"/>
              </w:rPr>
              <w:t>”条款（不可偏离）的投标无效；</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满足招标文件明确的全部技术条款要求的该项得满分；</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标注“★”条款低于技术要求（负偏离）的每项扣3分，未标注“★”条款低于技术要求（负偏离）的每项扣2分；</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负偏离扣分超过</w:t>
            </w:r>
            <w:r>
              <w:rPr>
                <w:rFonts w:hint="eastAsia" w:ascii="宋体" w:hAnsi="宋体" w:eastAsia="宋体" w:cs="宋体"/>
                <w:b/>
                <w:bCs/>
                <w:color w:val="auto"/>
                <w:sz w:val="22"/>
                <w:szCs w:val="22"/>
                <w:highlight w:val="none"/>
                <w:lang w:val="en-US" w:eastAsia="zh-CN"/>
              </w:rPr>
              <w:t>40</w:t>
            </w:r>
            <w:r>
              <w:rPr>
                <w:rFonts w:hint="eastAsia" w:ascii="宋体" w:hAnsi="宋体" w:eastAsia="宋体" w:cs="宋体"/>
                <w:b/>
                <w:bCs/>
                <w:color w:val="auto"/>
                <w:sz w:val="22"/>
                <w:szCs w:val="22"/>
                <w:highlight w:val="none"/>
              </w:rPr>
              <w:t>分</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含本数</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的，视为采购人不能接受的附加条件</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投标无效</w:t>
            </w:r>
            <w:r>
              <w:rPr>
                <w:rFonts w:hint="eastAsia" w:ascii="宋体" w:hAnsi="宋体" w:eastAsia="宋体" w:cs="宋体"/>
                <w:b/>
                <w:bCs/>
                <w:color w:val="auto"/>
                <w:sz w:val="22"/>
                <w:szCs w:val="22"/>
                <w:highlight w:val="none"/>
              </w:rPr>
              <w:t>。</w:t>
            </w:r>
          </w:p>
        </w:tc>
        <w:tc>
          <w:tcPr>
            <w:tcW w:w="845" w:type="dxa"/>
            <w:vAlign w:val="center"/>
          </w:tcPr>
          <w:p>
            <w:pPr>
              <w:spacing w:line="3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107"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货物的先进性</w:t>
            </w:r>
          </w:p>
        </w:tc>
        <w:tc>
          <w:tcPr>
            <w:tcW w:w="605" w:type="dxa"/>
            <w:vAlign w:val="center"/>
          </w:tcPr>
          <w:p>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6022" w:type="dxa"/>
            <w:vAlign w:val="center"/>
          </w:tcPr>
          <w:p>
            <w:pPr>
              <w:adjustRightInd w:val="0"/>
              <w:snapToGrid w:val="0"/>
              <w:spacing w:line="288"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所投货物技术性能及功能的先进程度评分。技术性能及功能先进充分的得3分，技术性能及功能较先进的得2分；技术性能及功能基本满足采购人要求的得1分；技术性能及功能不能完全满足采购人要求的得0.5分；存在较大的缺陷、技术性能及功能与采购人要求差距较大的得0分。</w:t>
            </w:r>
          </w:p>
        </w:tc>
        <w:tc>
          <w:tcPr>
            <w:tcW w:w="845"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6</w:t>
            </w:r>
          </w:p>
        </w:tc>
        <w:tc>
          <w:tcPr>
            <w:tcW w:w="1107" w:type="dxa"/>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投标货物的总体质量性能</w:t>
            </w:r>
          </w:p>
        </w:tc>
        <w:tc>
          <w:tcPr>
            <w:tcW w:w="605" w:type="dxa"/>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w:t>
            </w:r>
          </w:p>
        </w:tc>
        <w:tc>
          <w:tcPr>
            <w:tcW w:w="6022" w:type="dxa"/>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rPr>
              <w:t>根据投标货物的总体质量性能打分：总体质量性能强的得4分，总体质量性能较强得3分，总体质量性能一般的得2分，总体质量性能不强的得1分，没有得0分。</w:t>
            </w:r>
          </w:p>
        </w:tc>
        <w:tc>
          <w:tcPr>
            <w:tcW w:w="845" w:type="dxa"/>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7</w:t>
            </w:r>
          </w:p>
        </w:tc>
        <w:tc>
          <w:tcPr>
            <w:tcW w:w="1107" w:type="dxa"/>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项目实施人员</w:t>
            </w:r>
          </w:p>
        </w:tc>
        <w:tc>
          <w:tcPr>
            <w:tcW w:w="605" w:type="dxa"/>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c>
          <w:tcPr>
            <w:tcW w:w="6022" w:type="dxa"/>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项目实施人员技术服务人员情况，提供姓名、工作经验、资质证书情况，人员配备充足售后服务经验丰富得2分，人员配备售后服务经验比较丰富得1.5分，人员配备和售后服务一般得1分，人员配备不足售后服务经验差0.5分，无人员配备得0分。</w:t>
            </w:r>
          </w:p>
        </w:tc>
        <w:tc>
          <w:tcPr>
            <w:tcW w:w="845" w:type="dxa"/>
            <w:vAlign w:val="center"/>
          </w:tcPr>
          <w:p>
            <w:pPr>
              <w:spacing w:line="360" w:lineRule="exact"/>
              <w:jc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1107"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成本</w:t>
            </w:r>
          </w:p>
        </w:tc>
        <w:tc>
          <w:tcPr>
            <w:tcW w:w="605"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4</w:t>
            </w:r>
          </w:p>
        </w:tc>
        <w:tc>
          <w:tcPr>
            <w:tcW w:w="6022" w:type="dxa"/>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运行成本（包括维保价格、年运行费用、消耗品或易耗品价格等）：对投标机型的维保价格、年运行费用、消耗品或易耗品价格，维修服务费等进行打分：报价合理维修成本低得4分；报价和维修成本较合理得3分，报价和维修成本一般得2分，维修成本报价不合理得1分，无维修报价得0分。</w:t>
            </w:r>
          </w:p>
        </w:tc>
        <w:tc>
          <w:tcPr>
            <w:tcW w:w="845"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9</w:t>
            </w:r>
          </w:p>
        </w:tc>
        <w:tc>
          <w:tcPr>
            <w:tcW w:w="1107" w:type="dxa"/>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售后服务</w:t>
            </w:r>
          </w:p>
        </w:tc>
        <w:tc>
          <w:tcPr>
            <w:tcW w:w="605" w:type="dxa"/>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w:t>
            </w:r>
          </w:p>
        </w:tc>
        <w:tc>
          <w:tcPr>
            <w:tcW w:w="6022" w:type="dxa"/>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售后服务方案（包括质保期内和质保期外），包括但不限于服务响应时间、故障解决方案，响应时间短，售后服务机构备品备件储备情况，以及按采购人</w:t>
            </w:r>
            <w:r>
              <w:rPr>
                <w:rFonts w:hint="eastAsia" w:ascii="宋体" w:hAnsi="宋体" w:eastAsia="宋体" w:cs="宋体"/>
                <w:color w:val="auto"/>
                <w:sz w:val="22"/>
                <w:highlight w:val="none"/>
                <w:lang w:val="en-US" w:eastAsia="zh-CN"/>
              </w:rPr>
              <w:t>临床需求提供</w:t>
            </w:r>
            <w:r>
              <w:rPr>
                <w:rFonts w:hint="eastAsia" w:ascii="宋体" w:hAnsi="宋体" w:cs="宋体"/>
                <w:color w:val="auto"/>
                <w:sz w:val="22"/>
                <w:highlight w:val="none"/>
                <w:lang w:val="en-US" w:eastAsia="zh-CN"/>
              </w:rPr>
              <w:t>相应</w:t>
            </w:r>
            <w:r>
              <w:rPr>
                <w:rFonts w:hint="eastAsia" w:ascii="宋体" w:hAnsi="宋体" w:eastAsia="宋体" w:cs="宋体"/>
                <w:color w:val="auto"/>
                <w:sz w:val="22"/>
                <w:highlight w:val="none"/>
              </w:rPr>
              <w:t>解决方案</w:t>
            </w:r>
            <w:r>
              <w:rPr>
                <w:rFonts w:hint="eastAsia" w:ascii="宋体" w:hAnsi="宋体" w:cs="宋体"/>
                <w:color w:val="auto"/>
                <w:sz w:val="22"/>
                <w:highlight w:val="none"/>
                <w:lang w:val="en-US" w:eastAsia="zh-CN"/>
              </w:rPr>
              <w:t>等</w:t>
            </w:r>
            <w:r>
              <w:rPr>
                <w:rFonts w:hint="eastAsia" w:ascii="宋体" w:hAnsi="宋体" w:eastAsia="宋体" w:cs="宋体"/>
                <w:b w:val="0"/>
                <w:bCs w:val="0"/>
                <w:color w:val="auto"/>
                <w:kern w:val="0"/>
                <w:sz w:val="22"/>
                <w:szCs w:val="22"/>
                <w:highlight w:val="none"/>
                <w:lang w:val="en-US" w:eastAsia="zh-CN"/>
              </w:rPr>
              <w:t>：方案合理得4分，响应时间一般，方案较合理得3分，响应时间长，方案一般得2分，响应时间长，方案差得1分，无方案得0分。</w:t>
            </w:r>
          </w:p>
        </w:tc>
        <w:tc>
          <w:tcPr>
            <w:tcW w:w="845" w:type="dxa"/>
            <w:vAlign w:val="center"/>
          </w:tcPr>
          <w:p>
            <w:pPr>
              <w:spacing w:line="360" w:lineRule="exact"/>
              <w:jc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10</w:t>
            </w:r>
          </w:p>
        </w:tc>
        <w:tc>
          <w:tcPr>
            <w:tcW w:w="1107"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安装调试方案</w:t>
            </w:r>
          </w:p>
        </w:tc>
        <w:tc>
          <w:tcPr>
            <w:tcW w:w="605" w:type="dxa"/>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3</w:t>
            </w:r>
          </w:p>
        </w:tc>
        <w:tc>
          <w:tcPr>
            <w:tcW w:w="6022" w:type="dxa"/>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包括对场地环境的了解、人员的安排、时间进度的规划，对设备的调试进度安排，调试的步骤、措施，问题的解决方案等：方案考虑充分措施有效得</w:t>
            </w:r>
            <w:r>
              <w:rPr>
                <w:rFonts w:hint="eastAsia" w:ascii="宋体" w:hAnsi="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lang w:val="en-US" w:eastAsia="zh-CN"/>
              </w:rPr>
              <w:t>分，方案考虑较充分措施较有效得</w:t>
            </w:r>
            <w:r>
              <w:rPr>
                <w:rFonts w:hint="eastAsia" w:ascii="宋体" w:hAnsi="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lang w:val="en-US" w:eastAsia="zh-CN"/>
              </w:rPr>
              <w:t>分，方案措施一般得</w:t>
            </w:r>
            <w:r>
              <w:rPr>
                <w:rFonts w:hint="eastAsia" w:ascii="宋体" w:hAnsi="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lang w:val="en-US" w:eastAsia="zh-CN"/>
              </w:rPr>
              <w:t>分，方案内容措施简单得</w:t>
            </w:r>
            <w:r>
              <w:rPr>
                <w:rFonts w:hint="eastAsia" w:ascii="宋体" w:hAnsi="宋体" w:cs="宋体"/>
                <w:b w:val="0"/>
                <w:bCs w:val="0"/>
                <w:color w:val="auto"/>
                <w:kern w:val="0"/>
                <w:sz w:val="22"/>
                <w:szCs w:val="22"/>
                <w:highlight w:val="none"/>
                <w:lang w:val="en-US" w:eastAsia="zh-CN"/>
              </w:rPr>
              <w:t>0.5</w:t>
            </w:r>
            <w:r>
              <w:rPr>
                <w:rFonts w:hint="eastAsia" w:ascii="宋体" w:hAnsi="宋体" w:eastAsia="宋体" w:cs="宋体"/>
                <w:b w:val="0"/>
                <w:bCs w:val="0"/>
                <w:color w:val="auto"/>
                <w:kern w:val="0"/>
                <w:sz w:val="22"/>
                <w:szCs w:val="22"/>
                <w:highlight w:val="none"/>
                <w:lang w:val="en-US" w:eastAsia="zh-CN"/>
              </w:rPr>
              <w:t>分，无方案得0分</w:t>
            </w:r>
            <w:r>
              <w:rPr>
                <w:rFonts w:hint="eastAsia" w:ascii="宋体" w:hAnsi="宋体" w:cs="宋体"/>
                <w:b w:val="0"/>
                <w:bCs w:val="0"/>
                <w:color w:val="auto"/>
                <w:kern w:val="0"/>
                <w:sz w:val="22"/>
                <w:szCs w:val="22"/>
                <w:highlight w:val="none"/>
                <w:lang w:val="en-US" w:eastAsia="zh-CN"/>
              </w:rPr>
              <w:t>。</w:t>
            </w:r>
          </w:p>
        </w:tc>
        <w:tc>
          <w:tcPr>
            <w:tcW w:w="845" w:type="dxa"/>
            <w:vAlign w:val="center"/>
          </w:tcPr>
          <w:p>
            <w:pPr>
              <w:pStyle w:val="2"/>
              <w:spacing w:line="360" w:lineRule="exact"/>
              <w:ind w:left="416" w:leftChars="0" w:hanging="416" w:hangingChars="200"/>
              <w:jc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11</w:t>
            </w:r>
          </w:p>
        </w:tc>
        <w:tc>
          <w:tcPr>
            <w:tcW w:w="1107" w:type="dxa"/>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培训服务</w:t>
            </w:r>
          </w:p>
        </w:tc>
        <w:tc>
          <w:tcPr>
            <w:tcW w:w="605" w:type="dxa"/>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3</w:t>
            </w:r>
          </w:p>
        </w:tc>
        <w:tc>
          <w:tcPr>
            <w:tcW w:w="6022" w:type="dxa"/>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包括但不限于培训对象、课时安排、师资力量安排等，方案考虑充分安排有效得3分，方案合理安排较充分有效的得2分，方案内容安排一般得1分，方案内容简单，安排不充分的得0.5分，无方案得0分。</w:t>
            </w:r>
          </w:p>
        </w:tc>
        <w:tc>
          <w:tcPr>
            <w:tcW w:w="845" w:type="dxa"/>
            <w:vAlign w:val="center"/>
          </w:tcPr>
          <w:p>
            <w:pPr>
              <w:pStyle w:val="2"/>
              <w:spacing w:line="360" w:lineRule="exact"/>
              <w:ind w:left="416" w:leftChars="0" w:hanging="416" w:hangingChars="200"/>
              <w:jc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Align w:val="center"/>
          </w:tcPr>
          <w:p>
            <w:pPr>
              <w:spacing w:line="360" w:lineRule="exact"/>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12</w:t>
            </w:r>
          </w:p>
        </w:tc>
        <w:tc>
          <w:tcPr>
            <w:tcW w:w="1107" w:type="dxa"/>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优惠条件</w:t>
            </w:r>
          </w:p>
        </w:tc>
        <w:tc>
          <w:tcPr>
            <w:tcW w:w="605" w:type="dxa"/>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2</w:t>
            </w:r>
          </w:p>
        </w:tc>
        <w:tc>
          <w:tcPr>
            <w:tcW w:w="6022" w:type="dxa"/>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zh-CN" w:eastAsia="zh-CN"/>
              </w:rPr>
              <w:t>根据投标人提供的优惠条件</w:t>
            </w:r>
            <w:r>
              <w:rPr>
                <w:rFonts w:hint="eastAsia" w:ascii="宋体" w:hAnsi="宋体" w:eastAsia="宋体" w:cs="宋体"/>
                <w:b w:val="0"/>
                <w:bCs w:val="0"/>
                <w:color w:val="auto"/>
                <w:kern w:val="0"/>
                <w:sz w:val="22"/>
                <w:szCs w:val="22"/>
                <w:highlight w:val="none"/>
                <w:lang w:val="en-US" w:eastAsia="zh-CN"/>
              </w:rPr>
              <w:t>得到实用性</w:t>
            </w:r>
            <w:r>
              <w:rPr>
                <w:rFonts w:hint="eastAsia" w:ascii="宋体" w:hAnsi="宋体" w:eastAsia="宋体" w:cs="宋体"/>
                <w:b w:val="0"/>
                <w:bCs w:val="0"/>
                <w:color w:val="auto"/>
                <w:kern w:val="0"/>
                <w:sz w:val="22"/>
                <w:szCs w:val="22"/>
                <w:highlight w:val="none"/>
                <w:lang w:val="zh-CN" w:eastAsia="zh-CN"/>
              </w:rPr>
              <w:t>打分</w:t>
            </w:r>
            <w:r>
              <w:rPr>
                <w:rFonts w:hint="eastAsia" w:ascii="宋体" w:hAnsi="宋体" w:eastAsia="宋体" w:cs="宋体"/>
                <w:b w:val="0"/>
                <w:bCs w:val="0"/>
                <w:color w:val="auto"/>
                <w:kern w:val="0"/>
                <w:sz w:val="22"/>
                <w:szCs w:val="22"/>
                <w:highlight w:val="none"/>
                <w:lang w:val="en-US" w:eastAsia="zh-CN"/>
              </w:rPr>
              <w:t>。实用性强的得2分，实用性较强得1.5分，实用性一般的得1分，实用性不强的得0.5分，没有得0分。</w:t>
            </w:r>
          </w:p>
        </w:tc>
        <w:tc>
          <w:tcPr>
            <w:tcW w:w="845" w:type="dxa"/>
            <w:vAlign w:val="center"/>
          </w:tcPr>
          <w:p>
            <w:pPr>
              <w:pStyle w:val="2"/>
              <w:spacing w:line="360" w:lineRule="exact"/>
              <w:ind w:left="416" w:leftChars="0" w:hanging="416" w:hangingChars="200"/>
              <w:jc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sz w:val="22"/>
                <w:szCs w:val="22"/>
                <w:highlight w:val="none"/>
                <w:lang w:val="en-US" w:eastAsia="zh-CN"/>
              </w:rPr>
              <w:t>主观分</w:t>
            </w:r>
          </w:p>
        </w:tc>
      </w:tr>
    </w:tbl>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2.报价评分（30分）：</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2.1资格及符合性审查通过的有效投标人进入商务报价评分。</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报价分=（评标基准价/评审价格）×30。</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注：以上四舍五入后保留小数2位</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bCs/>
          <w:color w:val="auto"/>
          <w:sz w:val="22"/>
          <w:highlight w:val="none"/>
        </w:rPr>
        <w:t>2.2</w:t>
      </w:r>
      <w:r>
        <w:rPr>
          <w:rFonts w:hint="eastAsia" w:ascii="宋体" w:hAnsi="宋体" w:eastAsia="宋体" w:cs="宋体"/>
          <w:color w:val="auto"/>
          <w:sz w:val="22"/>
          <w:highlight w:val="none"/>
        </w:rPr>
        <w:t>投标人的综合评分为“商务和技术分”和“报价分”的总计。</w:t>
      </w:r>
    </w:p>
    <w:p>
      <w:pPr>
        <w:spacing w:line="360" w:lineRule="exact"/>
        <w:ind w:firstLine="440" w:firstLineChars="200"/>
        <w:rPr>
          <w:rFonts w:hint="eastAsia" w:ascii="宋体" w:hAnsi="宋体" w:eastAsia="宋体" w:cs="宋体"/>
          <w:color w:val="auto"/>
          <w:sz w:val="22"/>
          <w:highlight w:val="none"/>
        </w:rPr>
      </w:pPr>
    </w:p>
    <w:sectPr>
      <w:headerReference r:id="rId3" w:type="default"/>
      <w:footerReference r:id="rId4" w:type="default"/>
      <w:pgSz w:w="11906" w:h="16838"/>
      <w:pgMar w:top="1134" w:right="1134"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C8B16661"/>
    <w:multiLevelType w:val="singleLevel"/>
    <w:tmpl w:val="C8B16661"/>
    <w:lvl w:ilvl="0" w:tentative="0">
      <w:start w:val="1"/>
      <w:numFmt w:val="chineseCounting"/>
      <w:suff w:val="nothing"/>
      <w:lvlText w:val="%1、"/>
      <w:lvlJc w:val="left"/>
      <w:rPr>
        <w:rFonts w:hint="eastAsia"/>
      </w:rPr>
    </w:lvl>
  </w:abstractNum>
  <w:abstractNum w:abstractNumId="3">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C59000B"/>
    <w:multiLevelType w:val="singleLevel"/>
    <w:tmpl w:val="4C59000B"/>
    <w:lvl w:ilvl="0" w:tentative="0">
      <w:start w:val="1"/>
      <w:numFmt w:val="decimal"/>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rPr>
        <w:rFonts w:cs="Times New Roman"/>
      </w:rPr>
    </w:lvl>
  </w:abstractNum>
  <w:abstractNum w:abstractNumId="7">
    <w:nsid w:val="63F55685"/>
    <w:multiLevelType w:val="singleLevel"/>
    <w:tmpl w:val="63F55685"/>
    <w:lvl w:ilvl="0" w:tentative="0">
      <w:start w:val="1"/>
      <w:numFmt w:val="decimalEnclosedCircleChinese"/>
      <w:suff w:val="nothing"/>
      <w:lvlText w:val="%1　"/>
      <w:lvlJc w:val="left"/>
      <w:pPr>
        <w:ind w:left="0" w:firstLine="400"/>
      </w:pPr>
      <w:rPr>
        <w:rFonts w:hint="eastAsia"/>
      </w:rPr>
    </w:lvl>
  </w:abstractNum>
  <w:abstractNum w:abstractNumId="8">
    <w:nsid w:val="6675D123"/>
    <w:multiLevelType w:val="singleLevel"/>
    <w:tmpl w:val="6675D123"/>
    <w:lvl w:ilvl="0" w:tentative="0">
      <w:start w:val="5"/>
      <w:numFmt w:val="chineseCounting"/>
      <w:suff w:val="space"/>
      <w:lvlText w:val="第%1部分"/>
      <w:lvlJc w:val="left"/>
      <w:rPr>
        <w:rFonts w:hint="eastAsia"/>
      </w:rPr>
    </w:lvl>
  </w:abstractNum>
  <w:num w:numId="1">
    <w:abstractNumId w:val="1"/>
  </w:num>
  <w:num w:numId="2">
    <w:abstractNumId w:val="4"/>
  </w:num>
  <w:num w:numId="3">
    <w:abstractNumId w:val="0"/>
  </w:num>
  <w:num w:numId="4">
    <w:abstractNumId w:val="7"/>
  </w:num>
  <w:num w:numId="5">
    <w:abstractNumId w:val="5"/>
  </w:num>
  <w:num w:numId="6">
    <w:abstractNumId w:val="2"/>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018"/>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392"/>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75C15"/>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C4F9C"/>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A4E9E"/>
    <w:rsid w:val="007B2A8E"/>
    <w:rsid w:val="007B310C"/>
    <w:rsid w:val="007B5508"/>
    <w:rsid w:val="007B5753"/>
    <w:rsid w:val="007B5D48"/>
    <w:rsid w:val="007C1C6D"/>
    <w:rsid w:val="007C2AD0"/>
    <w:rsid w:val="007C4620"/>
    <w:rsid w:val="007C5A41"/>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21FB"/>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1A0E"/>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315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651772"/>
    <w:rsid w:val="0174421B"/>
    <w:rsid w:val="018717BE"/>
    <w:rsid w:val="018E7169"/>
    <w:rsid w:val="01BD06D2"/>
    <w:rsid w:val="01BF097B"/>
    <w:rsid w:val="01D105CE"/>
    <w:rsid w:val="01D64793"/>
    <w:rsid w:val="01E73C24"/>
    <w:rsid w:val="021A76DB"/>
    <w:rsid w:val="021F3882"/>
    <w:rsid w:val="02331E12"/>
    <w:rsid w:val="023B2304"/>
    <w:rsid w:val="02497F4C"/>
    <w:rsid w:val="025B1344"/>
    <w:rsid w:val="02766999"/>
    <w:rsid w:val="02791447"/>
    <w:rsid w:val="02BC18B0"/>
    <w:rsid w:val="02F07097"/>
    <w:rsid w:val="032A0016"/>
    <w:rsid w:val="033243A8"/>
    <w:rsid w:val="033C4F4D"/>
    <w:rsid w:val="035442EC"/>
    <w:rsid w:val="03564F29"/>
    <w:rsid w:val="035B707C"/>
    <w:rsid w:val="037126EF"/>
    <w:rsid w:val="0386205B"/>
    <w:rsid w:val="039E11BA"/>
    <w:rsid w:val="03AA5705"/>
    <w:rsid w:val="03B66B9F"/>
    <w:rsid w:val="03E73237"/>
    <w:rsid w:val="03EE5F1E"/>
    <w:rsid w:val="04384DC4"/>
    <w:rsid w:val="04B067CA"/>
    <w:rsid w:val="04B7013D"/>
    <w:rsid w:val="04BB3243"/>
    <w:rsid w:val="04BF5738"/>
    <w:rsid w:val="04EE55EA"/>
    <w:rsid w:val="04EF3205"/>
    <w:rsid w:val="05213A64"/>
    <w:rsid w:val="0549108E"/>
    <w:rsid w:val="05502A1B"/>
    <w:rsid w:val="056563FC"/>
    <w:rsid w:val="059758B4"/>
    <w:rsid w:val="05B92DB0"/>
    <w:rsid w:val="0601511F"/>
    <w:rsid w:val="060B54D3"/>
    <w:rsid w:val="06102D2E"/>
    <w:rsid w:val="063B2D6C"/>
    <w:rsid w:val="06503F20"/>
    <w:rsid w:val="06506B03"/>
    <w:rsid w:val="068C6142"/>
    <w:rsid w:val="069627A6"/>
    <w:rsid w:val="06AA7299"/>
    <w:rsid w:val="06CF225A"/>
    <w:rsid w:val="06F33957"/>
    <w:rsid w:val="06F86FDF"/>
    <w:rsid w:val="07012726"/>
    <w:rsid w:val="07155AF2"/>
    <w:rsid w:val="07307513"/>
    <w:rsid w:val="076F1972"/>
    <w:rsid w:val="07A81035"/>
    <w:rsid w:val="07DE064D"/>
    <w:rsid w:val="084C5688"/>
    <w:rsid w:val="08525629"/>
    <w:rsid w:val="08591333"/>
    <w:rsid w:val="0870518C"/>
    <w:rsid w:val="087F1B50"/>
    <w:rsid w:val="088722D5"/>
    <w:rsid w:val="089867F5"/>
    <w:rsid w:val="08A7269C"/>
    <w:rsid w:val="08BB5CE2"/>
    <w:rsid w:val="08BE70FF"/>
    <w:rsid w:val="08F100D7"/>
    <w:rsid w:val="08FB0BD0"/>
    <w:rsid w:val="08FD0FC1"/>
    <w:rsid w:val="09141087"/>
    <w:rsid w:val="09420CC2"/>
    <w:rsid w:val="09437AA9"/>
    <w:rsid w:val="095306DD"/>
    <w:rsid w:val="09695409"/>
    <w:rsid w:val="09717093"/>
    <w:rsid w:val="097C1EFD"/>
    <w:rsid w:val="0993275B"/>
    <w:rsid w:val="09AE6768"/>
    <w:rsid w:val="09EE5A33"/>
    <w:rsid w:val="09F33BC2"/>
    <w:rsid w:val="0A005A8E"/>
    <w:rsid w:val="0A005B38"/>
    <w:rsid w:val="0A012F12"/>
    <w:rsid w:val="0A46002E"/>
    <w:rsid w:val="0A59542B"/>
    <w:rsid w:val="0A5A21CE"/>
    <w:rsid w:val="0A600644"/>
    <w:rsid w:val="0A63046B"/>
    <w:rsid w:val="0A655977"/>
    <w:rsid w:val="0A6F30BC"/>
    <w:rsid w:val="0A714A90"/>
    <w:rsid w:val="0A7E6C48"/>
    <w:rsid w:val="0A8670D2"/>
    <w:rsid w:val="0A8A6649"/>
    <w:rsid w:val="0A8D0F9E"/>
    <w:rsid w:val="0AB440F8"/>
    <w:rsid w:val="0AD2601C"/>
    <w:rsid w:val="0AD84D58"/>
    <w:rsid w:val="0B085950"/>
    <w:rsid w:val="0B0D0CC4"/>
    <w:rsid w:val="0B212BCE"/>
    <w:rsid w:val="0B283234"/>
    <w:rsid w:val="0B2E3B34"/>
    <w:rsid w:val="0B7A69B0"/>
    <w:rsid w:val="0B914FAE"/>
    <w:rsid w:val="0B963D2B"/>
    <w:rsid w:val="0B9948AC"/>
    <w:rsid w:val="0B9E7162"/>
    <w:rsid w:val="0BAD6DE0"/>
    <w:rsid w:val="0BBD289A"/>
    <w:rsid w:val="0BC35643"/>
    <w:rsid w:val="0BC6115D"/>
    <w:rsid w:val="0BD939C5"/>
    <w:rsid w:val="0BF76D62"/>
    <w:rsid w:val="0C0E0E49"/>
    <w:rsid w:val="0C0F3E0E"/>
    <w:rsid w:val="0C232562"/>
    <w:rsid w:val="0C2F5309"/>
    <w:rsid w:val="0C5A518D"/>
    <w:rsid w:val="0C6F15EF"/>
    <w:rsid w:val="0C9C13C4"/>
    <w:rsid w:val="0CAA5073"/>
    <w:rsid w:val="0CD56D9C"/>
    <w:rsid w:val="0D060C4A"/>
    <w:rsid w:val="0D141552"/>
    <w:rsid w:val="0D496472"/>
    <w:rsid w:val="0D7E5526"/>
    <w:rsid w:val="0D8867AE"/>
    <w:rsid w:val="0D8E5096"/>
    <w:rsid w:val="0DC70E1E"/>
    <w:rsid w:val="0DD37DB4"/>
    <w:rsid w:val="0E220B89"/>
    <w:rsid w:val="0E3039A1"/>
    <w:rsid w:val="0E333E3A"/>
    <w:rsid w:val="0E3D2E6B"/>
    <w:rsid w:val="0E401B23"/>
    <w:rsid w:val="0E807E3A"/>
    <w:rsid w:val="0E8A18A4"/>
    <w:rsid w:val="0E9E3EDE"/>
    <w:rsid w:val="0EB90A7B"/>
    <w:rsid w:val="0EC518EB"/>
    <w:rsid w:val="0ECF454E"/>
    <w:rsid w:val="0EE22D8A"/>
    <w:rsid w:val="0EF735EC"/>
    <w:rsid w:val="0EF9511D"/>
    <w:rsid w:val="0F03003B"/>
    <w:rsid w:val="0F127DDC"/>
    <w:rsid w:val="0F225395"/>
    <w:rsid w:val="0F2A7991"/>
    <w:rsid w:val="0F31231F"/>
    <w:rsid w:val="0F450599"/>
    <w:rsid w:val="0F7A251E"/>
    <w:rsid w:val="0F7B2B4A"/>
    <w:rsid w:val="0FAE55CB"/>
    <w:rsid w:val="0FBC37E4"/>
    <w:rsid w:val="0FF33AF6"/>
    <w:rsid w:val="100E0CEE"/>
    <w:rsid w:val="10233173"/>
    <w:rsid w:val="10737E0E"/>
    <w:rsid w:val="10864BC6"/>
    <w:rsid w:val="10A71E01"/>
    <w:rsid w:val="10BA0075"/>
    <w:rsid w:val="10C063DA"/>
    <w:rsid w:val="10CC21FA"/>
    <w:rsid w:val="10EC2887"/>
    <w:rsid w:val="10F72164"/>
    <w:rsid w:val="10FB5E9E"/>
    <w:rsid w:val="110D5CB2"/>
    <w:rsid w:val="11112249"/>
    <w:rsid w:val="114E14F4"/>
    <w:rsid w:val="115E3F3F"/>
    <w:rsid w:val="116A035F"/>
    <w:rsid w:val="116A6B46"/>
    <w:rsid w:val="11834E46"/>
    <w:rsid w:val="11875444"/>
    <w:rsid w:val="11970C4B"/>
    <w:rsid w:val="11A95278"/>
    <w:rsid w:val="11AF44DF"/>
    <w:rsid w:val="11C852FC"/>
    <w:rsid w:val="11C86A63"/>
    <w:rsid w:val="11F72CE6"/>
    <w:rsid w:val="122951DD"/>
    <w:rsid w:val="123B7DDD"/>
    <w:rsid w:val="127D7035"/>
    <w:rsid w:val="12CF0657"/>
    <w:rsid w:val="12E95249"/>
    <w:rsid w:val="12F1671E"/>
    <w:rsid w:val="12FE2ECF"/>
    <w:rsid w:val="13200CAC"/>
    <w:rsid w:val="134C3F41"/>
    <w:rsid w:val="134E40D7"/>
    <w:rsid w:val="134F4780"/>
    <w:rsid w:val="13511013"/>
    <w:rsid w:val="135C3DD4"/>
    <w:rsid w:val="135C7002"/>
    <w:rsid w:val="137D7A57"/>
    <w:rsid w:val="13962258"/>
    <w:rsid w:val="13AF2F6F"/>
    <w:rsid w:val="13E7075D"/>
    <w:rsid w:val="13F33946"/>
    <w:rsid w:val="14042263"/>
    <w:rsid w:val="141745DC"/>
    <w:rsid w:val="14300996"/>
    <w:rsid w:val="14725E70"/>
    <w:rsid w:val="148E0ACB"/>
    <w:rsid w:val="149F31A0"/>
    <w:rsid w:val="14B118C5"/>
    <w:rsid w:val="14B415E1"/>
    <w:rsid w:val="14D43BDB"/>
    <w:rsid w:val="14F57E7D"/>
    <w:rsid w:val="15152C81"/>
    <w:rsid w:val="151B44F0"/>
    <w:rsid w:val="152E2DCC"/>
    <w:rsid w:val="153017B9"/>
    <w:rsid w:val="153B570B"/>
    <w:rsid w:val="15574E0D"/>
    <w:rsid w:val="15914050"/>
    <w:rsid w:val="15B72A35"/>
    <w:rsid w:val="15F1546C"/>
    <w:rsid w:val="160547D6"/>
    <w:rsid w:val="161C40B5"/>
    <w:rsid w:val="16287BB0"/>
    <w:rsid w:val="16445414"/>
    <w:rsid w:val="16467CC8"/>
    <w:rsid w:val="165D579D"/>
    <w:rsid w:val="165F2BDF"/>
    <w:rsid w:val="16720653"/>
    <w:rsid w:val="16730A7D"/>
    <w:rsid w:val="168E46B6"/>
    <w:rsid w:val="168F7E12"/>
    <w:rsid w:val="16A87CE1"/>
    <w:rsid w:val="16B7318B"/>
    <w:rsid w:val="16E021C2"/>
    <w:rsid w:val="17213D1A"/>
    <w:rsid w:val="172C4239"/>
    <w:rsid w:val="174D3358"/>
    <w:rsid w:val="176214A7"/>
    <w:rsid w:val="176A780D"/>
    <w:rsid w:val="1780366E"/>
    <w:rsid w:val="17845DA0"/>
    <w:rsid w:val="179E277E"/>
    <w:rsid w:val="17BC177E"/>
    <w:rsid w:val="17BE3B1C"/>
    <w:rsid w:val="17F14C98"/>
    <w:rsid w:val="18061007"/>
    <w:rsid w:val="18074726"/>
    <w:rsid w:val="18080A9E"/>
    <w:rsid w:val="18296253"/>
    <w:rsid w:val="18395DE4"/>
    <w:rsid w:val="18A56142"/>
    <w:rsid w:val="18AF38AF"/>
    <w:rsid w:val="18C94AAF"/>
    <w:rsid w:val="18D32287"/>
    <w:rsid w:val="18ED538B"/>
    <w:rsid w:val="18F06F9F"/>
    <w:rsid w:val="18FC3FD1"/>
    <w:rsid w:val="18FF73A6"/>
    <w:rsid w:val="191A45C5"/>
    <w:rsid w:val="19266DE4"/>
    <w:rsid w:val="192F2566"/>
    <w:rsid w:val="194E0081"/>
    <w:rsid w:val="195B397D"/>
    <w:rsid w:val="195F6609"/>
    <w:rsid w:val="1995403F"/>
    <w:rsid w:val="19AF15A8"/>
    <w:rsid w:val="19B67EC1"/>
    <w:rsid w:val="19CC4C5A"/>
    <w:rsid w:val="19D83035"/>
    <w:rsid w:val="19D87710"/>
    <w:rsid w:val="1A101888"/>
    <w:rsid w:val="1A2A3728"/>
    <w:rsid w:val="1A512009"/>
    <w:rsid w:val="1A566CC7"/>
    <w:rsid w:val="1A6D5C1B"/>
    <w:rsid w:val="1A8644CD"/>
    <w:rsid w:val="1AA569B7"/>
    <w:rsid w:val="1AAB190A"/>
    <w:rsid w:val="1AAE000B"/>
    <w:rsid w:val="1AB3650A"/>
    <w:rsid w:val="1AB62382"/>
    <w:rsid w:val="1ACB1C1D"/>
    <w:rsid w:val="1ADA6788"/>
    <w:rsid w:val="1ADF05DE"/>
    <w:rsid w:val="1AFA2B1C"/>
    <w:rsid w:val="1B68216E"/>
    <w:rsid w:val="1B6F77A7"/>
    <w:rsid w:val="1B704CD6"/>
    <w:rsid w:val="1B817D0B"/>
    <w:rsid w:val="1B8721E3"/>
    <w:rsid w:val="1BB0728D"/>
    <w:rsid w:val="1BD05A6D"/>
    <w:rsid w:val="1BD6575E"/>
    <w:rsid w:val="1BD85D3B"/>
    <w:rsid w:val="1C0804E7"/>
    <w:rsid w:val="1C1B04AC"/>
    <w:rsid w:val="1C1E24F0"/>
    <w:rsid w:val="1C5115AF"/>
    <w:rsid w:val="1C59360F"/>
    <w:rsid w:val="1C5A616E"/>
    <w:rsid w:val="1C5B0F48"/>
    <w:rsid w:val="1C7F44D1"/>
    <w:rsid w:val="1C8A6A1B"/>
    <w:rsid w:val="1CA70C88"/>
    <w:rsid w:val="1CBA44B6"/>
    <w:rsid w:val="1CBC6A50"/>
    <w:rsid w:val="1CDA388D"/>
    <w:rsid w:val="1D386B0A"/>
    <w:rsid w:val="1D39665B"/>
    <w:rsid w:val="1D453B92"/>
    <w:rsid w:val="1D49325F"/>
    <w:rsid w:val="1D54432D"/>
    <w:rsid w:val="1D7066B8"/>
    <w:rsid w:val="1D873EC6"/>
    <w:rsid w:val="1DA444AF"/>
    <w:rsid w:val="1DB06DBB"/>
    <w:rsid w:val="1DC71769"/>
    <w:rsid w:val="1DD4347C"/>
    <w:rsid w:val="1DD866A7"/>
    <w:rsid w:val="1DEC0FD1"/>
    <w:rsid w:val="1E055F60"/>
    <w:rsid w:val="1E1F64E2"/>
    <w:rsid w:val="1E4273A0"/>
    <w:rsid w:val="1E4708BE"/>
    <w:rsid w:val="1E5B402C"/>
    <w:rsid w:val="1E7F3375"/>
    <w:rsid w:val="1E960FB4"/>
    <w:rsid w:val="1E9C0FD7"/>
    <w:rsid w:val="1EA27733"/>
    <w:rsid w:val="1EA71441"/>
    <w:rsid w:val="1EDB57B8"/>
    <w:rsid w:val="1EFF22DF"/>
    <w:rsid w:val="1F2465AE"/>
    <w:rsid w:val="1F272EF3"/>
    <w:rsid w:val="1F474417"/>
    <w:rsid w:val="1F75506D"/>
    <w:rsid w:val="1F7801F4"/>
    <w:rsid w:val="1F861028"/>
    <w:rsid w:val="1FA051B1"/>
    <w:rsid w:val="1FBC5A21"/>
    <w:rsid w:val="1FE01BF2"/>
    <w:rsid w:val="1FF103F0"/>
    <w:rsid w:val="20005C3E"/>
    <w:rsid w:val="200C1FD7"/>
    <w:rsid w:val="202A0BEF"/>
    <w:rsid w:val="20516442"/>
    <w:rsid w:val="20676614"/>
    <w:rsid w:val="20780877"/>
    <w:rsid w:val="20B1574E"/>
    <w:rsid w:val="20BD49E5"/>
    <w:rsid w:val="20C12A4D"/>
    <w:rsid w:val="20D719F1"/>
    <w:rsid w:val="20DF4E94"/>
    <w:rsid w:val="20FF754E"/>
    <w:rsid w:val="21066A24"/>
    <w:rsid w:val="212906CA"/>
    <w:rsid w:val="212E3396"/>
    <w:rsid w:val="214F070A"/>
    <w:rsid w:val="21504889"/>
    <w:rsid w:val="21511091"/>
    <w:rsid w:val="216A59FA"/>
    <w:rsid w:val="218D304A"/>
    <w:rsid w:val="219915D3"/>
    <w:rsid w:val="219D45B2"/>
    <w:rsid w:val="21A672A2"/>
    <w:rsid w:val="21B92F19"/>
    <w:rsid w:val="21BC28A6"/>
    <w:rsid w:val="21C329A3"/>
    <w:rsid w:val="21E56FBC"/>
    <w:rsid w:val="21FA005D"/>
    <w:rsid w:val="21FB12EC"/>
    <w:rsid w:val="220137C3"/>
    <w:rsid w:val="221A1C96"/>
    <w:rsid w:val="224F6446"/>
    <w:rsid w:val="225861FF"/>
    <w:rsid w:val="226C4FAD"/>
    <w:rsid w:val="22813D29"/>
    <w:rsid w:val="22943A5C"/>
    <w:rsid w:val="229F47AE"/>
    <w:rsid w:val="22A27797"/>
    <w:rsid w:val="22C22251"/>
    <w:rsid w:val="22C8691D"/>
    <w:rsid w:val="22D3233B"/>
    <w:rsid w:val="22E25839"/>
    <w:rsid w:val="22FF181D"/>
    <w:rsid w:val="231F40E3"/>
    <w:rsid w:val="232C7632"/>
    <w:rsid w:val="2333170A"/>
    <w:rsid w:val="234A2DC3"/>
    <w:rsid w:val="235A6F13"/>
    <w:rsid w:val="237F1E99"/>
    <w:rsid w:val="23BC6D45"/>
    <w:rsid w:val="23CA0F38"/>
    <w:rsid w:val="23FC16C5"/>
    <w:rsid w:val="23FD21A6"/>
    <w:rsid w:val="24096C1E"/>
    <w:rsid w:val="241124F4"/>
    <w:rsid w:val="2442787A"/>
    <w:rsid w:val="24493ED0"/>
    <w:rsid w:val="247450BF"/>
    <w:rsid w:val="248458D3"/>
    <w:rsid w:val="248C2B1F"/>
    <w:rsid w:val="24AF30EF"/>
    <w:rsid w:val="24C31ACA"/>
    <w:rsid w:val="24C37822"/>
    <w:rsid w:val="24C979B7"/>
    <w:rsid w:val="24D228AC"/>
    <w:rsid w:val="24DE282F"/>
    <w:rsid w:val="2502156D"/>
    <w:rsid w:val="250234C2"/>
    <w:rsid w:val="250B5C95"/>
    <w:rsid w:val="2516370B"/>
    <w:rsid w:val="25427164"/>
    <w:rsid w:val="25525D92"/>
    <w:rsid w:val="25527D56"/>
    <w:rsid w:val="255B191F"/>
    <w:rsid w:val="2563572A"/>
    <w:rsid w:val="25637736"/>
    <w:rsid w:val="25876A82"/>
    <w:rsid w:val="25AE478C"/>
    <w:rsid w:val="25B90919"/>
    <w:rsid w:val="25E22D30"/>
    <w:rsid w:val="25FF38E2"/>
    <w:rsid w:val="263B2C60"/>
    <w:rsid w:val="26411C1D"/>
    <w:rsid w:val="265453C2"/>
    <w:rsid w:val="26567ACD"/>
    <w:rsid w:val="267C5888"/>
    <w:rsid w:val="26A175D7"/>
    <w:rsid w:val="26B464FA"/>
    <w:rsid w:val="26C94FDE"/>
    <w:rsid w:val="26D3098E"/>
    <w:rsid w:val="26E50D2A"/>
    <w:rsid w:val="26EA5725"/>
    <w:rsid w:val="27154B6D"/>
    <w:rsid w:val="271E227A"/>
    <w:rsid w:val="2724421E"/>
    <w:rsid w:val="272D5531"/>
    <w:rsid w:val="272F1AD3"/>
    <w:rsid w:val="27322984"/>
    <w:rsid w:val="2741315F"/>
    <w:rsid w:val="274568EC"/>
    <w:rsid w:val="277A6660"/>
    <w:rsid w:val="279B1B14"/>
    <w:rsid w:val="27A249CA"/>
    <w:rsid w:val="27C2663C"/>
    <w:rsid w:val="27C77490"/>
    <w:rsid w:val="27CA12A3"/>
    <w:rsid w:val="27F64177"/>
    <w:rsid w:val="28046D84"/>
    <w:rsid w:val="282633A8"/>
    <w:rsid w:val="286B5532"/>
    <w:rsid w:val="288F52D5"/>
    <w:rsid w:val="28BF58E7"/>
    <w:rsid w:val="28E5527A"/>
    <w:rsid w:val="28ED30E6"/>
    <w:rsid w:val="29162571"/>
    <w:rsid w:val="291800E1"/>
    <w:rsid w:val="291D38AE"/>
    <w:rsid w:val="29216A36"/>
    <w:rsid w:val="29225D1F"/>
    <w:rsid w:val="29234A57"/>
    <w:rsid w:val="29321FE3"/>
    <w:rsid w:val="29476C8B"/>
    <w:rsid w:val="294E725A"/>
    <w:rsid w:val="29526C4F"/>
    <w:rsid w:val="29551B41"/>
    <w:rsid w:val="295558E1"/>
    <w:rsid w:val="29572E0D"/>
    <w:rsid w:val="29654128"/>
    <w:rsid w:val="29787CCE"/>
    <w:rsid w:val="29803570"/>
    <w:rsid w:val="298A7BDE"/>
    <w:rsid w:val="29AC3EFF"/>
    <w:rsid w:val="29B95570"/>
    <w:rsid w:val="29CF4CDE"/>
    <w:rsid w:val="29E40114"/>
    <w:rsid w:val="29EE601C"/>
    <w:rsid w:val="2A141291"/>
    <w:rsid w:val="2A1425C1"/>
    <w:rsid w:val="2A17665E"/>
    <w:rsid w:val="2A3519F9"/>
    <w:rsid w:val="2A35592E"/>
    <w:rsid w:val="2A3B2255"/>
    <w:rsid w:val="2A5F5F98"/>
    <w:rsid w:val="2A7279D5"/>
    <w:rsid w:val="2A7B5DC7"/>
    <w:rsid w:val="2A862EB1"/>
    <w:rsid w:val="2AA50C96"/>
    <w:rsid w:val="2AAA6513"/>
    <w:rsid w:val="2ACB1A84"/>
    <w:rsid w:val="2ACB7330"/>
    <w:rsid w:val="2AD1626E"/>
    <w:rsid w:val="2AD479BA"/>
    <w:rsid w:val="2AD970ED"/>
    <w:rsid w:val="2AEA3820"/>
    <w:rsid w:val="2AEC01AB"/>
    <w:rsid w:val="2AEDA948"/>
    <w:rsid w:val="2B051EE7"/>
    <w:rsid w:val="2B06250A"/>
    <w:rsid w:val="2B451595"/>
    <w:rsid w:val="2B78175F"/>
    <w:rsid w:val="2B9039C7"/>
    <w:rsid w:val="2BC359F4"/>
    <w:rsid w:val="2BFA65AF"/>
    <w:rsid w:val="2BFF422E"/>
    <w:rsid w:val="2C1D2D14"/>
    <w:rsid w:val="2C2119A9"/>
    <w:rsid w:val="2C3B063C"/>
    <w:rsid w:val="2C51791C"/>
    <w:rsid w:val="2C6D06DB"/>
    <w:rsid w:val="2C9D7CDC"/>
    <w:rsid w:val="2CA1763D"/>
    <w:rsid w:val="2CA74D32"/>
    <w:rsid w:val="2CDF46B1"/>
    <w:rsid w:val="2CF319CD"/>
    <w:rsid w:val="2D106A69"/>
    <w:rsid w:val="2D3044ED"/>
    <w:rsid w:val="2D406CBA"/>
    <w:rsid w:val="2D4A2971"/>
    <w:rsid w:val="2D5B265D"/>
    <w:rsid w:val="2D7C0E0B"/>
    <w:rsid w:val="2D8F14A1"/>
    <w:rsid w:val="2D8F3AF9"/>
    <w:rsid w:val="2D94069C"/>
    <w:rsid w:val="2DA5032C"/>
    <w:rsid w:val="2DB7125F"/>
    <w:rsid w:val="2DDD501E"/>
    <w:rsid w:val="2DF43E01"/>
    <w:rsid w:val="2DFC2B75"/>
    <w:rsid w:val="2E03773F"/>
    <w:rsid w:val="2E336E30"/>
    <w:rsid w:val="2E586EFC"/>
    <w:rsid w:val="2E5909BE"/>
    <w:rsid w:val="2E6C063D"/>
    <w:rsid w:val="2E731A57"/>
    <w:rsid w:val="2E901932"/>
    <w:rsid w:val="2ECB3349"/>
    <w:rsid w:val="2EDC20CB"/>
    <w:rsid w:val="2F235B39"/>
    <w:rsid w:val="2F236C79"/>
    <w:rsid w:val="2F2D3DF4"/>
    <w:rsid w:val="2F302550"/>
    <w:rsid w:val="2F4319EA"/>
    <w:rsid w:val="2F45327D"/>
    <w:rsid w:val="2F735768"/>
    <w:rsid w:val="2F7610B9"/>
    <w:rsid w:val="2F963509"/>
    <w:rsid w:val="2FA808A6"/>
    <w:rsid w:val="2FAD4710"/>
    <w:rsid w:val="2FD0497E"/>
    <w:rsid w:val="2FD25B53"/>
    <w:rsid w:val="2FD6409B"/>
    <w:rsid w:val="2FDD6778"/>
    <w:rsid w:val="30010B58"/>
    <w:rsid w:val="300A56D7"/>
    <w:rsid w:val="301E4C05"/>
    <w:rsid w:val="302774A3"/>
    <w:rsid w:val="303A0349"/>
    <w:rsid w:val="30566F21"/>
    <w:rsid w:val="30710A41"/>
    <w:rsid w:val="308B6CE7"/>
    <w:rsid w:val="30AE767C"/>
    <w:rsid w:val="30C3638E"/>
    <w:rsid w:val="30DC0F43"/>
    <w:rsid w:val="30F23983"/>
    <w:rsid w:val="31314B0F"/>
    <w:rsid w:val="31443D36"/>
    <w:rsid w:val="31611217"/>
    <w:rsid w:val="318159BF"/>
    <w:rsid w:val="3195152F"/>
    <w:rsid w:val="319544E8"/>
    <w:rsid w:val="31975348"/>
    <w:rsid w:val="31993A22"/>
    <w:rsid w:val="319A0EEB"/>
    <w:rsid w:val="319C62F4"/>
    <w:rsid w:val="31AA48F6"/>
    <w:rsid w:val="31C01998"/>
    <w:rsid w:val="31D66C4B"/>
    <w:rsid w:val="3204479C"/>
    <w:rsid w:val="32182B20"/>
    <w:rsid w:val="32226669"/>
    <w:rsid w:val="32261F27"/>
    <w:rsid w:val="3250264F"/>
    <w:rsid w:val="32703589"/>
    <w:rsid w:val="32726352"/>
    <w:rsid w:val="32D4392A"/>
    <w:rsid w:val="32DE682A"/>
    <w:rsid w:val="32F26CE9"/>
    <w:rsid w:val="330E191A"/>
    <w:rsid w:val="33156AA8"/>
    <w:rsid w:val="33207E7D"/>
    <w:rsid w:val="332335D3"/>
    <w:rsid w:val="33304B62"/>
    <w:rsid w:val="33483B2E"/>
    <w:rsid w:val="337E770A"/>
    <w:rsid w:val="33875D9F"/>
    <w:rsid w:val="338B56E0"/>
    <w:rsid w:val="339F6079"/>
    <w:rsid w:val="33B60C44"/>
    <w:rsid w:val="33E95046"/>
    <w:rsid w:val="3406659D"/>
    <w:rsid w:val="34066F3C"/>
    <w:rsid w:val="340B4EF1"/>
    <w:rsid w:val="341D068F"/>
    <w:rsid w:val="34316959"/>
    <w:rsid w:val="344E2731"/>
    <w:rsid w:val="345001F6"/>
    <w:rsid w:val="34596C57"/>
    <w:rsid w:val="345B6BC1"/>
    <w:rsid w:val="34685AE6"/>
    <w:rsid w:val="346C2A8B"/>
    <w:rsid w:val="347A51A8"/>
    <w:rsid w:val="34AB3B17"/>
    <w:rsid w:val="34B15BC4"/>
    <w:rsid w:val="34B95D31"/>
    <w:rsid w:val="34DE1EC7"/>
    <w:rsid w:val="35183915"/>
    <w:rsid w:val="35192255"/>
    <w:rsid w:val="35287FAE"/>
    <w:rsid w:val="353E11C4"/>
    <w:rsid w:val="35581B81"/>
    <w:rsid w:val="357B7805"/>
    <w:rsid w:val="35896F5C"/>
    <w:rsid w:val="35AC6D6C"/>
    <w:rsid w:val="35C13050"/>
    <w:rsid w:val="35C802BA"/>
    <w:rsid w:val="35E429BA"/>
    <w:rsid w:val="35F45BEE"/>
    <w:rsid w:val="35FE4C86"/>
    <w:rsid w:val="361D7265"/>
    <w:rsid w:val="363362DB"/>
    <w:rsid w:val="363E657D"/>
    <w:rsid w:val="36510EAD"/>
    <w:rsid w:val="366A5161"/>
    <w:rsid w:val="366F1AE0"/>
    <w:rsid w:val="36706BB8"/>
    <w:rsid w:val="3674012D"/>
    <w:rsid w:val="367852F0"/>
    <w:rsid w:val="368E39AF"/>
    <w:rsid w:val="36910587"/>
    <w:rsid w:val="369A304A"/>
    <w:rsid w:val="369F433B"/>
    <w:rsid w:val="36D04A11"/>
    <w:rsid w:val="36F275DB"/>
    <w:rsid w:val="36F823B4"/>
    <w:rsid w:val="37093120"/>
    <w:rsid w:val="37134BE4"/>
    <w:rsid w:val="371948C9"/>
    <w:rsid w:val="371A057C"/>
    <w:rsid w:val="373321D9"/>
    <w:rsid w:val="375A0A59"/>
    <w:rsid w:val="37691FF5"/>
    <w:rsid w:val="376B4967"/>
    <w:rsid w:val="377E4B13"/>
    <w:rsid w:val="379762ED"/>
    <w:rsid w:val="37A22AA5"/>
    <w:rsid w:val="37C849B6"/>
    <w:rsid w:val="37CD3840"/>
    <w:rsid w:val="37F61973"/>
    <w:rsid w:val="37F62926"/>
    <w:rsid w:val="37F74366"/>
    <w:rsid w:val="37FEB1B5"/>
    <w:rsid w:val="384D4981"/>
    <w:rsid w:val="386C755C"/>
    <w:rsid w:val="386F0D9D"/>
    <w:rsid w:val="389B032D"/>
    <w:rsid w:val="38AA793D"/>
    <w:rsid w:val="38B277DA"/>
    <w:rsid w:val="38B642D4"/>
    <w:rsid w:val="38BD1295"/>
    <w:rsid w:val="38DC1FD6"/>
    <w:rsid w:val="38FC4711"/>
    <w:rsid w:val="394D47A6"/>
    <w:rsid w:val="3961704A"/>
    <w:rsid w:val="398D24B2"/>
    <w:rsid w:val="399A1496"/>
    <w:rsid w:val="39B42F70"/>
    <w:rsid w:val="39BA1BA2"/>
    <w:rsid w:val="39D52796"/>
    <w:rsid w:val="39D6051A"/>
    <w:rsid w:val="39EB1191"/>
    <w:rsid w:val="39FC65CC"/>
    <w:rsid w:val="39FE6F59"/>
    <w:rsid w:val="3A1A6AE5"/>
    <w:rsid w:val="3A4526F1"/>
    <w:rsid w:val="3A701AE7"/>
    <w:rsid w:val="3A750E6E"/>
    <w:rsid w:val="3A941C32"/>
    <w:rsid w:val="3AA83C87"/>
    <w:rsid w:val="3AB67AB0"/>
    <w:rsid w:val="3AC628CD"/>
    <w:rsid w:val="3ACE7FFB"/>
    <w:rsid w:val="3AD603BE"/>
    <w:rsid w:val="3AEF76EC"/>
    <w:rsid w:val="3AF2384C"/>
    <w:rsid w:val="3B002605"/>
    <w:rsid w:val="3B0E070B"/>
    <w:rsid w:val="3B0E7276"/>
    <w:rsid w:val="3B5A0033"/>
    <w:rsid w:val="3B6E3567"/>
    <w:rsid w:val="3BA34E54"/>
    <w:rsid w:val="3BAD45C9"/>
    <w:rsid w:val="3BC477EF"/>
    <w:rsid w:val="3BD54ECE"/>
    <w:rsid w:val="3BDA7FB9"/>
    <w:rsid w:val="3BE26336"/>
    <w:rsid w:val="3C136345"/>
    <w:rsid w:val="3C260152"/>
    <w:rsid w:val="3C4F3ADC"/>
    <w:rsid w:val="3C5C187A"/>
    <w:rsid w:val="3C7F4555"/>
    <w:rsid w:val="3C9B5744"/>
    <w:rsid w:val="3CA36B67"/>
    <w:rsid w:val="3CC276DE"/>
    <w:rsid w:val="3CC90FBC"/>
    <w:rsid w:val="3CD27392"/>
    <w:rsid w:val="3CF32FDE"/>
    <w:rsid w:val="3CF570D5"/>
    <w:rsid w:val="3CFC24D2"/>
    <w:rsid w:val="3CFF78D5"/>
    <w:rsid w:val="3D1D0DC6"/>
    <w:rsid w:val="3D1F4B70"/>
    <w:rsid w:val="3D3706E1"/>
    <w:rsid w:val="3D3B3C1C"/>
    <w:rsid w:val="3D3F3B51"/>
    <w:rsid w:val="3D4A629D"/>
    <w:rsid w:val="3D4C5425"/>
    <w:rsid w:val="3D6A1E76"/>
    <w:rsid w:val="3D944C04"/>
    <w:rsid w:val="3DA908AC"/>
    <w:rsid w:val="3DD00851"/>
    <w:rsid w:val="3DF862BE"/>
    <w:rsid w:val="3E016DE0"/>
    <w:rsid w:val="3E124382"/>
    <w:rsid w:val="3E23472E"/>
    <w:rsid w:val="3E522CC8"/>
    <w:rsid w:val="3E5C192C"/>
    <w:rsid w:val="3E6C53A7"/>
    <w:rsid w:val="3E826A0A"/>
    <w:rsid w:val="3E935747"/>
    <w:rsid w:val="3EB06511"/>
    <w:rsid w:val="3EBC1C11"/>
    <w:rsid w:val="3ECC2AA4"/>
    <w:rsid w:val="3EDDF4FA"/>
    <w:rsid w:val="3EE55913"/>
    <w:rsid w:val="3EE8198D"/>
    <w:rsid w:val="3EF6D5F8"/>
    <w:rsid w:val="3F001701"/>
    <w:rsid w:val="3F01199F"/>
    <w:rsid w:val="3F0561CC"/>
    <w:rsid w:val="3F7B1879"/>
    <w:rsid w:val="3FB07CE1"/>
    <w:rsid w:val="3FC24032"/>
    <w:rsid w:val="3FCD4E02"/>
    <w:rsid w:val="3FE0008D"/>
    <w:rsid w:val="3FE27F44"/>
    <w:rsid w:val="3FE44DB0"/>
    <w:rsid w:val="40295C55"/>
    <w:rsid w:val="402B1A4C"/>
    <w:rsid w:val="40461D6E"/>
    <w:rsid w:val="404F327E"/>
    <w:rsid w:val="40764F3C"/>
    <w:rsid w:val="40766F7A"/>
    <w:rsid w:val="40C75330"/>
    <w:rsid w:val="40CA7613"/>
    <w:rsid w:val="40ED7B88"/>
    <w:rsid w:val="40F40090"/>
    <w:rsid w:val="4119401A"/>
    <w:rsid w:val="4134318C"/>
    <w:rsid w:val="414420D7"/>
    <w:rsid w:val="41497185"/>
    <w:rsid w:val="414B6138"/>
    <w:rsid w:val="417D70A3"/>
    <w:rsid w:val="418740B0"/>
    <w:rsid w:val="419844D8"/>
    <w:rsid w:val="41A2034E"/>
    <w:rsid w:val="41A979CC"/>
    <w:rsid w:val="41B240A7"/>
    <w:rsid w:val="41BD4926"/>
    <w:rsid w:val="41D536E3"/>
    <w:rsid w:val="41D95FE8"/>
    <w:rsid w:val="41E11CA7"/>
    <w:rsid w:val="41F1648E"/>
    <w:rsid w:val="41F8600A"/>
    <w:rsid w:val="420014A1"/>
    <w:rsid w:val="422D2160"/>
    <w:rsid w:val="42396A7D"/>
    <w:rsid w:val="423F1898"/>
    <w:rsid w:val="42580183"/>
    <w:rsid w:val="426D552C"/>
    <w:rsid w:val="42C03D90"/>
    <w:rsid w:val="42C3234A"/>
    <w:rsid w:val="42EC7954"/>
    <w:rsid w:val="42F9254F"/>
    <w:rsid w:val="43090FD9"/>
    <w:rsid w:val="430D0D7E"/>
    <w:rsid w:val="43171E14"/>
    <w:rsid w:val="43313A24"/>
    <w:rsid w:val="433D10E2"/>
    <w:rsid w:val="43416A49"/>
    <w:rsid w:val="435C75F3"/>
    <w:rsid w:val="436F7031"/>
    <w:rsid w:val="43715308"/>
    <w:rsid w:val="43AA5F6D"/>
    <w:rsid w:val="43B14016"/>
    <w:rsid w:val="43BB6864"/>
    <w:rsid w:val="43E01243"/>
    <w:rsid w:val="43F00510"/>
    <w:rsid w:val="43FF5C60"/>
    <w:rsid w:val="44133386"/>
    <w:rsid w:val="442858E1"/>
    <w:rsid w:val="4431474F"/>
    <w:rsid w:val="44321313"/>
    <w:rsid w:val="446C6E24"/>
    <w:rsid w:val="447E2A0F"/>
    <w:rsid w:val="448A411E"/>
    <w:rsid w:val="44915828"/>
    <w:rsid w:val="449A30DE"/>
    <w:rsid w:val="44A47695"/>
    <w:rsid w:val="44BE666B"/>
    <w:rsid w:val="44D426B2"/>
    <w:rsid w:val="44D9550F"/>
    <w:rsid w:val="450918B6"/>
    <w:rsid w:val="452717E6"/>
    <w:rsid w:val="452F4F26"/>
    <w:rsid w:val="453F45E2"/>
    <w:rsid w:val="45405345"/>
    <w:rsid w:val="45463295"/>
    <w:rsid w:val="45875321"/>
    <w:rsid w:val="4588590C"/>
    <w:rsid w:val="45AB5E98"/>
    <w:rsid w:val="45C33153"/>
    <w:rsid w:val="45C513B0"/>
    <w:rsid w:val="45C861FB"/>
    <w:rsid w:val="46014259"/>
    <w:rsid w:val="461C5622"/>
    <w:rsid w:val="462678CF"/>
    <w:rsid w:val="46602401"/>
    <w:rsid w:val="4668035E"/>
    <w:rsid w:val="46883415"/>
    <w:rsid w:val="468F73FE"/>
    <w:rsid w:val="469A0BA6"/>
    <w:rsid w:val="46A4761C"/>
    <w:rsid w:val="46BD0001"/>
    <w:rsid w:val="46CF3BB8"/>
    <w:rsid w:val="46F62080"/>
    <w:rsid w:val="46FC4F20"/>
    <w:rsid w:val="47270310"/>
    <w:rsid w:val="47872571"/>
    <w:rsid w:val="478E4E27"/>
    <w:rsid w:val="47B570E5"/>
    <w:rsid w:val="47BD2B2E"/>
    <w:rsid w:val="47CC29CB"/>
    <w:rsid w:val="47CC540F"/>
    <w:rsid w:val="48042B34"/>
    <w:rsid w:val="48150631"/>
    <w:rsid w:val="482228FB"/>
    <w:rsid w:val="48284AC3"/>
    <w:rsid w:val="48304BEE"/>
    <w:rsid w:val="48524B0F"/>
    <w:rsid w:val="48524FDD"/>
    <w:rsid w:val="488E6683"/>
    <w:rsid w:val="488F4366"/>
    <w:rsid w:val="48D86719"/>
    <w:rsid w:val="48F32F3B"/>
    <w:rsid w:val="490259A8"/>
    <w:rsid w:val="49132D3B"/>
    <w:rsid w:val="4935600E"/>
    <w:rsid w:val="49385C0C"/>
    <w:rsid w:val="497425E1"/>
    <w:rsid w:val="498116C1"/>
    <w:rsid w:val="499F1C25"/>
    <w:rsid w:val="49AC50DE"/>
    <w:rsid w:val="49B101C9"/>
    <w:rsid w:val="49C05A4A"/>
    <w:rsid w:val="49E4340C"/>
    <w:rsid w:val="49F673AD"/>
    <w:rsid w:val="4A171FDA"/>
    <w:rsid w:val="4A1F34F0"/>
    <w:rsid w:val="4A3E1DFE"/>
    <w:rsid w:val="4A4F3F3B"/>
    <w:rsid w:val="4A557DC9"/>
    <w:rsid w:val="4A571D1F"/>
    <w:rsid w:val="4A5859B6"/>
    <w:rsid w:val="4A5E5A7F"/>
    <w:rsid w:val="4A6F5CAB"/>
    <w:rsid w:val="4A7B361B"/>
    <w:rsid w:val="4A8C1339"/>
    <w:rsid w:val="4A8E24A5"/>
    <w:rsid w:val="4A951FC0"/>
    <w:rsid w:val="4AA85AA1"/>
    <w:rsid w:val="4AAC3CC5"/>
    <w:rsid w:val="4AB074A4"/>
    <w:rsid w:val="4AB859D6"/>
    <w:rsid w:val="4ACE54AE"/>
    <w:rsid w:val="4ADC18E8"/>
    <w:rsid w:val="4AEF530D"/>
    <w:rsid w:val="4B012F2C"/>
    <w:rsid w:val="4B2F61F0"/>
    <w:rsid w:val="4B3012BB"/>
    <w:rsid w:val="4B4F2A61"/>
    <w:rsid w:val="4B6206BA"/>
    <w:rsid w:val="4BA14318"/>
    <w:rsid w:val="4BC75FB4"/>
    <w:rsid w:val="4BCD4F56"/>
    <w:rsid w:val="4BDE0179"/>
    <w:rsid w:val="4BE15EC5"/>
    <w:rsid w:val="4BF5731E"/>
    <w:rsid w:val="4C3B48FD"/>
    <w:rsid w:val="4C457A46"/>
    <w:rsid w:val="4C57618A"/>
    <w:rsid w:val="4C6A46DE"/>
    <w:rsid w:val="4CBD6FDE"/>
    <w:rsid w:val="4CE87073"/>
    <w:rsid w:val="4CF71222"/>
    <w:rsid w:val="4D2D61FC"/>
    <w:rsid w:val="4D3A55F0"/>
    <w:rsid w:val="4D5679DC"/>
    <w:rsid w:val="4D956F49"/>
    <w:rsid w:val="4D9661D8"/>
    <w:rsid w:val="4D97655C"/>
    <w:rsid w:val="4D9932ED"/>
    <w:rsid w:val="4D9F06AB"/>
    <w:rsid w:val="4DB45FFA"/>
    <w:rsid w:val="4DD62336"/>
    <w:rsid w:val="4DE107E9"/>
    <w:rsid w:val="4DE82D2A"/>
    <w:rsid w:val="4DEB5A29"/>
    <w:rsid w:val="4E144BA8"/>
    <w:rsid w:val="4E163B5A"/>
    <w:rsid w:val="4E2B2C17"/>
    <w:rsid w:val="4E324158"/>
    <w:rsid w:val="4E332FE3"/>
    <w:rsid w:val="4E57075F"/>
    <w:rsid w:val="4E717CB1"/>
    <w:rsid w:val="4E846B0F"/>
    <w:rsid w:val="4E9A4715"/>
    <w:rsid w:val="4E9F1C96"/>
    <w:rsid w:val="4EA62F7D"/>
    <w:rsid w:val="4EAF0CD3"/>
    <w:rsid w:val="4EB4138B"/>
    <w:rsid w:val="4EE5527D"/>
    <w:rsid w:val="4EF76B75"/>
    <w:rsid w:val="4F307F99"/>
    <w:rsid w:val="4F3A5808"/>
    <w:rsid w:val="4F5712D6"/>
    <w:rsid w:val="4F61758B"/>
    <w:rsid w:val="4F6F18D7"/>
    <w:rsid w:val="4FAD422B"/>
    <w:rsid w:val="4FB9185A"/>
    <w:rsid w:val="4FE35DF0"/>
    <w:rsid w:val="4FE94B64"/>
    <w:rsid w:val="501C56B7"/>
    <w:rsid w:val="50530BC8"/>
    <w:rsid w:val="506F39D9"/>
    <w:rsid w:val="508C01A9"/>
    <w:rsid w:val="50A54FE5"/>
    <w:rsid w:val="50B0253B"/>
    <w:rsid w:val="50C15033"/>
    <w:rsid w:val="50FA20DB"/>
    <w:rsid w:val="51187221"/>
    <w:rsid w:val="5131350C"/>
    <w:rsid w:val="51316E35"/>
    <w:rsid w:val="513C2EDD"/>
    <w:rsid w:val="51833443"/>
    <w:rsid w:val="51906B62"/>
    <w:rsid w:val="519949CA"/>
    <w:rsid w:val="5199796C"/>
    <w:rsid w:val="51BB4F4F"/>
    <w:rsid w:val="51DE196A"/>
    <w:rsid w:val="51E273BE"/>
    <w:rsid w:val="51E61FD0"/>
    <w:rsid w:val="51EF26CD"/>
    <w:rsid w:val="52244CE0"/>
    <w:rsid w:val="522A03F2"/>
    <w:rsid w:val="52341AFD"/>
    <w:rsid w:val="523B5CD2"/>
    <w:rsid w:val="52597C66"/>
    <w:rsid w:val="52847CC6"/>
    <w:rsid w:val="529D3D17"/>
    <w:rsid w:val="52A07287"/>
    <w:rsid w:val="52B17872"/>
    <w:rsid w:val="52BA0C9C"/>
    <w:rsid w:val="52C06C9F"/>
    <w:rsid w:val="53074673"/>
    <w:rsid w:val="53187152"/>
    <w:rsid w:val="532B17C9"/>
    <w:rsid w:val="5349236F"/>
    <w:rsid w:val="534C5B64"/>
    <w:rsid w:val="53515CAE"/>
    <w:rsid w:val="536107A3"/>
    <w:rsid w:val="538240B5"/>
    <w:rsid w:val="538C167D"/>
    <w:rsid w:val="538E7ED0"/>
    <w:rsid w:val="53A800FC"/>
    <w:rsid w:val="53AD440C"/>
    <w:rsid w:val="53DE163D"/>
    <w:rsid w:val="53E61ABA"/>
    <w:rsid w:val="541455EA"/>
    <w:rsid w:val="542303F8"/>
    <w:rsid w:val="54444A33"/>
    <w:rsid w:val="545D2753"/>
    <w:rsid w:val="54604F80"/>
    <w:rsid w:val="54612EE1"/>
    <w:rsid w:val="546209B4"/>
    <w:rsid w:val="54666D10"/>
    <w:rsid w:val="5478407C"/>
    <w:rsid w:val="5481397B"/>
    <w:rsid w:val="5490425F"/>
    <w:rsid w:val="54961B6C"/>
    <w:rsid w:val="54967355"/>
    <w:rsid w:val="54EC26DD"/>
    <w:rsid w:val="54F35107"/>
    <w:rsid w:val="55051CE9"/>
    <w:rsid w:val="55090217"/>
    <w:rsid w:val="551A29AD"/>
    <w:rsid w:val="55364E1B"/>
    <w:rsid w:val="55437EFB"/>
    <w:rsid w:val="55844014"/>
    <w:rsid w:val="558C32BA"/>
    <w:rsid w:val="55AC05AB"/>
    <w:rsid w:val="55C34E73"/>
    <w:rsid w:val="55FC2402"/>
    <w:rsid w:val="55FC6482"/>
    <w:rsid w:val="55FD2356"/>
    <w:rsid w:val="55FD7D0A"/>
    <w:rsid w:val="561624E4"/>
    <w:rsid w:val="56433506"/>
    <w:rsid w:val="56617DD7"/>
    <w:rsid w:val="568238F3"/>
    <w:rsid w:val="56AB71DB"/>
    <w:rsid w:val="56BD2924"/>
    <w:rsid w:val="56D71B8E"/>
    <w:rsid w:val="57085EE4"/>
    <w:rsid w:val="570B3E02"/>
    <w:rsid w:val="571BFF49"/>
    <w:rsid w:val="573F5101"/>
    <w:rsid w:val="576D37A4"/>
    <w:rsid w:val="578E65D4"/>
    <w:rsid w:val="57B049BA"/>
    <w:rsid w:val="57B958F8"/>
    <w:rsid w:val="57C05CCD"/>
    <w:rsid w:val="57C413A5"/>
    <w:rsid w:val="57CE11E3"/>
    <w:rsid w:val="57E767A6"/>
    <w:rsid w:val="57EE3484"/>
    <w:rsid w:val="57F80C60"/>
    <w:rsid w:val="58215AB6"/>
    <w:rsid w:val="582B0154"/>
    <w:rsid w:val="585F534A"/>
    <w:rsid w:val="58862B72"/>
    <w:rsid w:val="588A5AE9"/>
    <w:rsid w:val="58900C95"/>
    <w:rsid w:val="589C50B7"/>
    <w:rsid w:val="589E625B"/>
    <w:rsid w:val="58B20AEC"/>
    <w:rsid w:val="58BF52A9"/>
    <w:rsid w:val="58D87F55"/>
    <w:rsid w:val="58DF4FEC"/>
    <w:rsid w:val="58FE49B7"/>
    <w:rsid w:val="58FEAF7A"/>
    <w:rsid w:val="59021FD2"/>
    <w:rsid w:val="59267B33"/>
    <w:rsid w:val="592B4373"/>
    <w:rsid w:val="59615283"/>
    <w:rsid w:val="596662A5"/>
    <w:rsid w:val="59902F35"/>
    <w:rsid w:val="5994238E"/>
    <w:rsid w:val="5995052F"/>
    <w:rsid w:val="59B93C4C"/>
    <w:rsid w:val="59D165F0"/>
    <w:rsid w:val="59D35D63"/>
    <w:rsid w:val="59E04505"/>
    <w:rsid w:val="59FA3177"/>
    <w:rsid w:val="5A143B8D"/>
    <w:rsid w:val="5A223159"/>
    <w:rsid w:val="5A3A0AA5"/>
    <w:rsid w:val="5A4F554A"/>
    <w:rsid w:val="5A506F3E"/>
    <w:rsid w:val="5A7526C4"/>
    <w:rsid w:val="5A940D72"/>
    <w:rsid w:val="5AB41DB0"/>
    <w:rsid w:val="5AD732CB"/>
    <w:rsid w:val="5AF46232"/>
    <w:rsid w:val="5B12588A"/>
    <w:rsid w:val="5B411CCC"/>
    <w:rsid w:val="5B506E2B"/>
    <w:rsid w:val="5B6441D3"/>
    <w:rsid w:val="5B6B430D"/>
    <w:rsid w:val="5B7B31A9"/>
    <w:rsid w:val="5B815166"/>
    <w:rsid w:val="5B83592D"/>
    <w:rsid w:val="5BA33C64"/>
    <w:rsid w:val="5BDD7F38"/>
    <w:rsid w:val="5C047B83"/>
    <w:rsid w:val="5C0B29A6"/>
    <w:rsid w:val="5C1D4690"/>
    <w:rsid w:val="5C267747"/>
    <w:rsid w:val="5C414134"/>
    <w:rsid w:val="5C4D667C"/>
    <w:rsid w:val="5C7825EA"/>
    <w:rsid w:val="5C7E1B5B"/>
    <w:rsid w:val="5C9A3C1D"/>
    <w:rsid w:val="5C9D30FF"/>
    <w:rsid w:val="5C9F6CAA"/>
    <w:rsid w:val="5CA7BEF0"/>
    <w:rsid w:val="5CC24565"/>
    <w:rsid w:val="5CC77665"/>
    <w:rsid w:val="5CD37506"/>
    <w:rsid w:val="5CD9561D"/>
    <w:rsid w:val="5CEC1798"/>
    <w:rsid w:val="5D050023"/>
    <w:rsid w:val="5D077BAE"/>
    <w:rsid w:val="5D1B4EFD"/>
    <w:rsid w:val="5D232C38"/>
    <w:rsid w:val="5D276BDB"/>
    <w:rsid w:val="5D2E7780"/>
    <w:rsid w:val="5D779D4D"/>
    <w:rsid w:val="5D787B8A"/>
    <w:rsid w:val="5D93642D"/>
    <w:rsid w:val="5D956205"/>
    <w:rsid w:val="5D983E4F"/>
    <w:rsid w:val="5DCB48EE"/>
    <w:rsid w:val="5DCF5602"/>
    <w:rsid w:val="5DF448E5"/>
    <w:rsid w:val="5E09755D"/>
    <w:rsid w:val="5E2C3A7D"/>
    <w:rsid w:val="5E390CAF"/>
    <w:rsid w:val="5E3C6D30"/>
    <w:rsid w:val="5E4E37AD"/>
    <w:rsid w:val="5E5F5EF7"/>
    <w:rsid w:val="5E60128D"/>
    <w:rsid w:val="5E697D49"/>
    <w:rsid w:val="5E6D720A"/>
    <w:rsid w:val="5E7F4FE5"/>
    <w:rsid w:val="5E9E7B40"/>
    <w:rsid w:val="5EB23E2B"/>
    <w:rsid w:val="5EC5386C"/>
    <w:rsid w:val="5EDA419A"/>
    <w:rsid w:val="5EE51AE4"/>
    <w:rsid w:val="5EF048AB"/>
    <w:rsid w:val="5F036FBE"/>
    <w:rsid w:val="5F0A15F3"/>
    <w:rsid w:val="5F313E05"/>
    <w:rsid w:val="5F433247"/>
    <w:rsid w:val="5F45258B"/>
    <w:rsid w:val="5F5C1C5B"/>
    <w:rsid w:val="5F5D5201"/>
    <w:rsid w:val="5F690130"/>
    <w:rsid w:val="5F73BD68"/>
    <w:rsid w:val="5F966E18"/>
    <w:rsid w:val="5F970059"/>
    <w:rsid w:val="5F9A70E8"/>
    <w:rsid w:val="5FAD1249"/>
    <w:rsid w:val="5FB0093D"/>
    <w:rsid w:val="5FE65556"/>
    <w:rsid w:val="601E660F"/>
    <w:rsid w:val="603A21D9"/>
    <w:rsid w:val="6094289E"/>
    <w:rsid w:val="609C6B9A"/>
    <w:rsid w:val="60B52778"/>
    <w:rsid w:val="60B718BC"/>
    <w:rsid w:val="60D90292"/>
    <w:rsid w:val="61022FB1"/>
    <w:rsid w:val="61031113"/>
    <w:rsid w:val="6113529D"/>
    <w:rsid w:val="61166383"/>
    <w:rsid w:val="613A7352"/>
    <w:rsid w:val="613D732D"/>
    <w:rsid w:val="614A63D5"/>
    <w:rsid w:val="614B4412"/>
    <w:rsid w:val="6155317E"/>
    <w:rsid w:val="615F1B75"/>
    <w:rsid w:val="61616C24"/>
    <w:rsid w:val="617D7BD4"/>
    <w:rsid w:val="61973B2B"/>
    <w:rsid w:val="61BB2FCE"/>
    <w:rsid w:val="61D57BE4"/>
    <w:rsid w:val="6200214A"/>
    <w:rsid w:val="62521141"/>
    <w:rsid w:val="629A0A03"/>
    <w:rsid w:val="62A102F6"/>
    <w:rsid w:val="62A15832"/>
    <w:rsid w:val="62A872C5"/>
    <w:rsid w:val="62B84231"/>
    <w:rsid w:val="62C47FC5"/>
    <w:rsid w:val="62D31681"/>
    <w:rsid w:val="62D50185"/>
    <w:rsid w:val="62EE044B"/>
    <w:rsid w:val="62F449E2"/>
    <w:rsid w:val="630E388B"/>
    <w:rsid w:val="63203565"/>
    <w:rsid w:val="63282DB4"/>
    <w:rsid w:val="63360D48"/>
    <w:rsid w:val="63813D88"/>
    <w:rsid w:val="63896059"/>
    <w:rsid w:val="63A75A25"/>
    <w:rsid w:val="63AA056F"/>
    <w:rsid w:val="63B81E84"/>
    <w:rsid w:val="63D559FD"/>
    <w:rsid w:val="63D65836"/>
    <w:rsid w:val="63E632A0"/>
    <w:rsid w:val="63EA73A4"/>
    <w:rsid w:val="63FA14BE"/>
    <w:rsid w:val="640516EE"/>
    <w:rsid w:val="64257378"/>
    <w:rsid w:val="64284B5D"/>
    <w:rsid w:val="642E3C6C"/>
    <w:rsid w:val="644C3123"/>
    <w:rsid w:val="645C0C48"/>
    <w:rsid w:val="64732602"/>
    <w:rsid w:val="64945730"/>
    <w:rsid w:val="64B97A50"/>
    <w:rsid w:val="64BC7EC9"/>
    <w:rsid w:val="64C85EB7"/>
    <w:rsid w:val="64E472EC"/>
    <w:rsid w:val="64F1387C"/>
    <w:rsid w:val="64FD041F"/>
    <w:rsid w:val="64FE7D01"/>
    <w:rsid w:val="64FF55AF"/>
    <w:rsid w:val="6510166A"/>
    <w:rsid w:val="6510790A"/>
    <w:rsid w:val="6511382D"/>
    <w:rsid w:val="654153AA"/>
    <w:rsid w:val="655D5D1D"/>
    <w:rsid w:val="65684079"/>
    <w:rsid w:val="65755183"/>
    <w:rsid w:val="657F4530"/>
    <w:rsid w:val="65847FCB"/>
    <w:rsid w:val="658D6CC0"/>
    <w:rsid w:val="659912BC"/>
    <w:rsid w:val="65E850A7"/>
    <w:rsid w:val="65F22F16"/>
    <w:rsid w:val="66205162"/>
    <w:rsid w:val="663C214A"/>
    <w:rsid w:val="664B3CD4"/>
    <w:rsid w:val="666770BE"/>
    <w:rsid w:val="666A2BB2"/>
    <w:rsid w:val="666B550A"/>
    <w:rsid w:val="668A491E"/>
    <w:rsid w:val="66BC2B4E"/>
    <w:rsid w:val="66CC6427"/>
    <w:rsid w:val="66E66872"/>
    <w:rsid w:val="67255D99"/>
    <w:rsid w:val="672701F0"/>
    <w:rsid w:val="67467301"/>
    <w:rsid w:val="67512BB0"/>
    <w:rsid w:val="675D5843"/>
    <w:rsid w:val="676952A1"/>
    <w:rsid w:val="676B24FB"/>
    <w:rsid w:val="67786092"/>
    <w:rsid w:val="67967A99"/>
    <w:rsid w:val="67C174B3"/>
    <w:rsid w:val="681A2772"/>
    <w:rsid w:val="681E5132"/>
    <w:rsid w:val="682B7F8C"/>
    <w:rsid w:val="683F2746"/>
    <w:rsid w:val="68421E34"/>
    <w:rsid w:val="684C208C"/>
    <w:rsid w:val="68701E42"/>
    <w:rsid w:val="68765FE7"/>
    <w:rsid w:val="68982479"/>
    <w:rsid w:val="68AB5D80"/>
    <w:rsid w:val="68B02F4E"/>
    <w:rsid w:val="68E0239E"/>
    <w:rsid w:val="68E82796"/>
    <w:rsid w:val="68EC55F7"/>
    <w:rsid w:val="690540BF"/>
    <w:rsid w:val="690560DF"/>
    <w:rsid w:val="69075C34"/>
    <w:rsid w:val="691A5EE6"/>
    <w:rsid w:val="691E5013"/>
    <w:rsid w:val="69341349"/>
    <w:rsid w:val="693F23B7"/>
    <w:rsid w:val="6956398A"/>
    <w:rsid w:val="696370F4"/>
    <w:rsid w:val="696C0310"/>
    <w:rsid w:val="69845C64"/>
    <w:rsid w:val="69B247C8"/>
    <w:rsid w:val="69C64714"/>
    <w:rsid w:val="69CA4852"/>
    <w:rsid w:val="69CC56B4"/>
    <w:rsid w:val="69EF59B1"/>
    <w:rsid w:val="6A0700E9"/>
    <w:rsid w:val="6A2B02B0"/>
    <w:rsid w:val="6A327563"/>
    <w:rsid w:val="6A4109EA"/>
    <w:rsid w:val="6A4C7071"/>
    <w:rsid w:val="6A694F27"/>
    <w:rsid w:val="6AAA1233"/>
    <w:rsid w:val="6ABB6531"/>
    <w:rsid w:val="6AE663EC"/>
    <w:rsid w:val="6B1E16E2"/>
    <w:rsid w:val="6B3525B5"/>
    <w:rsid w:val="6B4337DD"/>
    <w:rsid w:val="6B5B3A72"/>
    <w:rsid w:val="6B6D5FC2"/>
    <w:rsid w:val="6C171503"/>
    <w:rsid w:val="6C1A7210"/>
    <w:rsid w:val="6C1B6850"/>
    <w:rsid w:val="6C225448"/>
    <w:rsid w:val="6C2C6080"/>
    <w:rsid w:val="6C3167E0"/>
    <w:rsid w:val="6C350AD4"/>
    <w:rsid w:val="6C933EFE"/>
    <w:rsid w:val="6C9C5BD4"/>
    <w:rsid w:val="6CA251B2"/>
    <w:rsid w:val="6CB76C88"/>
    <w:rsid w:val="6CCB691F"/>
    <w:rsid w:val="6CEB1A97"/>
    <w:rsid w:val="6CF42ABF"/>
    <w:rsid w:val="6D1C298A"/>
    <w:rsid w:val="6D216851"/>
    <w:rsid w:val="6D5E2905"/>
    <w:rsid w:val="6D827B16"/>
    <w:rsid w:val="6D8E1695"/>
    <w:rsid w:val="6D9222C1"/>
    <w:rsid w:val="6D9803A2"/>
    <w:rsid w:val="6DC13CA6"/>
    <w:rsid w:val="6DCD28E3"/>
    <w:rsid w:val="6DE63790"/>
    <w:rsid w:val="6DEA4F8E"/>
    <w:rsid w:val="6DF710C0"/>
    <w:rsid w:val="6DFE7A4F"/>
    <w:rsid w:val="6E0C0136"/>
    <w:rsid w:val="6E130DE5"/>
    <w:rsid w:val="6E194716"/>
    <w:rsid w:val="6E5A1A5A"/>
    <w:rsid w:val="6E6C37E0"/>
    <w:rsid w:val="6E6E31FD"/>
    <w:rsid w:val="6E7962F9"/>
    <w:rsid w:val="6E8E775E"/>
    <w:rsid w:val="6EAE2137"/>
    <w:rsid w:val="6EB221A0"/>
    <w:rsid w:val="6EB44823"/>
    <w:rsid w:val="6ECF300F"/>
    <w:rsid w:val="6EEE712E"/>
    <w:rsid w:val="6F010C33"/>
    <w:rsid w:val="6F0D3EDF"/>
    <w:rsid w:val="6F431348"/>
    <w:rsid w:val="6F58000D"/>
    <w:rsid w:val="6F7C77BD"/>
    <w:rsid w:val="6F7DC595"/>
    <w:rsid w:val="6F7E7354"/>
    <w:rsid w:val="6F7F1B4B"/>
    <w:rsid w:val="6F9A4163"/>
    <w:rsid w:val="6FA60E46"/>
    <w:rsid w:val="6FB645DF"/>
    <w:rsid w:val="6FC23FA3"/>
    <w:rsid w:val="6FCD1A6E"/>
    <w:rsid w:val="6FD77A28"/>
    <w:rsid w:val="6FF35895"/>
    <w:rsid w:val="6FFF5A7F"/>
    <w:rsid w:val="701E0731"/>
    <w:rsid w:val="70291C46"/>
    <w:rsid w:val="70341DAC"/>
    <w:rsid w:val="70350C60"/>
    <w:rsid w:val="7075685A"/>
    <w:rsid w:val="70A30A11"/>
    <w:rsid w:val="70AC2981"/>
    <w:rsid w:val="70B7547C"/>
    <w:rsid w:val="70C04C1F"/>
    <w:rsid w:val="70C655B0"/>
    <w:rsid w:val="70CE4C96"/>
    <w:rsid w:val="70CF0B3D"/>
    <w:rsid w:val="71354387"/>
    <w:rsid w:val="714317DD"/>
    <w:rsid w:val="715116D2"/>
    <w:rsid w:val="7162408D"/>
    <w:rsid w:val="71625915"/>
    <w:rsid w:val="71772542"/>
    <w:rsid w:val="71B21069"/>
    <w:rsid w:val="71CA73EC"/>
    <w:rsid w:val="71CC3CC0"/>
    <w:rsid w:val="71DB24DA"/>
    <w:rsid w:val="71F633F8"/>
    <w:rsid w:val="71F744F2"/>
    <w:rsid w:val="72126C7F"/>
    <w:rsid w:val="7218415A"/>
    <w:rsid w:val="721F5CC8"/>
    <w:rsid w:val="72450106"/>
    <w:rsid w:val="72A33D69"/>
    <w:rsid w:val="72DE9038"/>
    <w:rsid w:val="730F3394"/>
    <w:rsid w:val="731A697D"/>
    <w:rsid w:val="733D4CBA"/>
    <w:rsid w:val="73410663"/>
    <w:rsid w:val="735A2220"/>
    <w:rsid w:val="73793F92"/>
    <w:rsid w:val="73D83477"/>
    <w:rsid w:val="73E43E5B"/>
    <w:rsid w:val="74026044"/>
    <w:rsid w:val="741B3C37"/>
    <w:rsid w:val="743B2BB7"/>
    <w:rsid w:val="747924D5"/>
    <w:rsid w:val="748D443D"/>
    <w:rsid w:val="749F7D37"/>
    <w:rsid w:val="74B63C4A"/>
    <w:rsid w:val="74BF0839"/>
    <w:rsid w:val="74BFAF04"/>
    <w:rsid w:val="74CF6187"/>
    <w:rsid w:val="74D30D95"/>
    <w:rsid w:val="74F62207"/>
    <w:rsid w:val="750D788E"/>
    <w:rsid w:val="752A5775"/>
    <w:rsid w:val="753A15D7"/>
    <w:rsid w:val="754A4575"/>
    <w:rsid w:val="7564688B"/>
    <w:rsid w:val="75745F30"/>
    <w:rsid w:val="75A008C8"/>
    <w:rsid w:val="75CC5684"/>
    <w:rsid w:val="75D52C2D"/>
    <w:rsid w:val="76021F59"/>
    <w:rsid w:val="760807B1"/>
    <w:rsid w:val="765B1419"/>
    <w:rsid w:val="76652961"/>
    <w:rsid w:val="7671275F"/>
    <w:rsid w:val="76971CDF"/>
    <w:rsid w:val="769D4069"/>
    <w:rsid w:val="76A60379"/>
    <w:rsid w:val="76AA5144"/>
    <w:rsid w:val="76AC1D52"/>
    <w:rsid w:val="76BD0685"/>
    <w:rsid w:val="76DF0815"/>
    <w:rsid w:val="76E56A8E"/>
    <w:rsid w:val="76F83B54"/>
    <w:rsid w:val="773125E2"/>
    <w:rsid w:val="778B4ADE"/>
    <w:rsid w:val="779BF821"/>
    <w:rsid w:val="77AC0674"/>
    <w:rsid w:val="77BA7C86"/>
    <w:rsid w:val="77CC7198"/>
    <w:rsid w:val="77CE2B57"/>
    <w:rsid w:val="77DE0B76"/>
    <w:rsid w:val="77E43DD2"/>
    <w:rsid w:val="77F6075E"/>
    <w:rsid w:val="77F86903"/>
    <w:rsid w:val="77FB5427"/>
    <w:rsid w:val="77FF081E"/>
    <w:rsid w:val="780D0A8D"/>
    <w:rsid w:val="78151A26"/>
    <w:rsid w:val="78286AF7"/>
    <w:rsid w:val="782D3663"/>
    <w:rsid w:val="7843265A"/>
    <w:rsid w:val="786F7A21"/>
    <w:rsid w:val="788829E6"/>
    <w:rsid w:val="789B7702"/>
    <w:rsid w:val="78BA03C6"/>
    <w:rsid w:val="78E11465"/>
    <w:rsid w:val="78F47D2D"/>
    <w:rsid w:val="78F64552"/>
    <w:rsid w:val="78F6798A"/>
    <w:rsid w:val="79116D1B"/>
    <w:rsid w:val="793C5C50"/>
    <w:rsid w:val="796C0923"/>
    <w:rsid w:val="79795F5A"/>
    <w:rsid w:val="798D0AD2"/>
    <w:rsid w:val="79A41C7C"/>
    <w:rsid w:val="79DF1B4D"/>
    <w:rsid w:val="79F81E12"/>
    <w:rsid w:val="7A0A7CEB"/>
    <w:rsid w:val="7A101951"/>
    <w:rsid w:val="7A1C65EB"/>
    <w:rsid w:val="7A60175F"/>
    <w:rsid w:val="7A707A80"/>
    <w:rsid w:val="7A7D7E7C"/>
    <w:rsid w:val="7A951FC7"/>
    <w:rsid w:val="7AAD6B20"/>
    <w:rsid w:val="7AAF1B9F"/>
    <w:rsid w:val="7ACC1665"/>
    <w:rsid w:val="7AD54C34"/>
    <w:rsid w:val="7AED3CEE"/>
    <w:rsid w:val="7AEF4A13"/>
    <w:rsid w:val="7B020435"/>
    <w:rsid w:val="7B103C8D"/>
    <w:rsid w:val="7B214B9C"/>
    <w:rsid w:val="7B265465"/>
    <w:rsid w:val="7B3D9FA7"/>
    <w:rsid w:val="7B445833"/>
    <w:rsid w:val="7B7D212A"/>
    <w:rsid w:val="7B9E7540"/>
    <w:rsid w:val="7BA41D67"/>
    <w:rsid w:val="7BA831B4"/>
    <w:rsid w:val="7BA86FCC"/>
    <w:rsid w:val="7BE2051A"/>
    <w:rsid w:val="7BF000D4"/>
    <w:rsid w:val="7BF01892"/>
    <w:rsid w:val="7BFC02C5"/>
    <w:rsid w:val="7C28417F"/>
    <w:rsid w:val="7C362405"/>
    <w:rsid w:val="7C4518F1"/>
    <w:rsid w:val="7C632338"/>
    <w:rsid w:val="7C691EE7"/>
    <w:rsid w:val="7C7D7BB2"/>
    <w:rsid w:val="7C7E7DC7"/>
    <w:rsid w:val="7CA05A4B"/>
    <w:rsid w:val="7CB20432"/>
    <w:rsid w:val="7CB26258"/>
    <w:rsid w:val="7CC40EDF"/>
    <w:rsid w:val="7CC70BC5"/>
    <w:rsid w:val="7CE3278B"/>
    <w:rsid w:val="7CE33D99"/>
    <w:rsid w:val="7CE75026"/>
    <w:rsid w:val="7CEC6459"/>
    <w:rsid w:val="7CEE2BCE"/>
    <w:rsid w:val="7D2801DA"/>
    <w:rsid w:val="7D3A306F"/>
    <w:rsid w:val="7D4166AE"/>
    <w:rsid w:val="7D441129"/>
    <w:rsid w:val="7D585054"/>
    <w:rsid w:val="7D7B26FD"/>
    <w:rsid w:val="7D98702C"/>
    <w:rsid w:val="7DA00BB7"/>
    <w:rsid w:val="7DA74434"/>
    <w:rsid w:val="7DAF5004"/>
    <w:rsid w:val="7DC557DE"/>
    <w:rsid w:val="7DEE4DFB"/>
    <w:rsid w:val="7DF1189C"/>
    <w:rsid w:val="7DF84014"/>
    <w:rsid w:val="7DFD7EC1"/>
    <w:rsid w:val="7E12157A"/>
    <w:rsid w:val="7E197D90"/>
    <w:rsid w:val="7E21461F"/>
    <w:rsid w:val="7E29605A"/>
    <w:rsid w:val="7E615386"/>
    <w:rsid w:val="7E63219A"/>
    <w:rsid w:val="7E6C0FC8"/>
    <w:rsid w:val="7E6E2BF3"/>
    <w:rsid w:val="7E8F68F6"/>
    <w:rsid w:val="7E953069"/>
    <w:rsid w:val="7EA832D9"/>
    <w:rsid w:val="7EA85A3A"/>
    <w:rsid w:val="7EBAEAA8"/>
    <w:rsid w:val="7EBF0A54"/>
    <w:rsid w:val="7EFF4B02"/>
    <w:rsid w:val="7F192FBE"/>
    <w:rsid w:val="7F3F008D"/>
    <w:rsid w:val="7F4BB895"/>
    <w:rsid w:val="7F5D65DE"/>
    <w:rsid w:val="7F61630B"/>
    <w:rsid w:val="7F714AE8"/>
    <w:rsid w:val="7F913F52"/>
    <w:rsid w:val="7F99375C"/>
    <w:rsid w:val="7FAF7D48"/>
    <w:rsid w:val="7FDD9412"/>
    <w:rsid w:val="7FE04BEF"/>
    <w:rsid w:val="7FFC956A"/>
    <w:rsid w:val="7FFD1D74"/>
    <w:rsid w:val="7FFE4638"/>
    <w:rsid w:val="7FFF9244"/>
    <w:rsid w:val="9FBCEFEF"/>
    <w:rsid w:val="9FFFEEA9"/>
    <w:rsid w:val="A7EF19A3"/>
    <w:rsid w:val="B756443B"/>
    <w:rsid w:val="B7AFA605"/>
    <w:rsid w:val="B9D735BB"/>
    <w:rsid w:val="BBE88D54"/>
    <w:rsid w:val="BDDDBE5F"/>
    <w:rsid w:val="BDEA80E2"/>
    <w:rsid w:val="BE1F382C"/>
    <w:rsid w:val="BFCFF0FE"/>
    <w:rsid w:val="BFDFF4A1"/>
    <w:rsid w:val="BFED499C"/>
    <w:rsid w:val="CF1F4758"/>
    <w:rsid w:val="D9FFEB83"/>
    <w:rsid w:val="DB57264C"/>
    <w:rsid w:val="DBFF2C18"/>
    <w:rsid w:val="DC7E0118"/>
    <w:rsid w:val="DEB5E111"/>
    <w:rsid w:val="DF77B095"/>
    <w:rsid w:val="E7DDD554"/>
    <w:rsid w:val="EDFE5D15"/>
    <w:rsid w:val="EDFF0F34"/>
    <w:rsid w:val="EE7DBB0F"/>
    <w:rsid w:val="F3DA4BD6"/>
    <w:rsid w:val="F755205E"/>
    <w:rsid w:val="F7B3F94B"/>
    <w:rsid w:val="F7EF331C"/>
    <w:rsid w:val="F9FE33CD"/>
    <w:rsid w:val="FBDB6B59"/>
    <w:rsid w:val="FBE715E6"/>
    <w:rsid w:val="FD9FF8E1"/>
    <w:rsid w:val="FDF11AFE"/>
    <w:rsid w:val="FEFEBAF5"/>
    <w:rsid w:val="FF5F5589"/>
    <w:rsid w:val="FF7EC9C5"/>
    <w:rsid w:val="FF8F10A3"/>
    <w:rsid w:val="FFCAD2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77"/>
    <w:qFormat/>
    <w:uiPriority w:val="0"/>
    <w:pPr>
      <w:ind w:left="480" w:hanging="480" w:hangingChars="200"/>
    </w:pPr>
    <w:rPr>
      <w:sz w:val="24"/>
    </w:rPr>
  </w:style>
  <w:style w:type="paragraph" w:styleId="3">
    <w:name w:val="Body Text First Indent 2"/>
    <w:basedOn w:val="2"/>
    <w:next w:val="1"/>
    <w:unhideWhenUsed/>
    <w:qFormat/>
    <w:uiPriority w:val="99"/>
    <w:pPr>
      <w:ind w:firstLine="420"/>
    </w:p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71"/>
    <w:qFormat/>
    <w:uiPriority w:val="0"/>
    <w:pPr>
      <w:jc w:val="left"/>
    </w:pPr>
    <w:rPr>
      <w:rFonts w:ascii="Times New Roman" w:hAnsi="Times New Roman"/>
    </w:rPr>
  </w:style>
  <w:style w:type="paragraph" w:styleId="11">
    <w:name w:val="Body Text"/>
    <w:basedOn w:val="1"/>
    <w:next w:val="12"/>
    <w:qFormat/>
    <w:uiPriority w:val="0"/>
    <w:pPr>
      <w:spacing w:after="120"/>
    </w:pPr>
  </w:style>
  <w:style w:type="paragraph" w:styleId="12">
    <w:name w:val="toc 4"/>
    <w:basedOn w:val="1"/>
    <w:next w:val="1"/>
    <w:unhideWhenUsed/>
    <w:qFormat/>
    <w:uiPriority w:val="39"/>
    <w:pPr>
      <w:ind w:left="1260" w:leftChars="600"/>
    </w:pPr>
  </w:style>
  <w:style w:type="paragraph" w:styleId="13">
    <w:name w:val="List 2"/>
    <w:basedOn w:val="1"/>
    <w:qFormat/>
    <w:uiPriority w:val="99"/>
    <w:pPr>
      <w:ind w:left="100" w:leftChars="200" w:hanging="200" w:hangingChars="200"/>
    </w:pPr>
    <w:rPr>
      <w:sz w:val="28"/>
      <w:szCs w:val="28"/>
    </w:rPr>
  </w:style>
  <w:style w:type="paragraph" w:styleId="14">
    <w:name w:val="Block Text"/>
    <w:basedOn w:val="1"/>
    <w:qFormat/>
    <w:uiPriority w:val="99"/>
    <w:pPr>
      <w:spacing w:after="120"/>
      <w:ind w:left="1440" w:leftChars="700" w:right="1440" w:rightChars="700"/>
    </w:pPr>
  </w:style>
  <w:style w:type="paragraph" w:styleId="15">
    <w:name w:val="Plain Text"/>
    <w:basedOn w:val="1"/>
    <w:next w:val="16"/>
    <w:link w:val="73"/>
    <w:qFormat/>
    <w:uiPriority w:val="0"/>
    <w:pPr>
      <w:widowControl/>
      <w:overflowPunct w:val="0"/>
      <w:autoSpaceDE w:val="0"/>
      <w:autoSpaceDN w:val="0"/>
      <w:adjustRightInd w:val="0"/>
      <w:jc w:val="left"/>
      <w:textAlignment w:val="baseline"/>
    </w:pPr>
    <w:rPr>
      <w:rFonts w:ascii="宋体" w:hAnsi="Courier New"/>
      <w:sz w:val="24"/>
    </w:rPr>
  </w:style>
  <w:style w:type="paragraph" w:styleId="16">
    <w:name w:val="toc 2"/>
    <w:basedOn w:val="1"/>
    <w:next w:val="1"/>
    <w:qFormat/>
    <w:uiPriority w:val="99"/>
    <w:pPr>
      <w:tabs>
        <w:tab w:val="right" w:leader="dot" w:pos="8302"/>
      </w:tabs>
      <w:ind w:left="200" w:leftChars="200"/>
    </w:pPr>
    <w:rPr>
      <w:b/>
      <w:sz w:val="24"/>
    </w:rPr>
  </w:style>
  <w:style w:type="paragraph" w:styleId="17">
    <w:name w:val="Date"/>
    <w:basedOn w:val="1"/>
    <w:next w:val="1"/>
    <w:qFormat/>
    <w:uiPriority w:val="0"/>
    <w:pPr>
      <w:ind w:left="2500" w:leftChars="2500"/>
    </w:pPr>
    <w:rPr>
      <w:rFonts w:eastAsia="楷体_GB2312"/>
      <w:sz w:val="32"/>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74"/>
    <w:qFormat/>
    <w:uiPriority w:val="0"/>
    <w:rPr>
      <w:rFonts w:ascii="Times New Roman" w:hAnsi="Times New Roman"/>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unhideWhenUsed/>
    <w:qFormat/>
    <w:uiPriority w:val="0"/>
    <w:rPr>
      <w:rFonts w:ascii="Times New Roman" w:hAnsi="Times New Roman"/>
    </w:rPr>
  </w:style>
  <w:style w:type="paragraph" w:styleId="24">
    <w:name w:val="List"/>
    <w:basedOn w:val="1"/>
    <w:qFormat/>
    <w:uiPriority w:val="0"/>
    <w:pPr>
      <w:ind w:left="200" w:hanging="200" w:hangingChars="200"/>
    </w:pPr>
  </w:style>
  <w:style w:type="paragraph" w:styleId="25">
    <w:name w:val="footnote text"/>
    <w:basedOn w:val="1"/>
    <w:link w:val="76"/>
    <w:qFormat/>
    <w:uiPriority w:val="99"/>
    <w:pPr>
      <w:snapToGrid w:val="0"/>
      <w:jc w:val="left"/>
    </w:pPr>
    <w:rPr>
      <w:sz w:val="18"/>
    </w:rPr>
  </w:style>
  <w:style w:type="paragraph" w:styleId="26">
    <w:name w:val="toc 6"/>
    <w:basedOn w:val="1"/>
    <w:next w:val="1"/>
    <w:qFormat/>
    <w:uiPriority w:val="0"/>
    <w:pPr>
      <w:spacing w:line="360" w:lineRule="auto"/>
      <w:ind w:left="1200" w:firstLine="200" w:firstLineChars="200"/>
      <w:jc w:val="left"/>
    </w:pPr>
    <w:rPr>
      <w:rFonts w:cs="Calibri"/>
      <w:sz w:val="18"/>
      <w:szCs w:val="18"/>
    </w:rPr>
  </w:style>
  <w:style w:type="paragraph" w:styleId="27">
    <w:name w:val="Body Text 2"/>
    <w:basedOn w:val="1"/>
    <w:qFormat/>
    <w:uiPriority w:val="0"/>
    <w:pPr>
      <w:widowControl/>
      <w:snapToGrid w:val="0"/>
      <w:spacing w:before="50" w:after="156" w:afterLines="50" w:line="400" w:lineRule="atLeast"/>
      <w:jc w:val="left"/>
    </w:pPr>
    <w:rPr>
      <w:rFonts w:hint="eastAsia" w:ascii="宋体" w:hAnsi="宋体"/>
      <w:color w:val="00000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annotation subject"/>
    <w:basedOn w:val="10"/>
    <w:next w:val="10"/>
    <w:link w:val="75"/>
    <w:qFormat/>
    <w:uiPriority w:val="0"/>
    <w:rPr>
      <w:b/>
      <w:bCs/>
    </w:rPr>
  </w:style>
  <w:style w:type="paragraph" w:styleId="30">
    <w:name w:val="Body Text First Indent"/>
    <w:basedOn w:val="11"/>
    <w:next w:val="26"/>
    <w:qFormat/>
    <w:uiPriority w:val="0"/>
    <w:pPr>
      <w:autoSpaceDE w:val="0"/>
      <w:autoSpaceDN w:val="0"/>
      <w:adjustRightInd w:val="0"/>
      <w:ind w:firstLine="420" w:firstLineChars="100"/>
      <w:jc w:val="left"/>
    </w:pPr>
    <w:rPr>
      <w:rFonts w:ascii="仿宋_GB2312"/>
      <w:b/>
      <w:kern w:val="0"/>
      <w:sz w:val="32"/>
      <w:szCs w:val="32"/>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page number"/>
    <w:basedOn w:val="33"/>
    <w:unhideWhenUsed/>
    <w:qFormat/>
    <w:uiPriority w:val="0"/>
  </w:style>
  <w:style w:type="character" w:styleId="36">
    <w:name w:val="Emphasis"/>
    <w:basedOn w:val="33"/>
    <w:qFormat/>
    <w:uiPriority w:val="20"/>
    <w:rPr>
      <w:i/>
      <w:iCs/>
    </w:rPr>
  </w:style>
  <w:style w:type="character" w:styleId="37">
    <w:name w:val="Hyperlink"/>
    <w:basedOn w:val="33"/>
    <w:qFormat/>
    <w:uiPriority w:val="0"/>
  </w:style>
  <w:style w:type="character" w:styleId="38">
    <w:name w:val="annotation reference"/>
    <w:basedOn w:val="33"/>
    <w:qFormat/>
    <w:uiPriority w:val="99"/>
    <w:rPr>
      <w:sz w:val="21"/>
      <w:szCs w:val="21"/>
    </w:rPr>
  </w:style>
  <w:style w:type="character" w:styleId="39">
    <w:name w:val="footnote reference"/>
    <w:basedOn w:val="33"/>
    <w:qFormat/>
    <w:uiPriority w:val="99"/>
    <w:rPr>
      <w:rFonts w:cs="Times New Roman"/>
      <w:vertAlign w:val="superscript"/>
    </w:rPr>
  </w:style>
  <w:style w:type="character" w:styleId="40">
    <w:name w:val="HTML Sample"/>
    <w:basedOn w:val="33"/>
    <w:qFormat/>
    <w:uiPriority w:val="0"/>
    <w:rPr>
      <w:rFonts w:ascii="Courier New" w:hAnsi="Courier New"/>
    </w:rPr>
  </w:style>
  <w:style w:type="paragraph" w:customStyle="1" w:styleId="41">
    <w:name w:val="Default"/>
    <w:next w:val="4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3">
    <w:name w:val="[Normal]"/>
    <w:qFormat/>
    <w:uiPriority w:val="99"/>
    <w:rPr>
      <w:rFonts w:ascii="宋体" w:hAnsi="宋体" w:eastAsia="宋体" w:cs="Times New Roman"/>
      <w:sz w:val="24"/>
      <w:szCs w:val="22"/>
      <w:lang w:val="zh-CN" w:eastAsia="zh-CN" w:bidi="ar-SA"/>
    </w:rPr>
  </w:style>
  <w:style w:type="paragraph" w:customStyle="1" w:styleId="44">
    <w:name w:val="DAS正文"/>
    <w:basedOn w:val="1"/>
    <w:qFormat/>
    <w:uiPriority w:val="0"/>
    <w:pPr>
      <w:spacing w:line="360" w:lineRule="auto"/>
      <w:ind w:right="181" w:firstLine="480"/>
    </w:pPr>
    <w:rPr>
      <w:rFonts w:ascii="Verdana" w:hAnsi="Verdana"/>
      <w:szCs w:val="24"/>
    </w:rPr>
  </w:style>
  <w:style w:type="paragraph" w:customStyle="1" w:styleId="4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表格文字"/>
    <w:basedOn w:val="1"/>
    <w:next w:val="11"/>
    <w:qFormat/>
    <w:uiPriority w:val="0"/>
    <w:pPr>
      <w:adjustRightInd w:val="0"/>
      <w:spacing w:line="420" w:lineRule="atLeast"/>
      <w:jc w:val="left"/>
      <w:textAlignment w:val="baseline"/>
    </w:pPr>
    <w:rPr>
      <w:kern w:val="0"/>
      <w:szCs w:val="24"/>
    </w:rPr>
  </w:style>
  <w:style w:type="paragraph" w:customStyle="1" w:styleId="47">
    <w:name w:val="正文1"/>
    <w:basedOn w:val="1"/>
    <w:qFormat/>
    <w:uiPriority w:val="0"/>
    <w:rPr>
      <w:rFonts w:ascii="宋体" w:hAnsi="宋体" w:cs="宋体"/>
    </w:rPr>
  </w:style>
  <w:style w:type="paragraph" w:customStyle="1" w:styleId="48">
    <w:name w:val="正文2"/>
    <w:basedOn w:val="1"/>
    <w:qFormat/>
    <w:uiPriority w:val="0"/>
    <w:pPr>
      <w:spacing w:before="156" w:line="360" w:lineRule="auto"/>
      <w:ind w:firstLine="510" w:firstLineChars="200"/>
    </w:pPr>
    <w:rPr>
      <w:sz w:val="24"/>
      <w:szCs w:val="20"/>
    </w:rPr>
  </w:style>
  <w:style w:type="paragraph" w:customStyle="1" w:styleId="49">
    <w:name w:val="列表段落1"/>
    <w:basedOn w:val="1"/>
    <w:qFormat/>
    <w:uiPriority w:val="34"/>
    <w:pPr>
      <w:widowControl/>
      <w:ind w:firstLine="420" w:firstLineChars="200"/>
      <w:jc w:val="left"/>
    </w:pPr>
    <w:rPr>
      <w:rFonts w:eastAsia="微软雅黑"/>
      <w:szCs w:val="20"/>
    </w:rPr>
  </w:style>
  <w:style w:type="paragraph" w:customStyle="1" w:styleId="50">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1">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52">
    <w:name w:val="正文，段落，小四，22磅行距"/>
    <w:basedOn w:val="1"/>
    <w:qFormat/>
    <w:uiPriority w:val="0"/>
    <w:pPr>
      <w:spacing w:line="440" w:lineRule="exact"/>
      <w:ind w:firstLine="420"/>
    </w:pPr>
    <w:rPr>
      <w:kern w:val="0"/>
      <w:sz w:val="24"/>
      <w:szCs w:val="24"/>
    </w:rPr>
  </w:style>
  <w:style w:type="paragraph" w:customStyle="1" w:styleId="53">
    <w:name w:val="列出段落2"/>
    <w:basedOn w:val="1"/>
    <w:qFormat/>
    <w:uiPriority w:val="34"/>
    <w:pPr>
      <w:widowControl/>
      <w:ind w:firstLine="420" w:firstLineChars="200"/>
      <w:jc w:val="left"/>
    </w:pPr>
    <w:rPr>
      <w:rFonts w:eastAsia="微软雅黑"/>
      <w:szCs w:val="20"/>
    </w:rPr>
  </w:style>
  <w:style w:type="paragraph" w:customStyle="1" w:styleId="54">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5">
    <w:name w:val="偏离表"/>
    <w:basedOn w:val="1"/>
    <w:qFormat/>
    <w:uiPriority w:val="0"/>
    <w:pPr>
      <w:jc w:val="center"/>
    </w:pPr>
    <w:rPr>
      <w:sz w:val="18"/>
    </w:rPr>
  </w:style>
  <w:style w:type="paragraph" w:customStyle="1" w:styleId="56">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8">
    <w:name w:val="默认段落字体 Para Char Char Char Char Char Char Char Char Char1 Char Char Char Char"/>
    <w:basedOn w:val="1"/>
    <w:qFormat/>
    <w:uiPriority w:val="99"/>
    <w:rPr>
      <w:rFonts w:ascii="Tahoma" w:hAnsi="Tahoma" w:cs="Tahoma"/>
      <w:sz w:val="24"/>
      <w:szCs w:val="24"/>
    </w:rPr>
  </w:style>
  <w:style w:type="paragraph" w:customStyle="1" w:styleId="59">
    <w:name w:val="列出段落1"/>
    <w:basedOn w:val="1"/>
    <w:qFormat/>
    <w:uiPriority w:val="99"/>
    <w:pPr>
      <w:ind w:firstLine="420" w:firstLineChars="200"/>
    </w:pPr>
  </w:style>
  <w:style w:type="paragraph" w:customStyle="1" w:styleId="60">
    <w:name w:val="首行缩进"/>
    <w:basedOn w:val="1"/>
    <w:qFormat/>
    <w:uiPriority w:val="0"/>
    <w:pPr>
      <w:spacing w:line="360" w:lineRule="auto"/>
      <w:ind w:firstLine="420"/>
    </w:pPr>
    <w:rPr>
      <w:rFonts w:cs="宋体"/>
      <w:szCs w:val="20"/>
    </w:rPr>
  </w:style>
  <w:style w:type="paragraph" w:customStyle="1" w:styleId="61">
    <w:name w:val="纯文本2"/>
    <w:basedOn w:val="62"/>
    <w:qFormat/>
    <w:uiPriority w:val="0"/>
    <w:pPr>
      <w:widowControl/>
      <w:jc w:val="left"/>
    </w:pPr>
    <w:rPr>
      <w:rFonts w:ascii="宋体" w:hAnsi="Courier New"/>
    </w:rPr>
  </w:style>
  <w:style w:type="paragraph" w:customStyle="1" w:styleId="62">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4">
    <w:name w:val="Plain Text1"/>
    <w:basedOn w:val="65"/>
    <w:qFormat/>
    <w:uiPriority w:val="0"/>
    <w:pPr>
      <w:adjustRightInd w:val="0"/>
    </w:pPr>
    <w:rPr>
      <w:rFonts w:hint="eastAsia" w:ascii="宋体" w:hAnsi="Courier New" w:eastAsia="楷体_GB2312"/>
      <w:sz w:val="28"/>
    </w:rPr>
  </w:style>
  <w:style w:type="paragraph" w:customStyle="1" w:styleId="65">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正文文字3"/>
    <w:basedOn w:val="11"/>
    <w:qFormat/>
    <w:uiPriority w:val="0"/>
    <w:pPr>
      <w:spacing w:after="0"/>
    </w:pPr>
  </w:style>
  <w:style w:type="paragraph" w:customStyle="1" w:styleId="6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
    <w:name w:val="正文文本 21"/>
    <w:basedOn w:val="1"/>
    <w:qFormat/>
    <w:uiPriority w:val="0"/>
    <w:pPr>
      <w:adjustRightInd w:val="0"/>
      <w:spacing w:line="300" w:lineRule="auto"/>
      <w:jc w:val="center"/>
    </w:pPr>
    <w:rPr>
      <w:rFonts w:ascii="宋体" w:hAnsi="宋体"/>
      <w:sz w:val="24"/>
    </w:rPr>
  </w:style>
  <w:style w:type="paragraph" w:customStyle="1" w:styleId="69">
    <w:name w:val="Body text|3"/>
    <w:basedOn w:val="1"/>
    <w:qFormat/>
    <w:uiPriority w:val="0"/>
    <w:pPr>
      <w:spacing w:after="380"/>
      <w:jc w:val="center"/>
    </w:pPr>
    <w:rPr>
      <w:rFonts w:ascii="宋体" w:hAnsi="宋体" w:cs="宋体"/>
      <w:sz w:val="26"/>
      <w:szCs w:val="26"/>
      <w:lang w:val="zh-TW" w:eastAsia="zh-TW" w:bidi="zh-TW"/>
    </w:rPr>
  </w:style>
  <w:style w:type="paragraph" w:customStyle="1" w:styleId="70">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1">
    <w:name w:val="批注文字 字符"/>
    <w:link w:val="10"/>
    <w:qFormat/>
    <w:uiPriority w:val="0"/>
    <w:rPr>
      <w:rFonts w:ascii="Times New Roman" w:hAnsi="Times New Roman" w:eastAsia="宋体" w:cs="Times New Roman"/>
      <w:kern w:val="2"/>
      <w:sz w:val="21"/>
      <w:szCs w:val="22"/>
    </w:rPr>
  </w:style>
  <w:style w:type="character" w:customStyle="1" w:styleId="72">
    <w:name w:val="font11"/>
    <w:qFormat/>
    <w:uiPriority w:val="0"/>
    <w:rPr>
      <w:rFonts w:hint="default" w:ascii="仿宋_GB2312" w:eastAsia="仿宋_GB2312" w:cs="仿宋_GB2312"/>
      <w:color w:val="000000"/>
      <w:sz w:val="24"/>
      <w:szCs w:val="24"/>
      <w:u w:val="none"/>
    </w:rPr>
  </w:style>
  <w:style w:type="character" w:customStyle="1" w:styleId="73">
    <w:name w:val="纯文本 字符"/>
    <w:link w:val="15"/>
    <w:qFormat/>
    <w:uiPriority w:val="0"/>
    <w:rPr>
      <w:rFonts w:ascii="宋体" w:hAnsi="Courier New"/>
      <w:kern w:val="2"/>
      <w:sz w:val="24"/>
      <w:szCs w:val="22"/>
    </w:rPr>
  </w:style>
  <w:style w:type="character" w:customStyle="1" w:styleId="74">
    <w:name w:val="批注框文本 字符"/>
    <w:link w:val="19"/>
    <w:qFormat/>
    <w:uiPriority w:val="0"/>
    <w:rPr>
      <w:kern w:val="2"/>
      <w:sz w:val="18"/>
      <w:szCs w:val="18"/>
    </w:rPr>
  </w:style>
  <w:style w:type="character" w:customStyle="1" w:styleId="75">
    <w:name w:val="批注主题 字符"/>
    <w:basedOn w:val="71"/>
    <w:link w:val="29"/>
    <w:qFormat/>
    <w:uiPriority w:val="0"/>
    <w:rPr>
      <w:rFonts w:ascii="Times New Roman" w:hAnsi="Times New Roman" w:eastAsia="宋体" w:cs="Times New Roman"/>
      <w:kern w:val="2"/>
      <w:sz w:val="21"/>
      <w:szCs w:val="22"/>
    </w:rPr>
  </w:style>
  <w:style w:type="character" w:customStyle="1" w:styleId="76">
    <w:name w:val="脚注文本 字符"/>
    <w:basedOn w:val="33"/>
    <w:link w:val="25"/>
    <w:qFormat/>
    <w:uiPriority w:val="99"/>
    <w:rPr>
      <w:rFonts w:ascii="Calibri" w:hAnsi="Calibri"/>
      <w:kern w:val="2"/>
      <w:sz w:val="18"/>
      <w:szCs w:val="22"/>
    </w:rPr>
  </w:style>
  <w:style w:type="character" w:customStyle="1" w:styleId="77">
    <w:name w:val="正文文本缩进 字符"/>
    <w:basedOn w:val="33"/>
    <w:link w:val="2"/>
    <w:qFormat/>
    <w:uiPriority w:val="0"/>
    <w:rPr>
      <w:rFonts w:hint="default" w:ascii="Calibri" w:hAnsi="Calibri" w:cs="Calibri"/>
      <w:kern w:val="2"/>
      <w:sz w:val="21"/>
      <w:szCs w:val="22"/>
    </w:rPr>
  </w:style>
  <w:style w:type="character" w:customStyle="1" w:styleId="78">
    <w:name w:val="bookmark-item"/>
    <w:basedOn w:val="33"/>
    <w:qFormat/>
    <w:uiPriority w:val="0"/>
  </w:style>
  <w:style w:type="paragraph" w:styleId="79">
    <w:name w:val="List Paragraph"/>
    <w:basedOn w:val="1"/>
    <w:qFormat/>
    <w:uiPriority w:val="34"/>
    <w:pPr>
      <w:ind w:firstLine="420" w:firstLineChars="200"/>
    </w:pPr>
  </w:style>
  <w:style w:type="character" w:customStyle="1" w:styleId="80">
    <w:name w:val="NormalCharacter"/>
    <w:semiHidden/>
    <w:qFormat/>
    <w:uiPriority w:val="0"/>
  </w:style>
  <w:style w:type="paragraph" w:customStyle="1" w:styleId="81">
    <w:name w:val="BodyText1I2"/>
    <w:basedOn w:val="82"/>
    <w:qFormat/>
    <w:uiPriority w:val="0"/>
    <w:pPr>
      <w:ind w:firstLine="420" w:firstLineChars="200"/>
    </w:pPr>
  </w:style>
  <w:style w:type="paragraph" w:customStyle="1" w:styleId="82">
    <w:name w:val="BodyTextIndent"/>
    <w:basedOn w:val="1"/>
    <w:qFormat/>
    <w:uiPriority w:val="0"/>
    <w:pPr>
      <w:spacing w:after="120"/>
      <w:ind w:left="420" w:leftChars="200"/>
    </w:pPr>
  </w:style>
  <w:style w:type="paragraph" w:styleId="83">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4">
    <w:name w:val="正文正"/>
    <w:basedOn w:val="1"/>
    <w:qFormat/>
    <w:uiPriority w:val="0"/>
    <w:pPr>
      <w:spacing w:line="560" w:lineRule="exact"/>
      <w:ind w:firstLine="561"/>
    </w:pPr>
    <w:rPr>
      <w:sz w:val="28"/>
      <w:szCs w:val="28"/>
    </w:rPr>
  </w:style>
  <w:style w:type="paragraph" w:customStyle="1" w:styleId="85">
    <w:name w:val="UserStyle_8"/>
    <w:qFormat/>
    <w:uiPriority w:val="99"/>
    <w:pPr>
      <w:jc w:val="both"/>
      <w:textAlignment w:val="baseline"/>
    </w:pPr>
    <w:rPr>
      <w:rFonts w:ascii="Calibri" w:hAnsi="Calibri" w:eastAsia="宋体" w:cs="Times New Roman"/>
      <w:kern w:val="2"/>
      <w:sz w:val="21"/>
      <w:szCs w:val="24"/>
      <w:lang w:val="en-US" w:eastAsia="zh-CN" w:bidi="ar-SA"/>
    </w:rPr>
  </w:style>
  <w:style w:type="character" w:customStyle="1" w:styleId="86">
    <w:name w:val="apple-converted-space"/>
    <w:qFormat/>
    <w:uiPriority w:val="0"/>
    <w:rPr>
      <w:rFonts w:ascii="Times New Roman" w:hAnsi="Times New Roman" w:eastAsia="宋体" w:cs="Times New Roman"/>
    </w:rPr>
  </w:style>
  <w:style w:type="character" w:customStyle="1" w:styleId="87">
    <w:name w:val="font21"/>
    <w:qFormat/>
    <w:uiPriority w:val="0"/>
    <w:rPr>
      <w:rFonts w:hint="eastAsia" w:ascii="宋体" w:hAnsi="宋体" w:eastAsia="宋体" w:cs="宋体"/>
      <w:color w:val="000000"/>
      <w:sz w:val="21"/>
      <w:szCs w:val="21"/>
      <w:u w:val="none"/>
    </w:rPr>
  </w:style>
  <w:style w:type="character" w:customStyle="1" w:styleId="88">
    <w:name w:val="font41"/>
    <w:basedOn w:val="33"/>
    <w:qFormat/>
    <w:uiPriority w:val="0"/>
    <w:rPr>
      <w:rFonts w:hint="eastAsia" w:ascii="宋体" w:hAnsi="宋体" w:eastAsia="宋体" w:cs="宋体"/>
      <w:color w:val="FF0000"/>
      <w:sz w:val="20"/>
      <w:szCs w:val="20"/>
      <w:u w:val="none"/>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标题 5（有编号）（绿盟科技）"/>
    <w:basedOn w:val="1"/>
    <w:next w:val="93"/>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9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4">
    <w:name w:val="修订1"/>
    <w:hidden/>
    <w:semiHidden/>
    <w:qFormat/>
    <w:uiPriority w:val="99"/>
    <w:rPr>
      <w:rFonts w:ascii="Calibri" w:hAnsi="Calibri" w:eastAsia="宋体" w:cs="Times New Roman"/>
      <w:kern w:val="2"/>
      <w:sz w:val="21"/>
      <w:szCs w:val="22"/>
      <w:lang w:val="en-US" w:eastAsia="zh-CN" w:bidi="ar-SA"/>
    </w:rPr>
  </w:style>
  <w:style w:type="paragraph" w:customStyle="1" w:styleId="95">
    <w:name w:val="正文缩进1"/>
    <w:basedOn w:val="1"/>
    <w:next w:val="2"/>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paragraph" w:customStyle="1" w:styleId="96">
    <w:name w:val="索引 11"/>
    <w:basedOn w:val="1"/>
    <w:next w:val="1"/>
    <w:qFormat/>
    <w:uiPriority w:val="99"/>
    <w:pPr>
      <w:spacing w:line="360" w:lineRule="auto"/>
    </w:pPr>
    <w:rPr>
      <w:rFonts w:ascii="仿宋_GB2312" w:hAnsi="Times New Roman" w:eastAsia="仿宋_GB2312"/>
      <w:sz w:val="24"/>
      <w:szCs w:val="20"/>
    </w:rPr>
  </w:style>
  <w:style w:type="paragraph" w:customStyle="1" w:styleId="97">
    <w:name w:val="纯文本1"/>
    <w:basedOn w:val="1"/>
    <w:qFormat/>
    <w:uiPriority w:val="0"/>
    <w:rPr>
      <w:rFonts w:ascii="宋体" w:hAnsi="Courier New"/>
      <w:kern w:val="0"/>
      <w:sz w:val="20"/>
      <w:szCs w:val="20"/>
    </w:rPr>
  </w:style>
  <w:style w:type="paragraph" w:customStyle="1" w:styleId="98">
    <w:name w:val="text-tag"/>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68</Pages>
  <Words>41248</Words>
  <Characters>44922</Characters>
  <Lines>411</Lines>
  <Paragraphs>115</Paragraphs>
  <TotalTime>0</TotalTime>
  <ScaleCrop>false</ScaleCrop>
  <LinksUpToDate>false</LinksUpToDate>
  <CharactersWithSpaces>48002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2020-08-13T16:15:00Z</dcterms:created>
  <dc:creator>Administrator</dc:creator>
  <cp:lastModifiedBy></cp:lastModifiedBy>
  <cp:lastPrinted>2022-09-05T02:43:00Z</cp:lastPrinted>
  <dcterms:modified xsi:type="dcterms:W3CDTF">2023-08-10T09:02:41Z</dcterms:modified>
  <dc:title>浙江省政府(分散)采购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A660740DEFD642D7AF048423DEF5B8BE</vt:lpwstr>
  </property>
  <property fmtid="{D5CDD505-2E9C-101B-9397-08002B2CF9AE}" pid="4" name="commondata">
    <vt:lpwstr>eyJoZGlkIjoiYjQ5YWNlMDcxZGY3YmQzNTllNDAxMWNmYzg3NWNlNTUifQ==</vt:lpwstr>
  </property>
</Properties>
</file>