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color w:val="auto"/>
          <w:sz w:val="84"/>
          <w:szCs w:val="84"/>
          <w:highlight w:val="none"/>
        </w:rPr>
      </w:pPr>
    </w:p>
    <w:p>
      <w:pPr>
        <w:spacing w:line="360" w:lineRule="auto"/>
        <w:rPr>
          <w:rFonts w:hint="eastAsia" w:ascii="宋体" w:hAnsi="宋体" w:eastAsia="宋体" w:cs="宋体"/>
          <w:b/>
          <w:color w:val="auto"/>
          <w:spacing w:val="26"/>
          <w:sz w:val="84"/>
          <w:szCs w:val="84"/>
          <w:highlight w:val="none"/>
        </w:rPr>
      </w:pPr>
      <w:r>
        <w:rPr>
          <w:rFonts w:hint="eastAsia" w:ascii="宋体" w:hAnsi="宋体" w:eastAsia="宋体" w:cs="宋体"/>
          <w:b/>
          <w:color w:val="auto"/>
          <w:sz w:val="84"/>
          <w:szCs w:val="84"/>
          <w:highlight w:val="none"/>
        </w:rPr>
        <w:t>文成县政府(分散)采购</w:t>
      </w:r>
    </w:p>
    <w:p>
      <w:pPr>
        <w:spacing w:line="400" w:lineRule="exact"/>
        <w:ind w:firstLine="1885" w:firstLineChars="235"/>
        <w:rPr>
          <w:rFonts w:hint="eastAsia" w:ascii="宋体" w:hAnsi="宋体" w:eastAsia="宋体" w:cs="宋体"/>
          <w:b/>
          <w:color w:val="auto"/>
          <w:spacing w:val="140"/>
          <w:sz w:val="52"/>
          <w:szCs w:val="52"/>
          <w:highlight w:val="none"/>
        </w:rPr>
      </w:pPr>
    </w:p>
    <w:p>
      <w:pPr>
        <w:spacing w:line="400" w:lineRule="exact"/>
        <w:ind w:firstLine="1885" w:firstLineChars="235"/>
        <w:rPr>
          <w:rFonts w:hint="eastAsia" w:ascii="宋体" w:hAnsi="宋体" w:eastAsia="宋体" w:cs="宋体"/>
          <w:b/>
          <w:color w:val="auto"/>
          <w:spacing w:val="140"/>
          <w:sz w:val="52"/>
          <w:szCs w:val="52"/>
          <w:highlight w:val="none"/>
        </w:rPr>
      </w:pPr>
    </w:p>
    <w:p>
      <w:pPr>
        <w:spacing w:line="400" w:lineRule="exact"/>
        <w:ind w:firstLine="1885" w:firstLineChars="235"/>
        <w:rPr>
          <w:rFonts w:hint="eastAsia" w:ascii="宋体" w:hAnsi="宋体" w:eastAsia="宋体" w:cs="宋体"/>
          <w:b/>
          <w:color w:val="auto"/>
          <w:spacing w:val="140"/>
          <w:sz w:val="52"/>
          <w:szCs w:val="52"/>
          <w:highlight w:val="none"/>
        </w:rPr>
      </w:pPr>
    </w:p>
    <w:p>
      <w:pPr>
        <w:spacing w:line="400" w:lineRule="exact"/>
        <w:ind w:firstLine="1885" w:firstLineChars="235"/>
        <w:rPr>
          <w:rFonts w:hint="eastAsia" w:ascii="宋体" w:hAnsi="宋体" w:eastAsia="宋体" w:cs="宋体"/>
          <w:b/>
          <w:color w:val="auto"/>
          <w:spacing w:val="140"/>
          <w:sz w:val="52"/>
          <w:szCs w:val="52"/>
          <w:highlight w:val="none"/>
        </w:rPr>
      </w:pPr>
    </w:p>
    <w:p>
      <w:pPr>
        <w:spacing w:line="360" w:lineRule="auto"/>
        <w:jc w:val="center"/>
        <w:rPr>
          <w:rFonts w:hint="eastAsia" w:ascii="宋体" w:hAnsi="宋体" w:eastAsia="宋体" w:cs="宋体"/>
          <w:b/>
          <w:color w:val="auto"/>
          <w:spacing w:val="140"/>
          <w:sz w:val="52"/>
          <w:szCs w:val="52"/>
          <w:highlight w:val="none"/>
        </w:rPr>
      </w:pPr>
      <w:r>
        <w:rPr>
          <w:rFonts w:hint="eastAsia" w:ascii="宋体" w:hAnsi="宋体" w:eastAsia="宋体" w:cs="宋体"/>
          <w:b/>
          <w:color w:val="auto"/>
          <w:spacing w:val="140"/>
          <w:sz w:val="52"/>
          <w:szCs w:val="52"/>
          <w:highlight w:val="none"/>
        </w:rPr>
        <w:t>招标文件</w:t>
      </w:r>
    </w:p>
    <w:p>
      <w:pPr>
        <w:widowControl/>
        <w:spacing w:line="360" w:lineRule="auto"/>
        <w:ind w:right="-2"/>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（线上电子招投标）</w:t>
      </w:r>
    </w:p>
    <w:p>
      <w:pPr>
        <w:spacing w:line="400" w:lineRule="exact"/>
        <w:rPr>
          <w:rFonts w:hint="eastAsia" w:ascii="宋体" w:hAnsi="宋体" w:eastAsia="宋体" w:cs="宋体"/>
          <w:b/>
          <w:color w:val="auto"/>
          <w:sz w:val="24"/>
          <w:highlight w:val="none"/>
        </w:rPr>
      </w:pPr>
    </w:p>
    <w:p>
      <w:pPr>
        <w:spacing w:line="400" w:lineRule="exact"/>
        <w:rPr>
          <w:rFonts w:hint="eastAsia" w:ascii="宋体" w:hAnsi="宋体" w:eastAsia="宋体" w:cs="宋体"/>
          <w:b/>
          <w:color w:val="auto"/>
          <w:sz w:val="24"/>
          <w:highlight w:val="none"/>
        </w:rPr>
      </w:pPr>
    </w:p>
    <w:p>
      <w:pPr>
        <w:spacing w:line="360" w:lineRule="auto"/>
        <w:ind w:firstLine="2100" w:firstLineChars="700"/>
        <w:jc w:val="left"/>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项目编号：</w:t>
      </w:r>
      <w:r>
        <w:rPr>
          <w:rFonts w:hint="eastAsia" w:ascii="宋体" w:hAnsi="宋体" w:cs="宋体"/>
          <w:color w:val="auto"/>
          <w:sz w:val="30"/>
          <w:highlight w:val="none"/>
          <w:lang w:eastAsia="zh-CN"/>
        </w:rPr>
        <w:t>ZJYC2023139（GK）</w:t>
      </w:r>
    </w:p>
    <w:p>
      <w:pPr>
        <w:spacing w:line="360" w:lineRule="auto"/>
        <w:ind w:left="3587" w:leftChars="994" w:hanging="1500" w:hangingChars="500"/>
        <w:jc w:val="left"/>
        <w:rPr>
          <w:rFonts w:hint="eastAsia" w:ascii="宋体" w:hAnsi="宋体" w:eastAsia="宋体" w:cs="宋体"/>
          <w:color w:val="auto"/>
          <w:sz w:val="30"/>
          <w:highlight w:val="none"/>
        </w:rPr>
      </w:pPr>
      <w:r>
        <w:rPr>
          <w:rFonts w:hint="eastAsia" w:ascii="宋体" w:hAnsi="宋体" w:eastAsia="宋体" w:cs="宋体"/>
          <w:color w:val="auto"/>
          <w:sz w:val="30"/>
          <w:highlight w:val="none"/>
        </w:rPr>
        <w:t>招标项目：</w:t>
      </w:r>
      <w:r>
        <w:rPr>
          <w:rFonts w:hint="eastAsia" w:ascii="宋体" w:hAnsi="宋体" w:cs="宋体"/>
          <w:color w:val="auto"/>
          <w:sz w:val="30"/>
          <w:highlight w:val="none"/>
          <w:lang w:eastAsia="zh-CN"/>
        </w:rPr>
        <w:t>疾控实验室设备</w:t>
      </w:r>
      <w:r>
        <w:rPr>
          <w:rFonts w:hint="eastAsia" w:ascii="宋体" w:hAnsi="宋体" w:eastAsia="宋体" w:cs="宋体"/>
          <w:color w:val="auto"/>
          <w:sz w:val="30"/>
          <w:highlight w:val="none"/>
        </w:rPr>
        <w:t xml:space="preserve">      </w:t>
      </w:r>
    </w:p>
    <w:p>
      <w:pPr>
        <w:spacing w:line="360" w:lineRule="auto"/>
        <w:ind w:firstLine="2100" w:firstLineChars="700"/>
        <w:jc w:val="left"/>
        <w:rPr>
          <w:rFonts w:hint="eastAsia" w:ascii="宋体" w:hAnsi="宋体" w:eastAsia="宋体" w:cs="宋体"/>
          <w:color w:val="auto"/>
          <w:sz w:val="22"/>
          <w:highlight w:val="none"/>
        </w:rPr>
      </w:pPr>
      <w:r>
        <w:rPr>
          <w:rFonts w:hint="eastAsia" w:ascii="宋体" w:hAnsi="宋体" w:eastAsia="宋体" w:cs="宋体"/>
          <w:color w:val="auto"/>
          <w:sz w:val="30"/>
          <w:highlight w:val="none"/>
        </w:rPr>
        <w:t>招标方式：公 开 招 标</w:t>
      </w:r>
    </w:p>
    <w:p>
      <w:pPr>
        <w:spacing w:line="360" w:lineRule="auto"/>
        <w:ind w:firstLine="1080" w:firstLineChars="300"/>
        <w:jc w:val="center"/>
        <w:rPr>
          <w:rFonts w:hint="eastAsia" w:ascii="宋体" w:hAnsi="宋体" w:eastAsia="宋体" w:cs="宋体"/>
          <w:color w:val="auto"/>
          <w:spacing w:val="40"/>
          <w:sz w:val="28"/>
          <w:szCs w:val="28"/>
          <w:highlight w:val="none"/>
        </w:rPr>
      </w:pPr>
    </w:p>
    <w:p>
      <w:pPr>
        <w:pStyle w:val="2"/>
        <w:ind w:left="720" w:hanging="720"/>
        <w:rPr>
          <w:rFonts w:hint="eastAsia" w:ascii="宋体" w:hAnsi="宋体" w:eastAsia="宋体" w:cs="宋体"/>
          <w:color w:val="auto"/>
          <w:spacing w:val="40"/>
          <w:sz w:val="28"/>
          <w:szCs w:val="28"/>
          <w:highlight w:val="none"/>
        </w:rPr>
      </w:pPr>
    </w:p>
    <w:p>
      <w:pPr>
        <w:pStyle w:val="3"/>
        <w:ind w:hanging="480"/>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kern w:val="0"/>
          <w:sz w:val="30"/>
          <w:highlight w:val="none"/>
          <w:lang w:eastAsia="zh-CN"/>
        </w:rPr>
      </w:pPr>
      <w:r>
        <w:rPr>
          <w:rFonts w:hint="eastAsia" w:ascii="宋体" w:hAnsi="宋体" w:eastAsia="宋体" w:cs="宋体"/>
          <w:color w:val="auto"/>
          <w:kern w:val="0"/>
          <w:sz w:val="30"/>
          <w:highlight w:val="none"/>
        </w:rPr>
        <w:t>采购人：</w:t>
      </w:r>
      <w:r>
        <w:rPr>
          <w:rFonts w:hint="eastAsia" w:ascii="宋体" w:hAnsi="宋体" w:cs="宋体"/>
          <w:color w:val="auto"/>
          <w:kern w:val="0"/>
          <w:sz w:val="30"/>
          <w:highlight w:val="none"/>
          <w:lang w:eastAsia="zh-CN"/>
        </w:rPr>
        <w:t>文成县卫生健康局</w:t>
      </w:r>
    </w:p>
    <w:p>
      <w:pPr>
        <w:spacing w:line="360" w:lineRule="auto"/>
        <w:jc w:val="center"/>
        <w:rPr>
          <w:rFonts w:hint="eastAsia" w:ascii="宋体" w:hAnsi="宋体" w:eastAsia="宋体" w:cs="宋体"/>
          <w:color w:val="auto"/>
          <w:spacing w:val="40"/>
          <w:sz w:val="24"/>
          <w:szCs w:val="24"/>
          <w:highlight w:val="none"/>
        </w:rPr>
      </w:pPr>
      <w:r>
        <w:rPr>
          <w:rFonts w:hint="eastAsia" w:ascii="宋体" w:hAnsi="宋体" w:eastAsia="宋体" w:cs="宋体"/>
          <w:color w:val="auto"/>
          <w:kern w:val="0"/>
          <w:sz w:val="30"/>
          <w:highlight w:val="none"/>
        </w:rPr>
        <w:t>采购代理机构：浙江乐诚工程咨询有限公司</w:t>
      </w:r>
    </w:p>
    <w:p>
      <w:pPr>
        <w:spacing w:line="360" w:lineRule="auto"/>
        <w:jc w:val="center"/>
        <w:rPr>
          <w:rFonts w:hint="eastAsia" w:ascii="宋体" w:hAnsi="宋体" w:eastAsia="宋体" w:cs="宋体"/>
          <w:color w:val="auto"/>
          <w:spacing w:val="40"/>
          <w:sz w:val="28"/>
          <w:highlight w:val="none"/>
        </w:rPr>
      </w:pPr>
    </w:p>
    <w:p>
      <w:pPr>
        <w:spacing w:line="360" w:lineRule="auto"/>
        <w:jc w:val="center"/>
        <w:rPr>
          <w:rFonts w:hint="eastAsia" w:ascii="宋体" w:hAnsi="宋体" w:eastAsia="宋体" w:cs="宋体"/>
          <w:color w:val="auto"/>
          <w:spacing w:val="40"/>
          <w:sz w:val="28"/>
          <w:highlight w:val="none"/>
        </w:rPr>
      </w:pPr>
    </w:p>
    <w:p>
      <w:pPr>
        <w:spacing w:line="360" w:lineRule="auto"/>
        <w:jc w:val="center"/>
        <w:rPr>
          <w:rFonts w:hint="eastAsia" w:ascii="宋体" w:hAnsi="宋体" w:eastAsia="宋体" w:cs="宋体"/>
          <w:color w:val="auto"/>
          <w:spacing w:val="40"/>
          <w:sz w:val="28"/>
          <w:highlight w:val="none"/>
        </w:rPr>
      </w:pPr>
      <w:r>
        <w:rPr>
          <w:rFonts w:hint="eastAsia" w:ascii="宋体" w:hAnsi="宋体" w:eastAsia="宋体" w:cs="宋体"/>
          <w:color w:val="auto"/>
          <w:spacing w:val="40"/>
          <w:sz w:val="28"/>
          <w:highlight w:val="none"/>
        </w:rPr>
        <w:t>二0二三年</w:t>
      </w:r>
    </w:p>
    <w:p>
      <w:pPr>
        <w:rPr>
          <w:rFonts w:hint="eastAsia" w:ascii="宋体" w:hAnsi="宋体" w:eastAsia="宋体" w:cs="宋体"/>
          <w:color w:val="auto"/>
          <w:spacing w:val="40"/>
          <w:sz w:val="28"/>
          <w:highlight w:val="none"/>
        </w:rPr>
      </w:pPr>
      <w:r>
        <w:rPr>
          <w:rFonts w:hint="eastAsia" w:ascii="宋体" w:hAnsi="宋体" w:eastAsia="宋体" w:cs="宋体"/>
          <w:color w:val="auto"/>
          <w:spacing w:val="40"/>
          <w:sz w:val="28"/>
          <w:highlight w:val="none"/>
        </w:rPr>
        <w:br w:type="page"/>
      </w:r>
    </w:p>
    <w:sdt>
      <w:sdtPr>
        <w:rPr>
          <w:rFonts w:hint="eastAsia" w:ascii="宋体" w:hAnsi="宋体" w:eastAsia="宋体" w:cs="宋体"/>
          <w:b/>
          <w:bCs/>
          <w:color w:val="auto"/>
          <w:sz w:val="36"/>
          <w:szCs w:val="36"/>
          <w:highlight w:val="none"/>
        </w:rPr>
        <w:id w:val="147464123"/>
        <w15:color w:val="DBDBDB"/>
        <w:docPartObj>
          <w:docPartGallery w:val="Table of Contents"/>
          <w:docPartUnique/>
        </w:docPartObj>
      </w:sdtPr>
      <w:sdtEndPr>
        <w:rPr>
          <w:rFonts w:hint="eastAsia" w:ascii="宋体" w:hAnsi="宋体" w:eastAsia="宋体" w:cs="宋体"/>
          <w:b/>
          <w:bCs/>
          <w:color w:val="auto"/>
          <w:sz w:val="36"/>
          <w:szCs w:val="36"/>
          <w:highlight w:val="none"/>
        </w:rPr>
      </w:sdtEndPr>
      <w:sdtContent>
        <w:p>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pPr>
            <w:pStyle w:val="23"/>
            <w:tabs>
              <w:tab w:val="right" w:leader="hyphen" w:pos="9355"/>
            </w:tabs>
            <w:spacing w:line="360" w:lineRule="auto"/>
            <w:rPr>
              <w:rFonts w:hint="eastAsia" w:ascii="宋体" w:hAnsi="宋体" w:eastAsia="宋体" w:cs="宋体"/>
              <w:color w:val="auto"/>
              <w:highlight w:val="none"/>
            </w:rPr>
          </w:pPr>
        </w:p>
        <w:p>
          <w:pPr>
            <w:pStyle w:val="23"/>
            <w:tabs>
              <w:tab w:val="right" w:leader="hyphen" w:pos="9355"/>
            </w:tabs>
            <w:spacing w:line="360" w:lineRule="auto"/>
            <w:rPr>
              <w:rFonts w:hint="eastAsia" w:ascii="宋体" w:hAnsi="宋体" w:eastAsia="宋体" w:cs="宋体"/>
              <w:b/>
              <w:bCs/>
              <w:color w:val="auto"/>
              <w:sz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"1-2" \h \u </w:instrText>
          </w:r>
          <w:r>
            <w:rPr>
              <w:rFonts w:hint="eastAsia" w:ascii="宋体" w:hAnsi="宋体" w:eastAsia="宋体" w:cs="宋体"/>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"_Toc10075"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第一部分 投标邀请书</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_Toc10075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3</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23"/>
            <w:tabs>
              <w:tab w:val="right" w:leader="hyphen" w:pos="9355"/>
            </w:tabs>
            <w:spacing w:line="360" w:lineRule="auto"/>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"_Toc24189"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第二部分 投标人须知</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_Toc24189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6</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"_Toc13063"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投标人须知前附表</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_Toc13063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6</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"_Toc32069"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一、说明</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_Toc32069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10</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"_Toc26092"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二、招标文件</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_Toc26092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15</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"_Toc14601"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三、投标文件的编制</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_Toc14601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16</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"_Toc12008"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四、投标文件的递交</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_Toc12008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18</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"_Toc31830"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五、开标和评标</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_Toc31830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19</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"_Toc20701"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六、授予合同</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_Toc20701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23</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"_Toc32512"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七、可中止电子交易活动的情形</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_Toc32512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24</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23"/>
            <w:tabs>
              <w:tab w:val="right" w:leader="hyphen" w:pos="9355"/>
            </w:tabs>
            <w:spacing w:line="360" w:lineRule="auto"/>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"_Toc2785"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第三部分 拟签订的合同文本</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_Toc2785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25</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23"/>
            <w:tabs>
              <w:tab w:val="right" w:leader="hyphen" w:pos="9355"/>
            </w:tabs>
            <w:spacing w:line="360" w:lineRule="auto"/>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"_Toc6163"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第四部分 附件</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_Toc6163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32</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23"/>
            <w:tabs>
              <w:tab w:val="right" w:leader="hyphen" w:pos="9355"/>
            </w:tabs>
            <w:spacing w:line="360" w:lineRule="auto"/>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"_Toc17135"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第五部分 采购需求</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_Toc17135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60</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23"/>
            <w:tabs>
              <w:tab w:val="right" w:leader="hyphen" w:pos="9355"/>
            </w:tabs>
            <w:spacing w:line="360" w:lineRule="auto"/>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"_Toc23602"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第六部分 评标原则及方法</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_Toc23602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77</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"_Toc20305"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一. 总  则</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_Toc20305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77</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"_Toc21489"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二.评标组织</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_Toc21489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77</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b/>
              <w:bCs/>
              <w:color w:val="auto"/>
              <w:sz w:val="22"/>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"_Toc7183"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三.评标程序</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_Toc7183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77</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pStyle w:val="16"/>
            <w:tabs>
              <w:tab w:val="right" w:leader="hyphen" w:pos="9355"/>
              <w:tab w:val="clear" w:pos="8302"/>
            </w:tabs>
            <w:spacing w:line="360" w:lineRule="auto"/>
            <w:ind w:left="420"/>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"_Toc12777"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 w:val="22"/>
              <w:highlight w:val="none"/>
            </w:rPr>
            <w:t>四.评标办法</w:t>
          </w:r>
          <w:r>
            <w:rPr>
              <w:rFonts w:hint="eastAsia" w:ascii="宋体" w:hAnsi="宋体" w:eastAsia="宋体" w:cs="宋体"/>
              <w:b/>
              <w:bCs/>
              <w:color w:val="auto"/>
              <w:sz w:val="22"/>
              <w:highlight w:val="none"/>
            </w:rPr>
            <w:tab/>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PAGEREF _Toc12777 \h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77</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fldChar w:fldCharType="end"/>
          </w:r>
        </w:p>
        <w:p>
          <w:pP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pPr>
        <w:spacing w:line="4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标“▲且加下划线”为投标的实质性要求和条件，必须作出实质性响应，否则投标无效。加粗部分为着重提醒各投标人注意。各投标人必须认真阅读和理解招标文件中的每一个条款及要求，因误读招标文件而造成的后果，采购人和采购代理机构概不负责。</w:t>
      </w: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spacing w:line="400" w:lineRule="exact"/>
        <w:jc w:val="center"/>
        <w:outlineLvl w:val="0"/>
        <w:rPr>
          <w:rFonts w:hint="eastAsia" w:ascii="宋体" w:hAnsi="宋体" w:eastAsia="宋体" w:cs="宋体"/>
          <w:b/>
          <w:color w:val="auto"/>
          <w:sz w:val="32"/>
          <w:highlight w:val="none"/>
        </w:rPr>
      </w:pPr>
      <w:bookmarkStart w:id="0" w:name="_Toc10075"/>
      <w:r>
        <w:rPr>
          <w:rFonts w:hint="eastAsia" w:ascii="宋体" w:hAnsi="宋体" w:eastAsia="宋体" w:cs="宋体"/>
          <w:b/>
          <w:color w:val="auto"/>
          <w:sz w:val="32"/>
          <w:highlight w:val="none"/>
        </w:rPr>
        <w:t>第一部分 投标邀请书</w:t>
      </w:r>
      <w:bookmarkEnd w:id="0"/>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textAlignment w:val="auto"/>
        <w:rPr>
          <w:rFonts w:hint="eastAsia" w:ascii="宋体" w:hAnsi="宋体" w:eastAsia="宋体" w:cs="宋体"/>
          <w:sz w:val="22"/>
          <w:szCs w:val="22"/>
        </w:rPr>
      </w:pPr>
      <w:r>
        <w:rPr>
          <w:rFonts w:hint="eastAsia" w:ascii="宋体" w:hAnsi="宋体" w:eastAsia="宋体" w:cs="宋体"/>
          <w:sz w:val="22"/>
          <w:szCs w:val="22"/>
        </w:rPr>
        <w:t>项目概况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60"/>
        <w:textAlignment w:val="auto"/>
        <w:rPr>
          <w:rFonts w:hint="eastAsia" w:ascii="宋体" w:hAnsi="宋体" w:eastAsia="宋体" w:cs="宋体"/>
          <w:sz w:val="22"/>
          <w:szCs w:val="22"/>
        </w:rPr>
      </w:pPr>
      <w:r>
        <w:rPr>
          <w:rFonts w:hint="eastAsia" w:ascii="宋体" w:hAnsi="宋体" w:eastAsia="宋体" w:cs="宋体"/>
          <w:sz w:val="22"/>
          <w:szCs w:val="22"/>
        </w:rPr>
        <w:t>疾控实验室设备招标项目的潜在投标人应在</w:t>
      </w:r>
      <w:r>
        <w:rPr>
          <w:rFonts w:hint="eastAsia" w:ascii="宋体" w:hAnsi="宋体" w:eastAsia="宋体" w:cs="宋体"/>
          <w:sz w:val="22"/>
          <w:szCs w:val="22"/>
          <w:u w:val="none"/>
        </w:rPr>
        <w:t>政采云平台线上获取</w:t>
      </w:r>
      <w:r>
        <w:rPr>
          <w:rFonts w:hint="eastAsia" w:ascii="宋体" w:hAnsi="宋体" w:eastAsia="宋体" w:cs="宋体"/>
          <w:sz w:val="22"/>
          <w:szCs w:val="22"/>
        </w:rPr>
        <w:t>获取（下载）招标文件，并于 2023年08月31日 14:00（北京时间）前递交（上传）投标文件。</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5"/>
          <w:rFonts w:hint="eastAsia" w:ascii="宋体" w:hAnsi="宋体" w:eastAsia="宋体" w:cs="宋体"/>
          <w:sz w:val="22"/>
          <w:szCs w:val="22"/>
        </w:rPr>
        <w:t>一、项目基本情况</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项目编号：ZJYC2023139（GK）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项目名称：疾控实验室设备</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预算金额（元）：3950000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最高限价（元）：/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采购需求：</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rPr>
        <w:br w:type="textWrapping"/>
      </w:r>
      <w:r>
        <w:rPr>
          <w:rFonts w:hint="eastAsia" w:ascii="宋体" w:hAnsi="宋体" w:eastAsia="宋体" w:cs="宋体"/>
          <w:sz w:val="22"/>
          <w:szCs w:val="22"/>
        </w:rPr>
        <w:t>    标项名称: 疾控实验室设备 </w:t>
      </w:r>
      <w:r>
        <w:rPr>
          <w:rFonts w:hint="eastAsia" w:ascii="宋体" w:hAnsi="宋体" w:eastAsia="宋体" w:cs="宋体"/>
          <w:sz w:val="22"/>
          <w:szCs w:val="22"/>
        </w:rPr>
        <w:br w:type="textWrapping"/>
      </w:r>
      <w:r>
        <w:rPr>
          <w:rFonts w:hint="eastAsia" w:ascii="宋体" w:hAnsi="宋体" w:eastAsia="宋体" w:cs="宋体"/>
          <w:sz w:val="22"/>
          <w:szCs w:val="22"/>
        </w:rPr>
        <w:t>    数量: 1  </w:t>
      </w:r>
      <w:r>
        <w:rPr>
          <w:rFonts w:hint="eastAsia" w:ascii="宋体" w:hAnsi="宋体" w:eastAsia="宋体" w:cs="宋体"/>
          <w:sz w:val="22"/>
          <w:szCs w:val="22"/>
        </w:rPr>
        <w:br w:type="textWrapping"/>
      </w:r>
      <w:r>
        <w:rPr>
          <w:rFonts w:hint="eastAsia" w:ascii="宋体" w:hAnsi="宋体" w:eastAsia="宋体" w:cs="宋体"/>
          <w:sz w:val="22"/>
          <w:szCs w:val="22"/>
        </w:rPr>
        <w:t>    预算金额（元）: 3950000 </w:t>
      </w:r>
      <w:r>
        <w:rPr>
          <w:rFonts w:hint="eastAsia" w:ascii="宋体" w:hAnsi="宋体" w:eastAsia="宋体" w:cs="宋体"/>
          <w:sz w:val="22"/>
          <w:szCs w:val="22"/>
        </w:rPr>
        <w:br w:type="textWrapping"/>
      </w:r>
      <w:r>
        <w:rPr>
          <w:rFonts w:hint="eastAsia" w:ascii="宋体" w:hAnsi="宋体" w:eastAsia="宋体" w:cs="宋体"/>
          <w:sz w:val="22"/>
          <w:szCs w:val="22"/>
        </w:rPr>
        <w:t>    简要规格描述或项目基本概况介绍、用途：详见招标文件 </w:t>
      </w:r>
      <w:r>
        <w:rPr>
          <w:rFonts w:hint="eastAsia" w:ascii="宋体" w:hAnsi="宋体" w:eastAsia="宋体" w:cs="宋体"/>
          <w:sz w:val="22"/>
          <w:szCs w:val="22"/>
        </w:rPr>
        <w:br w:type="textWrapping"/>
      </w:r>
      <w:r>
        <w:rPr>
          <w:rFonts w:hint="eastAsia" w:ascii="宋体" w:hAnsi="宋体" w:eastAsia="宋体" w:cs="宋体"/>
          <w:sz w:val="22"/>
          <w:szCs w:val="22"/>
        </w:rPr>
        <w:t>    备注：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合同履约期限：标项 1，详见招标文件</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本项目（是）接受联合体投标。</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Style w:val="35"/>
          <w:rFonts w:hint="eastAsia" w:ascii="宋体" w:hAnsi="宋体" w:eastAsia="宋体" w:cs="宋体"/>
          <w:sz w:val="22"/>
          <w:szCs w:val="22"/>
        </w:rPr>
        <w:t>二、申请人的资格要求：</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1.满足《中华人民共和国政府采购法》第二十二条规定；未被“信用中国”（www.creditchina.gov.cn)、中国政府采购网（www.ccgp.gov.cn）列入失信被执行人、重大税收违法案件当事人名单、政府采购严重违法失信行为记录名单。</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2.落实政府采购政策需满足的资格要求：标项1：无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3.本项目的特定资格要求：无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5"/>
          <w:rFonts w:hint="eastAsia" w:ascii="宋体" w:hAnsi="宋体" w:eastAsia="宋体" w:cs="宋体"/>
          <w:sz w:val="22"/>
          <w:szCs w:val="22"/>
        </w:rPr>
        <w:t>三、获取招标文件</w:t>
      </w:r>
      <w:r>
        <w:rPr>
          <w:rFonts w:hint="eastAsia" w:ascii="宋体" w:hAnsi="宋体" w:eastAsia="宋体" w:cs="宋体"/>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u w:val="none"/>
        </w:rPr>
        <w:t>时间：/至2023年08月31日 ，每天上午00:00至12:00 ，下午12:00至23:59（北京时间，线上获取法定节假日均可，线下获取文件法定节假日除外）</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地点（网址）：政采云平台线上获取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方式：供应商登录政采云平台https://www.zcygov.cn/在线申请获取采购文件（进入“项目采购”应用，在获取采购文件菜单中选择项目，申请获取采购文件）（公告规定的招标文件获取方式为依法获取招标文件的方式，未按照公告规定的方式获取招标文件的，不得对招标文件提起质疑、投诉。）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售价（元）：0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5"/>
          <w:rFonts w:hint="eastAsia" w:ascii="宋体" w:hAnsi="宋体" w:eastAsia="宋体" w:cs="宋体"/>
          <w:sz w:val="22"/>
          <w:szCs w:val="22"/>
        </w:rPr>
        <w:t>四、提交投标文件截止时间、开标时间和地点</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u w:val="none"/>
        </w:rPr>
        <w:t> 提交投标文件截止时间：2023年08月31日 14:00（北京时间）</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u w:val="none"/>
        </w:rPr>
        <w:t> 投标地点（网址）：请登录政采云投标客户端投标</w:t>
      </w:r>
      <w:r>
        <w:rPr>
          <w:rFonts w:hint="eastAsia" w:ascii="宋体" w:hAnsi="宋体" w:eastAsia="宋体" w:cs="宋体"/>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u w:val="none"/>
        </w:rPr>
        <w:t>    开标时间：2023年08月31日 14:00</w:t>
      </w:r>
      <w:r>
        <w:rPr>
          <w:rFonts w:hint="eastAsia" w:ascii="宋体" w:hAnsi="宋体" w:eastAsia="宋体" w:cs="宋体"/>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u w:val="none"/>
        </w:rPr>
        <w:t>    开标地点（网址）：浙江乐诚工程咨询有限公司评审室（温州市瓯海区三垟街道桥头河大桥温州生命健康小镇B03）（https://www.zcygov.cn/）</w:t>
      </w:r>
      <w:r>
        <w:rPr>
          <w:rFonts w:hint="eastAsia" w:ascii="宋体" w:hAnsi="宋体" w:eastAsia="宋体" w:cs="宋体"/>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5"/>
          <w:rFonts w:hint="eastAsia" w:ascii="宋体" w:hAnsi="宋体" w:eastAsia="宋体" w:cs="宋体"/>
          <w:sz w:val="22"/>
          <w:szCs w:val="22"/>
        </w:rPr>
        <w:t>五、公告期限</w:t>
      </w:r>
      <w:r>
        <w:rPr>
          <w:rFonts w:hint="eastAsia" w:ascii="宋体" w:hAnsi="宋体" w:eastAsia="宋体" w:cs="宋体"/>
          <w:sz w:val="22"/>
          <w:szCs w:val="22"/>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自本公告发布之日起5个工作日。</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5"/>
          <w:rFonts w:hint="eastAsia" w:ascii="宋体" w:hAnsi="宋体" w:eastAsia="宋体" w:cs="宋体"/>
          <w:sz w:val="22"/>
          <w:szCs w:val="22"/>
        </w:rPr>
        <w:t>六、其他补充事宜</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sz w:val="22"/>
          <w:szCs w:val="22"/>
        </w:rPr>
      </w:pPr>
      <w:r>
        <w:rPr>
          <w:rFonts w:hint="eastAsia" w:ascii="宋体" w:hAnsi="宋体" w:eastAsia="宋体" w:cs="宋体"/>
          <w:sz w:val="22"/>
          <w:szCs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sz w:val="22"/>
          <w:szCs w:val="22"/>
        </w:rPr>
      </w:pPr>
      <w:r>
        <w:rPr>
          <w:rFonts w:hint="eastAsia" w:ascii="宋体" w:hAnsi="宋体" w:eastAsia="宋体" w:cs="宋体"/>
          <w:sz w:val="22"/>
          <w:szCs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sz w:val="22"/>
          <w:szCs w:val="22"/>
        </w:rPr>
      </w:pPr>
      <w:r>
        <w:rPr>
          <w:rFonts w:hint="eastAsia" w:ascii="宋体" w:hAnsi="宋体" w:eastAsia="宋体" w:cs="宋体"/>
          <w:sz w:val="22"/>
          <w:szCs w:val="22"/>
        </w:rPr>
        <w:t>3.其他事项：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5"/>
          <w:rFonts w:hint="eastAsia" w:ascii="宋体" w:hAnsi="宋体" w:eastAsia="宋体" w:cs="宋体"/>
          <w:sz w:val="22"/>
          <w:szCs w:val="22"/>
        </w:rPr>
        <w:t>七、对本次采购提出询问、质疑、投诉，请按以下方式联系</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1.采购人信息</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名    称：文成县卫生健康局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地    址：文成县大峃镇华侨新村35幢8号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传    真：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项目联系人（询问）：王女士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项目联系方式（询问）：0577-67830212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质疑联系人：雷女士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质疑联系方式：0577-67810213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rPr>
        <w:br w:type="textWrapping"/>
      </w:r>
      <w:r>
        <w:rPr>
          <w:rFonts w:hint="eastAsia" w:ascii="宋体" w:hAnsi="宋体" w:eastAsia="宋体" w:cs="宋体"/>
          <w:sz w:val="22"/>
          <w:szCs w:val="22"/>
        </w:rPr>
        <w:t>    2.采购代理机构信息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名    称：浙江乐诚工程咨询有限公司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60"/>
        <w:textAlignment w:val="auto"/>
        <w:rPr>
          <w:rFonts w:hint="eastAsia" w:ascii="宋体" w:hAnsi="宋体" w:eastAsia="宋体" w:cs="宋体"/>
          <w:sz w:val="22"/>
          <w:szCs w:val="22"/>
        </w:rPr>
      </w:pPr>
      <w:r>
        <w:rPr>
          <w:rFonts w:hint="eastAsia" w:ascii="宋体" w:hAnsi="宋体" w:eastAsia="宋体" w:cs="宋体"/>
          <w:sz w:val="22"/>
          <w:szCs w:val="22"/>
        </w:rPr>
        <w:t>地    址：温州市瓯海区三垟街道桥头河大桥温州生命健康小镇B03</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60"/>
        <w:textAlignment w:val="auto"/>
        <w:rPr>
          <w:rFonts w:hint="eastAsia" w:ascii="宋体" w:hAnsi="宋体" w:eastAsia="宋体" w:cs="宋体"/>
          <w:sz w:val="22"/>
          <w:szCs w:val="22"/>
        </w:rPr>
      </w:pPr>
      <w:r>
        <w:rPr>
          <w:rFonts w:hint="eastAsia" w:ascii="宋体" w:hAnsi="宋体" w:eastAsia="宋体" w:cs="宋体"/>
          <w:sz w:val="22"/>
          <w:szCs w:val="22"/>
        </w:rPr>
        <w:t>传    真：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项目联系人（询问）：王纪凤/陈素芳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项目联系方式（询问）：0577-86077700/18357703076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质疑联系人：钱学丰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质疑联系方式：15805779720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rPr>
        <w:br w:type="textWrapping"/>
      </w:r>
      <w:r>
        <w:rPr>
          <w:rFonts w:hint="eastAsia" w:ascii="宋体" w:hAnsi="宋体" w:eastAsia="宋体" w:cs="宋体"/>
          <w:sz w:val="22"/>
          <w:szCs w:val="22"/>
        </w:rPr>
        <w:t>    3.</w:t>
      </w:r>
      <w:r>
        <w:rPr>
          <w:rStyle w:val="41"/>
          <w:rFonts w:hint="eastAsia" w:ascii="宋体" w:hAnsi="宋体" w:eastAsia="宋体" w:cs="宋体"/>
          <w:sz w:val="22"/>
          <w:szCs w:val="22"/>
        </w:rPr>
        <w:t>同级政府采购监督管理部门</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名    称：文成县财政局政府采购监管科</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地    址：文成县财政局大峃镇伯温路</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传    真：0577-67833147</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联 系 人：王李快</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监督投诉电话：0577-67860159</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rPr>
      </w:pPr>
      <w:r>
        <w:rPr>
          <w:rFonts w:hint="eastAsia" w:ascii="宋体" w:hAnsi="宋体" w:eastAsia="宋体" w:cs="宋体"/>
          <w:kern w:val="0"/>
          <w:sz w:val="22"/>
          <w:szCs w:val="22"/>
          <w:lang w:val="en-US" w:eastAsia="zh-CN" w:bidi="ar"/>
        </w:rPr>
        <w:t>若对项目采购电子交易系统操作有疑问，可登录政采云（https://www.zcygov.cn/），点击右侧咨询小采，获取采小蜜智能服务管家帮助，或拨打政采云服务热线95763获取热线服务帮助。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rPr>
      </w:pPr>
      <w:r>
        <w:rPr>
          <w:rFonts w:hint="eastAsia" w:ascii="宋体" w:hAnsi="宋体" w:eastAsia="宋体" w:cs="宋体"/>
          <w:kern w:val="0"/>
          <w:sz w:val="22"/>
          <w:szCs w:val="22"/>
          <w:lang w:val="en-US" w:eastAsia="zh-CN" w:bidi="ar"/>
        </w:rPr>
        <w:t>CA问题联系电话（人工）：汇信CA 400-888-4636；天谷CA 400-087-8198。</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rPr>
      </w:pPr>
      <w:bookmarkStart w:id="125" w:name="_GoBack"/>
      <w:bookmarkEnd w:id="125"/>
      <w:r>
        <w:rPr>
          <w:rFonts w:hint="eastAsia" w:ascii="宋体" w:hAnsi="宋体" w:eastAsia="宋体" w:cs="宋体"/>
          <w:color w:val="auto"/>
          <w:kern w:val="0"/>
          <w:sz w:val="22"/>
          <w:szCs w:val="22"/>
          <w:highlight w:val="none"/>
          <w:lang w:bidi="ar"/>
        </w:rPr>
        <w:t> </w:t>
      </w:r>
      <w:r>
        <w:rPr>
          <w:rFonts w:hint="eastAsia" w:ascii="宋体" w:hAnsi="宋体" w:eastAsia="宋体" w:cs="宋体"/>
          <w:color w:val="auto"/>
          <w:kern w:val="0"/>
          <w:sz w:val="22"/>
          <w:highlight w:val="none"/>
          <w:lang w:bidi="ar"/>
        </w:rPr>
        <w:t xml:space="preserve">      </w:t>
      </w:r>
    </w:p>
    <w:p>
      <w:pPr>
        <w:widowControl/>
        <w:spacing w:line="360" w:lineRule="exact"/>
        <w:jc w:val="left"/>
        <w:rPr>
          <w:rFonts w:hint="eastAsia" w:ascii="宋体" w:hAnsi="宋体" w:eastAsia="宋体" w:cs="宋体"/>
          <w:color w:val="auto"/>
          <w:highlight w:val="none"/>
        </w:rPr>
      </w:pPr>
      <w:r>
        <w:rPr>
          <w:rFonts w:hint="eastAsia" w:ascii="宋体" w:hAnsi="宋体" w:eastAsia="宋体" w:cs="宋体"/>
          <w:color w:val="auto"/>
          <w:kern w:val="0"/>
          <w:sz w:val="22"/>
          <w:highlight w:val="none"/>
          <w:lang w:bidi="ar"/>
        </w:rPr>
        <w:t>   </w:t>
      </w:r>
    </w:p>
    <w:p>
      <w:pPr>
        <w:spacing w:line="400" w:lineRule="exact"/>
        <w:jc w:val="right"/>
        <w:rPr>
          <w:rFonts w:hint="eastAsia" w:ascii="宋体" w:hAnsi="宋体" w:eastAsia="宋体" w:cs="宋体"/>
          <w:color w:val="auto"/>
          <w:spacing w:val="-6"/>
          <w:sz w:val="22"/>
          <w:highlight w:val="none"/>
          <w:lang w:val="zh-CN"/>
        </w:rPr>
      </w:pPr>
      <w:r>
        <w:rPr>
          <w:rFonts w:hint="eastAsia" w:ascii="宋体" w:hAnsi="宋体" w:cs="宋体"/>
          <w:color w:val="auto"/>
          <w:spacing w:val="-6"/>
          <w:sz w:val="22"/>
          <w:highlight w:val="none"/>
          <w:lang w:val="zh-CN"/>
        </w:rPr>
        <w:t>文成县卫生健康局</w:t>
      </w:r>
    </w:p>
    <w:p>
      <w:pPr>
        <w:spacing w:line="400" w:lineRule="exact"/>
        <w:jc w:val="right"/>
        <w:rPr>
          <w:rFonts w:hint="eastAsia" w:ascii="宋体" w:hAnsi="宋体" w:eastAsia="宋体" w:cs="宋体"/>
          <w:color w:val="auto"/>
          <w:spacing w:val="-6"/>
          <w:sz w:val="22"/>
          <w:highlight w:val="none"/>
          <w:lang w:val="zh-CN"/>
        </w:rPr>
      </w:pPr>
      <w:r>
        <w:rPr>
          <w:rFonts w:hint="eastAsia" w:ascii="宋体" w:hAnsi="宋体" w:eastAsia="宋体" w:cs="宋体"/>
          <w:color w:val="auto"/>
          <w:kern w:val="0"/>
          <w:sz w:val="22"/>
          <w:highlight w:val="none"/>
        </w:rPr>
        <w:t>浙江乐</w:t>
      </w:r>
      <w:r>
        <w:rPr>
          <w:rFonts w:hint="eastAsia" w:ascii="宋体" w:hAnsi="宋体" w:eastAsia="宋体" w:cs="宋体"/>
          <w:color w:val="auto"/>
          <w:spacing w:val="-6"/>
          <w:sz w:val="22"/>
          <w:highlight w:val="none"/>
          <w:lang w:val="zh-CN"/>
        </w:rPr>
        <w:t>诚工程咨询有限公司</w:t>
      </w:r>
    </w:p>
    <w:p>
      <w:pPr>
        <w:spacing w:line="400" w:lineRule="exact"/>
        <w:jc w:val="right"/>
        <w:rPr>
          <w:rFonts w:hint="eastAsia" w:ascii="宋体" w:hAnsi="宋体" w:eastAsia="宋体" w:cs="宋体"/>
          <w:color w:val="auto"/>
          <w:spacing w:val="-6"/>
          <w:sz w:val="22"/>
          <w:highlight w:val="none"/>
          <w:lang w:val="zh-CN"/>
        </w:rPr>
      </w:pPr>
      <w:r>
        <w:rPr>
          <w:rFonts w:hint="eastAsia" w:ascii="宋体" w:hAnsi="宋体" w:cs="宋体"/>
          <w:color w:val="auto"/>
          <w:spacing w:val="-6"/>
          <w:sz w:val="22"/>
          <w:highlight w:val="none"/>
          <w:lang w:val="zh-CN"/>
        </w:rPr>
        <w:t>2023年08月10日</w:t>
      </w:r>
    </w:p>
    <w:p>
      <w:pPr>
        <w:rPr>
          <w:rFonts w:hint="eastAsia" w:ascii="宋体" w:hAnsi="宋体" w:eastAsia="宋体" w:cs="宋体"/>
          <w:color w:val="auto"/>
          <w:spacing w:val="-6"/>
          <w:sz w:val="22"/>
          <w:highlight w:val="none"/>
          <w:lang w:val="zh-CN"/>
        </w:rPr>
      </w:pPr>
      <w:r>
        <w:rPr>
          <w:rFonts w:hint="eastAsia" w:ascii="宋体" w:hAnsi="宋体" w:eastAsia="宋体" w:cs="宋体"/>
          <w:color w:val="auto"/>
          <w:spacing w:val="-6"/>
          <w:sz w:val="22"/>
          <w:highlight w:val="none"/>
          <w:lang w:val="zh-CN"/>
        </w:rPr>
        <w:br w:type="page"/>
      </w:r>
    </w:p>
    <w:p>
      <w:pPr>
        <w:spacing w:line="400" w:lineRule="exact"/>
        <w:jc w:val="center"/>
        <w:outlineLvl w:val="0"/>
        <w:rPr>
          <w:rFonts w:hint="eastAsia" w:ascii="宋体" w:hAnsi="宋体" w:eastAsia="宋体" w:cs="宋体"/>
          <w:b/>
          <w:color w:val="auto"/>
          <w:sz w:val="32"/>
          <w:highlight w:val="none"/>
        </w:rPr>
      </w:pPr>
      <w:bookmarkStart w:id="1" w:name="_Toc24189"/>
      <w:r>
        <w:rPr>
          <w:rFonts w:hint="eastAsia" w:ascii="宋体" w:hAnsi="宋体" w:eastAsia="宋体" w:cs="宋体"/>
          <w:b/>
          <w:color w:val="auto"/>
          <w:sz w:val="32"/>
          <w:highlight w:val="none"/>
        </w:rPr>
        <w:t>第二部分 投标人须知</w:t>
      </w:r>
      <w:bookmarkEnd w:id="1"/>
    </w:p>
    <w:p>
      <w:pPr>
        <w:spacing w:line="360" w:lineRule="exact"/>
        <w:jc w:val="center"/>
        <w:outlineLvl w:val="1"/>
        <w:rPr>
          <w:rFonts w:hint="eastAsia" w:ascii="宋体" w:hAnsi="宋体" w:eastAsia="宋体" w:cs="宋体"/>
          <w:b/>
          <w:bCs/>
          <w:color w:val="auto"/>
          <w:sz w:val="28"/>
          <w:szCs w:val="28"/>
          <w:highlight w:val="none"/>
        </w:rPr>
      </w:pPr>
      <w:bookmarkStart w:id="2" w:name="_Toc13063"/>
      <w:r>
        <w:rPr>
          <w:rFonts w:hint="eastAsia" w:ascii="宋体" w:hAnsi="宋体" w:eastAsia="宋体" w:cs="宋体"/>
          <w:b/>
          <w:bCs/>
          <w:color w:val="auto"/>
          <w:sz w:val="28"/>
          <w:szCs w:val="28"/>
          <w:highlight w:val="none"/>
        </w:rPr>
        <w:t>投标人须知前附表</w:t>
      </w:r>
      <w:bookmarkEnd w:id="2"/>
    </w:p>
    <w:tbl>
      <w:tblPr>
        <w:tblStyle w:val="32"/>
        <w:tblW w:w="9280" w:type="dxa"/>
        <w:jc w:val="center"/>
        <w:tblLayout w:type="fixed"/>
        <w:tblCellMar>
          <w:top w:w="0" w:type="dxa"/>
          <w:left w:w="108" w:type="dxa"/>
          <w:bottom w:w="0" w:type="dxa"/>
          <w:right w:w="108" w:type="dxa"/>
        </w:tblCellMar>
      </w:tblPr>
      <w:tblGrid>
        <w:gridCol w:w="766"/>
        <w:gridCol w:w="1796"/>
        <w:gridCol w:w="6718"/>
      </w:tblGrid>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序号</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条款名称</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编列内容</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采购人</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exact"/>
              <w:ind w:right="416"/>
              <w:rPr>
                <w:rFonts w:hint="eastAsia" w:ascii="宋体" w:hAnsi="宋体" w:eastAsia="宋体" w:cs="宋体"/>
                <w:color w:val="auto"/>
                <w:spacing w:val="-6"/>
                <w:sz w:val="22"/>
                <w:highlight w:val="none"/>
                <w:lang w:val="zh-CN"/>
              </w:rPr>
            </w:pPr>
            <w:r>
              <w:rPr>
                <w:rFonts w:hint="eastAsia" w:ascii="宋体" w:hAnsi="宋体" w:cs="宋体"/>
                <w:color w:val="auto"/>
                <w:spacing w:val="-6"/>
                <w:sz w:val="22"/>
                <w:highlight w:val="none"/>
                <w:lang w:val="zh-CN"/>
              </w:rPr>
              <w:t>文成县卫生健康局</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采购代理机构</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sz w:val="22"/>
                <w:highlight w:val="none"/>
                <w:lang w:val="zh-CN"/>
              </w:rPr>
              <w:t>浙江乐诚工程咨询有限公司</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3</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项目名称</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项目名称：</w:t>
            </w:r>
            <w:r>
              <w:rPr>
                <w:rFonts w:hint="eastAsia" w:ascii="宋体" w:hAnsi="宋体" w:cs="宋体"/>
                <w:color w:val="auto"/>
                <w:sz w:val="22"/>
                <w:highlight w:val="none"/>
                <w:lang w:eastAsia="zh-CN"/>
              </w:rPr>
              <w:t>疾控实验室设备</w:t>
            </w:r>
          </w:p>
          <w:p>
            <w:pPr>
              <w:pStyle w:val="2"/>
              <w:keepNext w:val="0"/>
              <w:keepLines w:val="0"/>
              <w:pageBreakBefore w:val="0"/>
              <w:kinsoku/>
              <w:wordWrap/>
              <w:overflowPunct/>
              <w:topLinePunct w:val="0"/>
              <w:bidi w:val="0"/>
              <w:spacing w:line="360" w:lineRule="exact"/>
              <w:ind w:left="440" w:hanging="440"/>
              <w:rPr>
                <w:rFonts w:hint="eastAsia" w:ascii="宋体" w:hAnsi="宋体" w:eastAsia="宋体" w:cs="宋体"/>
                <w:color w:val="auto"/>
                <w:highlight w:val="none"/>
                <w:lang w:eastAsia="zh-CN"/>
              </w:rPr>
            </w:pPr>
            <w:r>
              <w:rPr>
                <w:rFonts w:hint="eastAsia" w:ascii="宋体" w:hAnsi="宋体" w:eastAsia="宋体" w:cs="宋体"/>
                <w:color w:val="auto"/>
                <w:kern w:val="0"/>
                <w:sz w:val="22"/>
                <w:highlight w:val="none"/>
                <w:lang w:val="zh-CN"/>
              </w:rPr>
              <w:t>项目编号：</w:t>
            </w:r>
            <w:r>
              <w:rPr>
                <w:rFonts w:hint="eastAsia" w:ascii="宋体" w:hAnsi="宋体" w:cs="宋体"/>
                <w:color w:val="auto"/>
                <w:kern w:val="0"/>
                <w:sz w:val="22"/>
                <w:highlight w:val="none"/>
                <w:lang w:eastAsia="zh-CN"/>
              </w:rPr>
              <w:t>ZJYC2023139（GK）</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预算金额</w:t>
            </w:r>
            <w:r>
              <w:rPr>
                <w:rFonts w:hint="eastAsia" w:ascii="宋体" w:hAnsi="宋体" w:eastAsia="宋体" w:cs="宋体"/>
                <w:color w:val="auto"/>
                <w:kern w:val="0"/>
                <w:sz w:val="22"/>
                <w:highlight w:val="none"/>
              </w:rPr>
              <w:t>及资金来源</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exact"/>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▲预算金额：</w:t>
            </w:r>
            <w:r>
              <w:rPr>
                <w:rFonts w:hint="eastAsia" w:ascii="宋体" w:hAnsi="宋体" w:cs="宋体"/>
                <w:bCs/>
                <w:color w:val="auto"/>
                <w:sz w:val="22"/>
                <w:highlight w:val="none"/>
                <w:u w:val="single"/>
                <w:lang w:eastAsia="zh-CN"/>
              </w:rPr>
              <w:t>3950000</w:t>
            </w:r>
            <w:r>
              <w:rPr>
                <w:rFonts w:hint="eastAsia" w:ascii="宋体" w:hAnsi="宋体" w:eastAsia="宋体" w:cs="宋体"/>
                <w:bCs/>
                <w:color w:val="auto"/>
                <w:sz w:val="22"/>
                <w:highlight w:val="none"/>
                <w:u w:val="single"/>
              </w:rPr>
              <w:t>元</w:t>
            </w:r>
            <w:r>
              <w:rPr>
                <w:rFonts w:hint="eastAsia" w:ascii="宋体" w:hAnsi="宋体" w:eastAsia="宋体" w:cs="宋体"/>
                <w:bCs/>
                <w:color w:val="auto"/>
                <w:sz w:val="22"/>
                <w:highlight w:val="none"/>
                <w:u w:val="single"/>
                <w:lang w:eastAsia="zh-CN"/>
              </w:rPr>
              <w:t>。报价超</w:t>
            </w:r>
            <w:r>
              <w:rPr>
                <w:rFonts w:hint="eastAsia" w:ascii="宋体" w:hAnsi="宋体" w:eastAsia="宋体" w:cs="宋体"/>
                <w:color w:val="auto"/>
                <w:sz w:val="22"/>
                <w:highlight w:val="none"/>
                <w:u w:val="single"/>
              </w:rPr>
              <w:t>过</w:t>
            </w:r>
            <w:r>
              <w:rPr>
                <w:rFonts w:hint="eastAsia" w:ascii="宋体" w:hAnsi="宋体" w:eastAsia="宋体" w:cs="宋体"/>
                <w:color w:val="auto"/>
                <w:sz w:val="22"/>
                <w:highlight w:val="none"/>
                <w:u w:val="single"/>
                <w:lang w:val="en-US" w:eastAsia="zh-CN"/>
              </w:rPr>
              <w:t>预算金额</w:t>
            </w:r>
            <w:r>
              <w:rPr>
                <w:rFonts w:hint="eastAsia" w:ascii="宋体" w:hAnsi="宋体" w:eastAsia="宋体" w:cs="宋体"/>
                <w:color w:val="auto"/>
                <w:sz w:val="22"/>
                <w:highlight w:val="none"/>
                <w:u w:val="single"/>
              </w:rPr>
              <w:t>的投标无效。</w:t>
            </w:r>
          </w:p>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sz w:val="22"/>
                <w:highlight w:val="none"/>
              </w:rPr>
              <w:t>采购资金来源：财政拨款。</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采购需求</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sz w:val="22"/>
                <w:highlight w:val="none"/>
              </w:rPr>
              <w:t>详见第一部分 投标邀请书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6</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投标报价</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1.投标报价是指一次性报出不得更改的价格；</w:t>
            </w:r>
          </w:p>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2.</w:t>
            </w:r>
            <w:r>
              <w:rPr>
                <w:rFonts w:hint="eastAsia" w:ascii="宋体" w:hAnsi="宋体" w:eastAsia="宋体" w:cs="宋体"/>
                <w:b/>
                <w:color w:val="auto"/>
                <w:sz w:val="22"/>
                <w:highlight w:val="none"/>
              </w:rPr>
              <w:t>采用含税人民币报价</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lang w:val="en-US" w:eastAsia="zh-CN"/>
              </w:rPr>
              <w:t>允许进口设备的如所投产品为进口产品则不做免税</w:t>
            </w:r>
            <w:r>
              <w:rPr>
                <w:rFonts w:hint="eastAsia" w:ascii="宋体" w:hAnsi="宋体" w:eastAsia="宋体" w:cs="宋体"/>
                <w:b/>
                <w:color w:val="auto"/>
                <w:sz w:val="22"/>
                <w:highlight w:val="none"/>
              </w:rPr>
              <w:t>。</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7</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投标费用</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不论投标结果如何，投标人均应自行承担所有与投标有关的全部费用</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8</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lang w:val="zh-CN" w:eastAsia="zh-CN"/>
              </w:rPr>
            </w:pPr>
            <w:r>
              <w:rPr>
                <w:rFonts w:hint="eastAsia" w:ascii="宋体" w:hAnsi="宋体" w:eastAsia="宋体" w:cs="宋体"/>
                <w:color w:val="auto"/>
                <w:kern w:val="0"/>
                <w:sz w:val="22"/>
                <w:highlight w:val="none"/>
                <w:lang w:eastAsia="zh-CN"/>
              </w:rPr>
              <w:t>投标人资格要求</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sz w:val="22"/>
                <w:highlight w:val="none"/>
              </w:rPr>
              <w:t>详见投标邀请书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9</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是否接受联合体投标</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接受，但必须满足以下条件：</w:t>
            </w:r>
          </w:p>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b/>
                <w:bCs/>
                <w:snapToGrid w:val="0"/>
                <w:color w:val="auto"/>
                <w:sz w:val="22"/>
                <w:highlight w:val="none"/>
              </w:rPr>
            </w:pPr>
            <w:r>
              <w:rPr>
                <w:rFonts w:hint="eastAsia" w:ascii="宋体" w:hAnsi="宋体" w:eastAsia="宋体" w:cs="宋体"/>
                <w:b/>
                <w:bCs/>
                <w:snapToGrid w:val="0"/>
                <w:color w:val="auto"/>
                <w:sz w:val="22"/>
                <w:highlight w:val="none"/>
              </w:rPr>
              <w:t>1.两个以上的自然人、法人或者其他组织可以组成一个联合体，以一个供应商的身份共同参加政府采购。</w:t>
            </w:r>
          </w:p>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b/>
                <w:bCs/>
                <w:snapToGrid w:val="0"/>
                <w:color w:val="auto"/>
                <w:sz w:val="22"/>
                <w:highlight w:val="none"/>
              </w:rPr>
            </w:pPr>
            <w:r>
              <w:rPr>
                <w:rFonts w:hint="eastAsia" w:ascii="宋体" w:hAnsi="宋体" w:eastAsia="宋体" w:cs="宋体"/>
                <w:b/>
                <w:bCs/>
                <w:snapToGrid w:val="0"/>
                <w:color w:val="auto"/>
                <w:sz w:val="22"/>
                <w:highlight w:val="none"/>
              </w:rPr>
              <w:t>2.以联合体形式进行政府采购的，参加联合体的投标人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b/>
                <w:bCs/>
                <w:snapToGrid w:val="0"/>
                <w:color w:val="auto"/>
                <w:sz w:val="22"/>
                <w:highlight w:val="none"/>
              </w:rPr>
            </w:pPr>
            <w:r>
              <w:rPr>
                <w:rFonts w:hint="eastAsia" w:ascii="宋体" w:hAnsi="宋体" w:eastAsia="宋体" w:cs="宋体"/>
                <w:b/>
                <w:bCs/>
                <w:snapToGrid w:val="0"/>
                <w:color w:val="auto"/>
                <w:sz w:val="22"/>
                <w:highlight w:val="none"/>
              </w:rPr>
              <w:t xml:space="preserve">3.投标人以联合体形式参加采购活动的，联合体各方中至少应有一方符合招标文件规定的特定资质条件。如由同一专业的供应商组成的联合体的，评审时应以资质最低的一方为依据。 </w:t>
            </w:r>
          </w:p>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b/>
                <w:bCs/>
                <w:snapToGrid w:val="0"/>
                <w:color w:val="auto"/>
                <w:sz w:val="22"/>
                <w:highlight w:val="none"/>
              </w:rPr>
            </w:pPr>
            <w:r>
              <w:rPr>
                <w:rFonts w:hint="eastAsia" w:ascii="宋体" w:hAnsi="宋体" w:eastAsia="宋体" w:cs="宋体"/>
                <w:b/>
                <w:bCs/>
                <w:snapToGrid w:val="0"/>
                <w:color w:val="auto"/>
                <w:sz w:val="22"/>
                <w:highlight w:val="none"/>
              </w:rPr>
              <w:t>4.联合体中有同类资质的供应商按照联合体分工承担相同工作的，按照资质等级较低的供应商确定资质等级。</w:t>
            </w:r>
          </w:p>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b/>
                <w:bCs/>
                <w:snapToGrid w:val="0"/>
                <w:color w:val="auto"/>
                <w:sz w:val="22"/>
                <w:highlight w:val="none"/>
              </w:rPr>
            </w:pPr>
            <w:r>
              <w:rPr>
                <w:rFonts w:hint="eastAsia" w:ascii="宋体" w:hAnsi="宋体" w:eastAsia="宋体" w:cs="宋体"/>
                <w:b/>
                <w:bCs/>
                <w:snapToGrid w:val="0"/>
                <w:color w:val="auto"/>
                <w:sz w:val="22"/>
                <w:highlight w:val="none"/>
              </w:rPr>
              <w:t>5.联合体各方指定其中一家企业为牵头人，由牵头人之法定代表人或其委托代理人为联合体授权代表执行联合体有关的决议，以联合体名义处理与本项目相关的事务。</w:t>
            </w:r>
          </w:p>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b/>
                <w:bCs/>
                <w:snapToGrid w:val="0"/>
                <w:color w:val="auto"/>
                <w:sz w:val="22"/>
                <w:highlight w:val="none"/>
              </w:rPr>
            </w:pPr>
            <w:r>
              <w:rPr>
                <w:rFonts w:hint="eastAsia" w:ascii="宋体" w:hAnsi="宋体" w:eastAsia="宋体" w:cs="宋体"/>
                <w:b/>
                <w:bCs/>
                <w:snapToGrid w:val="0"/>
                <w:color w:val="auto"/>
                <w:sz w:val="22"/>
                <w:highlight w:val="none"/>
              </w:rPr>
              <w:t>6.以联合体形式参加采购活动的，联合体各方不得再单独参加或者与其他供应商另外组成联合体参加同一合同项下的采购活动。</w:t>
            </w:r>
          </w:p>
          <w:p>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 w:val="22"/>
                <w:highlight w:val="none"/>
                <w:lang w:val="zh-CN"/>
              </w:rPr>
            </w:pPr>
            <w:r>
              <w:rPr>
                <w:rFonts w:hint="eastAsia" w:ascii="宋体" w:hAnsi="宋体" w:eastAsia="宋体" w:cs="宋体"/>
                <w:b/>
                <w:bCs/>
                <w:snapToGrid w:val="0"/>
                <w:color w:val="auto"/>
                <w:sz w:val="22"/>
                <w:highlight w:val="none"/>
              </w:rPr>
              <w:t>7.投标文件中需要签章或签字的内容（资格文件等其他另有要求的除外）可只需加盖联合体牵头人有效公章及联合体牵头人授权代表（或其法定代表人）签字或盖章。</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10</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踏勘现场</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rPr>
            </w:pPr>
            <w:r>
              <w:rPr>
                <w:rFonts w:hint="eastAsia" w:ascii="宋体" w:hAnsi="宋体" w:eastAsia="宋体" w:cs="宋体"/>
                <w:b/>
                <w:color w:val="auto"/>
                <w:sz w:val="22"/>
                <w:highlight w:val="none"/>
                <w:lang w:bidi="ar"/>
              </w:rPr>
              <w:t>不需要</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投标预备会</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不召开</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12</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分包和转包</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1.</w:t>
            </w:r>
            <w:r>
              <w:rPr>
                <w:rFonts w:hint="eastAsia" w:ascii="宋体" w:hAnsi="宋体" w:eastAsia="宋体" w:cs="宋体"/>
                <w:color w:val="auto"/>
                <w:kern w:val="0"/>
                <w:sz w:val="22"/>
                <w:highlight w:val="none"/>
                <w:lang w:val="zh-CN"/>
              </w:rPr>
              <w:t>本项目不允许转包</w:t>
            </w:r>
          </w:p>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2.分包</w:t>
            </w:r>
          </w:p>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2.1投标人根据招标文件的规定和采购项目的实际情况，拟在中标后将中标项目的非主体、非关键性工作分包的，应当在投标文件中载明分包承担主体，分包承担主体应当具备相应资质条件且不得再次分包。</w:t>
            </w:r>
          </w:p>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2.2</w:t>
            </w:r>
            <w:r>
              <w:rPr>
                <w:rFonts w:hint="eastAsia" w:ascii="宋体" w:hAnsi="宋体" w:eastAsia="宋体" w:cs="宋体"/>
                <w:color w:val="auto"/>
                <w:kern w:val="0"/>
                <w:sz w:val="22"/>
                <w:highlight w:val="none"/>
                <w:lang w:val="zh-CN"/>
              </w:rPr>
              <w:t>当分包份额占到合同总金额100%时，视为转包。此情况根据《中华人民共和国政府采购法实施条例》（国务院令第658号）文件第七十二条规定，将依照政府采购法第七十七条第一款的规定追究相应法律责任。</w:t>
            </w:r>
          </w:p>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2.3</w:t>
            </w:r>
            <w:r>
              <w:rPr>
                <w:rFonts w:hint="eastAsia" w:ascii="宋体" w:hAnsi="宋体" w:eastAsia="宋体" w:cs="宋体"/>
                <w:color w:val="auto"/>
                <w:kern w:val="0"/>
                <w:sz w:val="22"/>
                <w:highlight w:val="none"/>
                <w:lang w:val="zh-CN"/>
              </w:rPr>
              <w:t>依据政府采购促进中小企业发展管理办法规定享受扶持政策获得政府采购合同的，小微企业不得将合同分包给大中型企业，中型企业不得将合同分包给大型企业。</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13</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偏离</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偏差允许幅度及其处理方法：允许细微偏差，不允许重大偏差。由评审小组判断，细微偏差要求投标人在评标结束前予以澄清、说明或补正，不接受要求进行的，评审小组有权做投标无效处理，详见评标办法。</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投标有效期</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rPr>
              <w:t>从提交投标文件的截止时间之日起90天。</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投标保证金</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无</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w:t>
            </w:r>
          </w:p>
        </w:tc>
        <w:tc>
          <w:tcPr>
            <w:tcW w:w="179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hint="eastAsia" w:ascii="宋体" w:hAnsi="宋体" w:eastAsia="宋体" w:cs="宋体"/>
                <w:color w:val="auto"/>
                <w:kern w:val="0"/>
                <w:sz w:val="22"/>
                <w:highlight w:val="none"/>
              </w:rPr>
            </w:pPr>
            <w:r>
              <w:rPr>
                <w:rFonts w:hint="eastAsia" w:ascii="宋体" w:hAnsi="宋体" w:eastAsia="宋体" w:cs="宋体"/>
                <w:b/>
                <w:bCs/>
                <w:color w:val="auto"/>
                <w:kern w:val="0"/>
                <w:sz w:val="22"/>
                <w:highlight w:val="none"/>
              </w:rPr>
              <w:t>投标文件形式、制作及组成</w:t>
            </w:r>
          </w:p>
        </w:tc>
        <w:tc>
          <w:tcPr>
            <w:tcW w:w="6718"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kinsoku/>
              <w:wordWrap/>
              <w:overflowPunct/>
              <w:topLinePunct w:val="0"/>
              <w:bidi w:val="0"/>
              <w:snapToGrid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本项目实行网上电子投标。</w:t>
            </w:r>
          </w:p>
          <w:p>
            <w:pPr>
              <w:pStyle w:val="15"/>
              <w:keepNext w:val="0"/>
              <w:keepLines w:val="0"/>
              <w:pageBreakBefore w:val="0"/>
              <w:kinsoku/>
              <w:wordWrap/>
              <w:overflowPunct/>
              <w:topLinePunct w:val="0"/>
              <w:bidi w:val="0"/>
              <w:snapToGrid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投标人应准备电子投标文件、以介质存储的数据电文形式的备份投标文件二类：</w:t>
            </w:r>
          </w:p>
          <w:p>
            <w:pPr>
              <w:pStyle w:val="15"/>
              <w:keepNext w:val="0"/>
              <w:keepLines w:val="0"/>
              <w:pageBreakBefore w:val="0"/>
              <w:kinsoku/>
              <w:wordWrap/>
              <w:overflowPunct/>
              <w:topLinePunct w:val="0"/>
              <w:bidi w:val="0"/>
              <w:snapToGrid w:val="0"/>
              <w:spacing w:line="360" w:lineRule="exact"/>
              <w:ind w:firstLine="221" w:firstLineChars="1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（1）电子投标文件：通过政采云电子交易客户端（政采云投标客户端）完成投标文件编制后生成并加密的数据电文形式的投标文件（文件扩展名为.jmbs）1份</w:t>
            </w:r>
            <w:r>
              <w:rPr>
                <w:rFonts w:hint="eastAsia" w:ascii="宋体" w:hAnsi="宋体" w:eastAsia="宋体" w:cs="宋体"/>
                <w:b/>
                <w:bCs/>
                <w:color w:val="auto"/>
                <w:sz w:val="22"/>
                <w:highlight w:val="none"/>
                <w:lang w:val="zh-CN"/>
              </w:rPr>
              <w:t>。</w:t>
            </w:r>
          </w:p>
          <w:p>
            <w:pPr>
              <w:keepNext w:val="0"/>
              <w:keepLines w:val="0"/>
              <w:pageBreakBefore w:val="0"/>
              <w:kinsoku/>
              <w:wordWrap/>
              <w:overflowPunct/>
              <w:topLinePunct w:val="0"/>
              <w:bidi w:val="0"/>
              <w:spacing w:line="360" w:lineRule="exact"/>
              <w:ind w:firstLine="221" w:firstLineChars="1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（2）以介质存储的数据电文形式的备份投标文件（如有）：</w:t>
            </w:r>
            <w:r>
              <w:rPr>
                <w:rStyle w:val="35"/>
                <w:rFonts w:hint="eastAsia" w:ascii="宋体" w:hAnsi="宋体" w:eastAsia="宋体" w:cs="宋体"/>
                <w:bCs/>
                <w:color w:val="auto"/>
                <w:sz w:val="22"/>
                <w:highlight w:val="none"/>
              </w:rPr>
              <w:t>与“电子投标文件”同时生成的数据电文形式的备份投标文件(文件扩展名为.bfbs)</w:t>
            </w:r>
            <w:r>
              <w:rPr>
                <w:rFonts w:hint="eastAsia" w:ascii="宋体" w:hAnsi="宋体" w:eastAsia="宋体" w:cs="宋体"/>
                <w:b/>
                <w:bCs/>
                <w:color w:val="auto"/>
                <w:sz w:val="22"/>
                <w:highlight w:val="none"/>
              </w:rPr>
              <w:t>，投标文件提交截止时间前以</w:t>
            </w:r>
            <w:r>
              <w:rPr>
                <w:rFonts w:hint="eastAsia" w:ascii="宋体" w:hAnsi="宋体" w:eastAsia="宋体" w:cs="宋体"/>
                <w:b/>
                <w:bCs/>
                <w:color w:val="auto"/>
                <w:sz w:val="22"/>
                <w:highlight w:val="none"/>
                <w:lang w:val="zh-CN"/>
              </w:rPr>
              <w:t>电子邮件方式传送至浙江乐诚工程咨询有限公司电子邮箱</w:t>
            </w:r>
            <w:r>
              <w:rPr>
                <w:rFonts w:hint="eastAsia" w:ascii="宋体" w:hAnsi="宋体" w:eastAsia="宋体" w:cs="宋体"/>
                <w:b/>
                <w:bCs/>
                <w:color w:val="auto"/>
                <w:sz w:val="22"/>
                <w:highlight w:val="none"/>
                <w:lang w:eastAsia="zh-CN"/>
              </w:rPr>
              <w:t>2812799762</w:t>
            </w:r>
            <w:r>
              <w:rPr>
                <w:rFonts w:hint="eastAsia" w:ascii="宋体" w:hAnsi="宋体" w:eastAsia="宋体" w:cs="宋体"/>
                <w:b/>
                <w:bCs/>
                <w:color w:val="auto"/>
                <w:sz w:val="22"/>
                <w:highlight w:val="none"/>
              </w:rPr>
              <w:t>@qq.com，</w:t>
            </w:r>
            <w:r>
              <w:rPr>
                <w:rFonts w:hint="eastAsia" w:ascii="宋体" w:hAnsi="宋体" w:eastAsia="宋体" w:cs="宋体"/>
                <w:b/>
                <w:bCs/>
                <w:color w:val="auto"/>
                <w:sz w:val="22"/>
                <w:highlight w:val="none"/>
                <w:lang w:val="zh-CN"/>
              </w:rPr>
              <w:t>递交</w:t>
            </w:r>
            <w:r>
              <w:rPr>
                <w:rFonts w:hint="eastAsia" w:ascii="宋体" w:hAnsi="宋体" w:eastAsia="宋体" w:cs="宋体"/>
                <w:b/>
                <w:bCs/>
                <w:color w:val="auto"/>
                <w:sz w:val="22"/>
                <w:highlight w:val="none"/>
              </w:rPr>
              <w:t>1</w:t>
            </w:r>
            <w:r>
              <w:rPr>
                <w:rFonts w:hint="eastAsia" w:ascii="宋体" w:hAnsi="宋体" w:eastAsia="宋体" w:cs="宋体"/>
                <w:b/>
                <w:bCs/>
                <w:color w:val="auto"/>
                <w:sz w:val="22"/>
                <w:highlight w:val="none"/>
                <w:lang w:val="zh-CN"/>
              </w:rPr>
              <w:t>份</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zh-CN"/>
              </w:rPr>
              <w:t>传送的备份投标文件需打包压缩并加密</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zh-CN"/>
              </w:rPr>
              <w:t>加密密码由投标人自行保管</w:t>
            </w:r>
            <w:r>
              <w:rPr>
                <w:rFonts w:hint="eastAsia" w:ascii="宋体" w:hAnsi="宋体" w:eastAsia="宋体" w:cs="宋体"/>
                <w:b/>
                <w:bCs/>
                <w:color w:val="auto"/>
                <w:sz w:val="22"/>
                <w:highlight w:val="none"/>
              </w:rPr>
              <w:t>，未加密导致投标信息泄露的风险由投标人自行承担</w:t>
            </w:r>
            <w:r>
              <w:rPr>
                <w:rStyle w:val="35"/>
                <w:rFonts w:hint="eastAsia" w:ascii="宋体" w:hAnsi="宋体" w:eastAsia="宋体" w:cs="宋体"/>
                <w:bCs/>
                <w:color w:val="auto"/>
                <w:sz w:val="22"/>
                <w:highlight w:val="none"/>
              </w:rPr>
              <w:t>。</w:t>
            </w:r>
          </w:p>
          <w:p>
            <w:pPr>
              <w:pStyle w:val="15"/>
              <w:keepNext w:val="0"/>
              <w:keepLines w:val="0"/>
              <w:pageBreakBefore w:val="0"/>
              <w:kinsoku/>
              <w:wordWrap/>
              <w:overflowPunct/>
              <w:topLinePunct w:val="0"/>
              <w:bidi w:val="0"/>
              <w:snapToGrid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投标文件由报价文件、资格文件、商务和技术文件三部分组成。</w:t>
            </w:r>
          </w:p>
          <w:p>
            <w:pPr>
              <w:pStyle w:val="15"/>
              <w:keepNext w:val="0"/>
              <w:keepLines w:val="0"/>
              <w:pageBreakBefore w:val="0"/>
              <w:kinsoku/>
              <w:wordWrap/>
              <w:overflowPunct/>
              <w:topLinePunct w:val="0"/>
              <w:bidi w:val="0"/>
              <w:snapToGrid w:val="0"/>
              <w:spacing w:line="360" w:lineRule="exact"/>
              <w:rPr>
                <w:rFonts w:hint="eastAsia" w:ascii="宋体" w:hAnsi="宋体" w:eastAsia="宋体" w:cs="宋体"/>
                <w:b/>
                <w:bCs/>
                <w:color w:val="auto"/>
                <w:sz w:val="22"/>
                <w:highlight w:val="none"/>
                <w:lang w:val="zh-CN"/>
              </w:rPr>
            </w:pPr>
            <w:r>
              <w:rPr>
                <w:rFonts w:hint="eastAsia" w:ascii="宋体" w:hAnsi="宋体" w:eastAsia="宋体" w:cs="宋体"/>
                <w:b/>
                <w:bCs/>
                <w:color w:val="auto"/>
                <w:sz w:val="22"/>
                <w:highlight w:val="none"/>
              </w:rPr>
              <w:t>注：中标人在领取中标通知书时按采购人要求提供全套纸质投标文件贰份。</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17</w:t>
            </w:r>
          </w:p>
        </w:tc>
        <w:tc>
          <w:tcPr>
            <w:tcW w:w="1796"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color w:val="auto"/>
                <w:kern w:val="0"/>
                <w:sz w:val="22"/>
                <w:highlight w:val="none"/>
              </w:rPr>
            </w:pPr>
            <w:r>
              <w:rPr>
                <w:rFonts w:hint="eastAsia" w:ascii="宋体" w:hAnsi="宋体" w:eastAsia="宋体" w:cs="宋体"/>
                <w:color w:val="auto"/>
                <w:kern w:val="0"/>
                <w:sz w:val="22"/>
                <w:highlight w:val="none"/>
              </w:rPr>
              <w:t>电子招投标特殊情况处理方式</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本项目原则上采用政采云电子招投标开标及评审程序，</w:t>
            </w:r>
            <w:r>
              <w:rPr>
                <w:rFonts w:hint="eastAsia" w:ascii="宋体" w:hAnsi="宋体" w:eastAsia="宋体" w:cs="宋体"/>
                <w:b/>
                <w:bCs/>
                <w:color w:val="auto"/>
                <w:sz w:val="22"/>
                <w:highlight w:val="none"/>
                <w:lang w:eastAsia="zh-CN"/>
              </w:rPr>
              <w:t>但有以下情形</w:t>
            </w:r>
            <w:r>
              <w:rPr>
                <w:rFonts w:hint="eastAsia" w:ascii="宋体" w:hAnsi="宋体" w:eastAsia="宋体" w:cs="宋体"/>
                <w:b/>
                <w:bCs/>
                <w:color w:val="auto"/>
                <w:sz w:val="22"/>
                <w:highlight w:val="none"/>
              </w:rPr>
              <w:t>之一的，按以下情况处理：</w:t>
            </w:r>
          </w:p>
          <w:p>
            <w:pPr>
              <w:keepNext w:val="0"/>
              <w:keepLines w:val="0"/>
              <w:pageBreakBefore w:val="0"/>
              <w:kinsoku/>
              <w:wordWrap/>
              <w:overflowPunct/>
              <w:topLinePunct w:val="0"/>
              <w:bidi w:val="0"/>
              <w:spacing w:line="360" w:lineRule="exact"/>
              <w:rPr>
                <w:rFonts w:hint="eastAsia" w:ascii="宋体" w:hAnsi="宋体" w:eastAsia="宋体" w:cs="宋体"/>
                <w:b/>
                <w:bCs/>
                <w:color w:val="auto"/>
                <w:sz w:val="22"/>
                <w:highlight w:val="none"/>
                <w:lang w:val="zh-CN"/>
              </w:rPr>
            </w:pPr>
            <w:r>
              <w:rPr>
                <w:rFonts w:hint="eastAsia" w:ascii="宋体" w:hAnsi="宋体" w:eastAsia="宋体" w:cs="宋体"/>
                <w:b/>
                <w:bCs/>
                <w:color w:val="auto"/>
                <w:sz w:val="22"/>
                <w:highlight w:val="none"/>
              </w:rPr>
              <w:t>若投标人在规定时间内无法解密或解密失败，采购代理机构将开启所有投标人递交的以介质存储的数据电文形式的备份投标文件，上传至政采云平台项目采购模块，以完成开标，电子投标文件自动失效。</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18</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评审小组的组建</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ind w:firstLine="31"/>
              <w:rPr>
                <w:rFonts w:hint="eastAsia" w:ascii="宋体" w:hAnsi="宋体" w:eastAsia="宋体" w:cs="宋体"/>
                <w:color w:val="auto"/>
                <w:sz w:val="22"/>
                <w:highlight w:val="none"/>
                <w:lang w:val="zh-CN"/>
              </w:rPr>
            </w:pPr>
            <w:r>
              <w:rPr>
                <w:rFonts w:hint="eastAsia" w:ascii="宋体" w:hAnsi="宋体" w:eastAsia="宋体" w:cs="宋体"/>
                <w:color w:val="auto"/>
                <w:kern w:val="0"/>
                <w:sz w:val="22"/>
                <w:highlight w:val="none"/>
                <w:lang w:val="zh-CN"/>
              </w:rPr>
              <w:t>评审小组成员由采购人代表和有关技术、经济等方面的专家组成，有关技术、经济等方面的专家成员人数为5人及以上单数，除采购人代表外的专家将按有关规定随机抽取产生。</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19</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评审地点</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kern w:val="0"/>
                <w:sz w:val="22"/>
                <w:highlight w:val="none"/>
              </w:rPr>
            </w:pPr>
            <w:r>
              <w:rPr>
                <w:rFonts w:hint="eastAsia" w:ascii="宋体" w:hAnsi="宋体" w:eastAsia="宋体" w:cs="宋体"/>
                <w:color w:val="auto"/>
                <w:sz w:val="22"/>
                <w:highlight w:val="none"/>
              </w:rPr>
              <w:t>浙江乐诚工程咨询有限公司评审室（温州市瓯海区三垟街道桥头河大桥温州生命健康小镇B03）</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20</w:t>
            </w:r>
          </w:p>
        </w:tc>
        <w:tc>
          <w:tcPr>
            <w:tcW w:w="17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项目属性与核心产品</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exact"/>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rPr>
              <w:t>货物类，单一产品或</w:t>
            </w:r>
            <w:r>
              <w:rPr>
                <w:rFonts w:hint="eastAsia" w:ascii="宋体" w:hAnsi="宋体" w:eastAsia="宋体" w:cs="宋体"/>
                <w:color w:val="auto"/>
                <w:kern w:val="0"/>
                <w:sz w:val="22"/>
                <w:highlight w:val="none"/>
              </w:rPr>
              <w:t>核心产品</w:t>
            </w:r>
            <w:r>
              <w:rPr>
                <w:rFonts w:hint="eastAsia" w:ascii="宋体" w:hAnsi="宋体" w:eastAsia="宋体" w:cs="宋体"/>
                <w:color w:val="auto"/>
                <w:sz w:val="22"/>
                <w:highlight w:val="none"/>
              </w:rPr>
              <w:t>为：</w:t>
            </w:r>
            <w:r>
              <w:rPr>
                <w:rFonts w:hint="eastAsia" w:ascii="宋体" w:hAnsi="宋体" w:eastAsia="宋体" w:cs="宋体"/>
                <w:bCs/>
                <w:color w:val="auto"/>
                <w:sz w:val="22"/>
                <w:highlight w:val="none"/>
                <w:u w:val="single"/>
                <w:lang w:eastAsia="zh-CN"/>
              </w:rPr>
              <w:t>气相色谱三重四极杆质谱联用仪</w:t>
            </w:r>
            <w:r>
              <w:rPr>
                <w:rFonts w:hint="eastAsia" w:ascii="宋体" w:hAnsi="宋体" w:eastAsia="宋体" w:cs="宋体"/>
                <w:color w:val="auto"/>
                <w:sz w:val="22"/>
                <w:highlight w:val="none"/>
              </w:rPr>
              <w:t>。</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bCs/>
                <w:snapToGrid w:val="0"/>
                <w:color w:val="auto"/>
                <w:sz w:val="22"/>
                <w:highlight w:val="none"/>
              </w:rPr>
            </w:pPr>
            <w:r>
              <w:rPr>
                <w:rFonts w:hint="eastAsia" w:ascii="宋体" w:hAnsi="宋体" w:eastAsia="宋体" w:cs="宋体"/>
                <w:snapToGrid w:val="0"/>
                <w:color w:val="auto"/>
                <w:sz w:val="22"/>
                <w:highlight w:val="none"/>
              </w:rPr>
              <w:t>中小企业预留份额情况</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line="360" w:lineRule="exact"/>
              <w:textAlignment w:val="bottom"/>
              <w:rPr>
                <w:rFonts w:hint="eastAsia" w:ascii="宋体" w:hAnsi="宋体" w:eastAsia="宋体" w:cs="宋体"/>
                <w:b/>
                <w:bCs/>
                <w:snapToGrid w:val="0"/>
                <w:color w:val="auto"/>
                <w:sz w:val="22"/>
                <w:highlight w:val="none"/>
              </w:rPr>
            </w:pPr>
            <w:r>
              <w:rPr>
                <w:rFonts w:hint="eastAsia" w:ascii="宋体" w:hAnsi="宋体" w:eastAsia="宋体" w:cs="宋体"/>
                <w:b/>
                <w:color w:val="auto"/>
                <w:sz w:val="22"/>
                <w:highlight w:val="none"/>
              </w:rPr>
              <w:t>根据《政府采购促进中小企业发展管理办法》财库〔2020〕46号文件的规定，本项目</w:t>
            </w:r>
            <w:r>
              <w:rPr>
                <w:rFonts w:hint="eastAsia" w:ascii="宋体" w:hAnsi="宋体" w:eastAsia="宋体" w:cs="宋体"/>
                <w:b/>
                <w:color w:val="auto"/>
                <w:sz w:val="22"/>
                <w:highlight w:val="none"/>
                <w:u w:val="none"/>
                <w:lang w:val="en-US" w:eastAsia="zh-CN"/>
              </w:rPr>
              <w:t>不</w:t>
            </w:r>
            <w:r>
              <w:rPr>
                <w:rFonts w:hint="eastAsia" w:ascii="宋体" w:hAnsi="宋体" w:eastAsia="宋体" w:cs="宋体"/>
                <w:b/>
                <w:color w:val="auto"/>
                <w:sz w:val="22"/>
                <w:highlight w:val="none"/>
              </w:rPr>
              <w:t>属于预留份额专门面向中小企业采购的项目。</w:t>
            </w:r>
            <w:r>
              <w:rPr>
                <w:rFonts w:hint="eastAsia" w:ascii="宋体" w:hAnsi="宋体" w:eastAsia="宋体" w:cs="宋体"/>
                <w:snapToGrid w:val="0"/>
                <w:color w:val="auto"/>
                <w:sz w:val="22"/>
                <w:highlight w:val="none"/>
              </w:rPr>
              <w:t xml:space="preserve">  </w:t>
            </w:r>
          </w:p>
        </w:tc>
      </w:tr>
      <w:tr>
        <w:tblPrEx>
          <w:tblCellMar>
            <w:top w:w="0" w:type="dxa"/>
            <w:left w:w="108" w:type="dxa"/>
            <w:bottom w:w="0" w:type="dxa"/>
            <w:right w:w="108" w:type="dxa"/>
          </w:tblCellMar>
        </w:tblPrEx>
        <w:trPr>
          <w:trHeight w:val="324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22</w:t>
            </w:r>
          </w:p>
        </w:tc>
        <w:tc>
          <w:tcPr>
            <w:tcW w:w="17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snapToGrid w:val="0"/>
                <w:color w:val="auto"/>
                <w:sz w:val="22"/>
                <w:highlight w:val="none"/>
              </w:rPr>
            </w:pPr>
            <w:r>
              <w:rPr>
                <w:rFonts w:hint="eastAsia" w:ascii="宋体" w:hAnsi="宋体" w:eastAsia="宋体" w:cs="宋体"/>
                <w:color w:val="auto"/>
                <w:sz w:val="22"/>
                <w:highlight w:val="none"/>
              </w:rPr>
              <w:t>采购标的及其对应的中小企业划分标准所属行业</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snapToGrid w:val="0"/>
                <w:color w:val="auto"/>
                <w:sz w:val="22"/>
                <w:highlight w:val="none"/>
              </w:rPr>
            </w:pPr>
            <w:r>
              <w:rPr>
                <w:rFonts w:hint="eastAsia" w:ascii="宋体" w:hAnsi="宋体" w:eastAsia="宋体" w:cs="宋体"/>
                <w:snapToGrid w:val="0"/>
                <w:color w:val="auto"/>
                <w:sz w:val="22"/>
                <w:highlight w:val="none"/>
              </w:rPr>
              <w:t>1.采购标的：</w:t>
            </w:r>
          </w:p>
          <w:p>
            <w:pPr>
              <w:keepNext w:val="0"/>
              <w:keepLines w:val="0"/>
              <w:pageBreakBefore w:val="0"/>
              <w:kinsoku/>
              <w:wordWrap/>
              <w:overflowPunct/>
              <w:topLinePunct w:val="0"/>
              <w:bidi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标项</w:t>
            </w:r>
            <w:r>
              <w:rPr>
                <w:rFonts w:hint="eastAsia" w:ascii="宋体" w:hAnsi="宋体" w:eastAsia="宋体" w:cs="宋体"/>
                <w:bCs/>
                <w:color w:val="auto"/>
                <w:sz w:val="22"/>
                <w:highlight w:val="none"/>
                <w:u w:val="single"/>
                <w:lang w:eastAsia="zh-CN"/>
              </w:rPr>
              <w:t>1：</w:t>
            </w:r>
            <w:bookmarkStart w:id="3" w:name="OLE_LINK1"/>
            <w:r>
              <w:rPr>
                <w:rFonts w:hint="eastAsia" w:ascii="宋体" w:hAnsi="宋体" w:eastAsia="宋体" w:cs="宋体"/>
                <w:bCs/>
                <w:color w:val="auto"/>
                <w:sz w:val="22"/>
                <w:highlight w:val="none"/>
                <w:u w:val="single"/>
                <w:lang w:val="en-US" w:eastAsia="zh-CN"/>
              </w:rPr>
              <w:t>气相色谱三重四极杆质谱联用仪、超纯水机、旋转蒸发仪、</w:t>
            </w:r>
            <w:r>
              <w:rPr>
                <w:rFonts w:hint="eastAsia" w:ascii="宋体" w:hAnsi="宋体" w:cs="宋体"/>
                <w:bCs/>
                <w:color w:val="auto"/>
                <w:sz w:val="22"/>
                <w:highlight w:val="none"/>
                <w:u w:val="single"/>
                <w:lang w:val="en-US" w:eastAsia="zh-CN"/>
              </w:rPr>
              <w:t>大</w:t>
            </w:r>
            <w:r>
              <w:rPr>
                <w:rFonts w:hint="eastAsia" w:ascii="宋体" w:hAnsi="宋体" w:eastAsia="宋体" w:cs="宋体"/>
                <w:bCs/>
                <w:color w:val="auto"/>
                <w:sz w:val="22"/>
                <w:highlight w:val="none"/>
                <w:u w:val="single"/>
                <w:lang w:val="en-US" w:eastAsia="zh-CN"/>
              </w:rPr>
              <w:t>肠菌群检测系统、烘箱、均质器、超低温冰箱、微生物质谱检测系统</w:t>
            </w:r>
            <w:r>
              <w:rPr>
                <w:rFonts w:hint="eastAsia" w:ascii="宋体" w:hAnsi="宋体" w:cs="宋体"/>
                <w:bCs/>
                <w:color w:val="auto"/>
                <w:sz w:val="22"/>
                <w:highlight w:val="none"/>
                <w:u w:val="single"/>
                <w:lang w:val="en-US" w:eastAsia="zh-CN"/>
              </w:rPr>
              <w:t>、</w:t>
            </w:r>
            <w:r>
              <w:rPr>
                <w:rFonts w:hint="eastAsia" w:ascii="宋体" w:hAnsi="宋体" w:eastAsia="宋体" w:cs="宋体"/>
                <w:bCs/>
                <w:color w:val="auto"/>
                <w:sz w:val="22"/>
                <w:highlight w:val="none"/>
                <w:u w:val="single"/>
                <w:lang w:val="en-US" w:eastAsia="zh-CN"/>
              </w:rPr>
              <w:t>全自动洗瓶机、全自动高锰酸盐指数分析仪、显微镜、振荡器、电子天平、低速离心机、</w:t>
            </w:r>
            <w:r>
              <w:rPr>
                <w:rFonts w:hint="eastAsia" w:ascii="宋体" w:hAnsi="宋体" w:eastAsia="宋体" w:cs="宋体"/>
                <w:color w:val="auto"/>
                <w:sz w:val="22"/>
                <w:szCs w:val="22"/>
                <w:highlight w:val="none"/>
                <w:u w:val="single"/>
                <w:lang w:val="en-US" w:eastAsia="zh-CN"/>
              </w:rPr>
              <w:t>高速离心机</w:t>
            </w:r>
            <w:r>
              <w:rPr>
                <w:rFonts w:hint="eastAsia" w:ascii="宋体" w:hAnsi="宋体" w:eastAsia="宋体" w:cs="宋体"/>
                <w:color w:val="auto"/>
                <w:sz w:val="22"/>
                <w:highlight w:val="none"/>
              </w:rPr>
              <w:t>。</w:t>
            </w:r>
          </w:p>
          <w:bookmarkEnd w:id="3"/>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2.中小企业划分标准所属行业（具体根据《中小企业划型标准规定》执行）</w:t>
            </w:r>
          </w:p>
          <w:p>
            <w:pPr>
              <w:keepNext w:val="0"/>
              <w:keepLines w:val="0"/>
              <w:pageBreakBefore w:val="0"/>
              <w:tabs>
                <w:tab w:val="left" w:pos="851"/>
                <w:tab w:val="center" w:pos="5812"/>
                <w:tab w:val="decimal" w:pos="7229"/>
                <w:tab w:val="decimal" w:pos="8789"/>
              </w:tabs>
              <w:kinsoku/>
              <w:wordWrap/>
              <w:overflowPunct/>
              <w:topLinePunct w:val="0"/>
              <w:bidi w:val="0"/>
              <w:spacing w:line="360" w:lineRule="exact"/>
              <w:jc w:val="left"/>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所属行业：</w:t>
            </w:r>
            <w:r>
              <w:rPr>
                <w:rFonts w:hint="eastAsia" w:ascii="宋体" w:hAnsi="宋体" w:eastAsia="宋体" w:cs="宋体"/>
                <w:color w:val="auto"/>
                <w:sz w:val="22"/>
                <w:highlight w:val="none"/>
                <w:lang w:val="en-US" w:eastAsia="zh-CN"/>
              </w:rPr>
              <w:t>工业</w:t>
            </w:r>
            <w:r>
              <w:rPr>
                <w:rFonts w:hint="eastAsia" w:ascii="宋体" w:hAnsi="宋体" w:eastAsia="宋体" w:cs="宋体"/>
                <w:color w:val="auto"/>
                <w:sz w:val="22"/>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23</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lang w:val="zh-CN"/>
              </w:rPr>
              <w:t>是否允许采购进口产品</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snapToGrid w:val="0"/>
                <w:color w:val="auto"/>
                <w:sz w:val="22"/>
                <w:highlight w:val="none"/>
              </w:rPr>
            </w:pPr>
            <w:sdt>
              <w:sdtPr>
                <w:rPr>
                  <w:rFonts w:hint="eastAsia" w:ascii="宋体" w:hAnsi="宋体" w:eastAsia="宋体" w:cs="宋体"/>
                  <w:snapToGrid w:val="0"/>
                  <w:color w:val="auto"/>
                  <w:sz w:val="22"/>
                  <w:highlight w:val="none"/>
                </w:rPr>
                <w:id w:val="-1828425707"/>
                <w14:checkbox>
                  <w14:checked w14:val="0"/>
                  <w14:checkedState w14:val="00FE" w14:font="Wingdings"/>
                  <w14:uncheckedState w14:val="2610" w14:font="MS Gothic"/>
                </w14:checkbox>
              </w:sdtPr>
              <w:sdtEndPr>
                <w:rPr>
                  <w:rFonts w:hint="eastAsia" w:ascii="宋体" w:hAnsi="宋体" w:eastAsia="宋体" w:cs="宋体"/>
                  <w:snapToGrid w:val="0"/>
                  <w:color w:val="auto"/>
                  <w:sz w:val="22"/>
                  <w:highlight w:val="none"/>
                </w:rPr>
              </w:sdtEndPr>
              <w:sdtContent>
                <w:r>
                  <w:rPr>
                    <w:rFonts w:hint="eastAsia" w:ascii="宋体" w:hAnsi="宋体" w:eastAsia="宋体" w:cs="宋体"/>
                    <w:snapToGrid w:val="0"/>
                    <w:color w:val="auto"/>
                    <w:kern w:val="2"/>
                    <w:sz w:val="22"/>
                    <w:szCs w:val="22"/>
                    <w:highlight w:val="none"/>
                    <w:lang w:val="en-US" w:eastAsia="zh-CN" w:bidi="ar-SA"/>
                  </w:rPr>
                  <w:t>☐</w:t>
                </w:r>
              </w:sdtContent>
            </w:sdt>
            <w:r>
              <w:rPr>
                <w:rFonts w:hint="eastAsia" w:ascii="宋体" w:hAnsi="宋体" w:eastAsia="宋体" w:cs="宋体"/>
                <w:snapToGrid w:val="0"/>
                <w:color w:val="auto"/>
                <w:sz w:val="22"/>
                <w:highlight w:val="none"/>
              </w:rPr>
              <w:t>本项目不允许采购进口产品。</w:t>
            </w:r>
          </w:p>
          <w:p>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snapToGrid w:val="0"/>
                <w:color w:val="auto"/>
                <w:sz w:val="22"/>
                <w:highlight w:val="none"/>
              </w:rPr>
            </w:pPr>
            <w:sdt>
              <w:sdtPr>
                <w:rPr>
                  <w:rFonts w:hint="eastAsia" w:ascii="宋体" w:hAnsi="宋体" w:eastAsia="宋体" w:cs="宋体"/>
                  <w:snapToGrid w:val="0"/>
                  <w:color w:val="auto"/>
                  <w:sz w:val="22"/>
                  <w:highlight w:val="none"/>
                </w:rPr>
                <w:id w:val="-1828425707"/>
                <w14:checkbox>
                  <w14:checked w14:val="1"/>
                  <w14:checkedState w14:val="00FE" w14:font="Wingdings"/>
                  <w14:uncheckedState w14:val="2610" w14:font="MS Gothic"/>
                </w14:checkbox>
              </w:sdtPr>
              <w:sdtEndPr>
                <w:rPr>
                  <w:rFonts w:hint="eastAsia" w:ascii="宋体" w:hAnsi="宋体" w:eastAsia="宋体" w:cs="宋体"/>
                  <w:snapToGrid w:val="0"/>
                  <w:color w:val="auto"/>
                  <w:sz w:val="22"/>
                  <w:highlight w:val="none"/>
                </w:rPr>
              </w:sdtEndPr>
              <w:sdtContent>
                <w:r>
                  <w:rPr>
                    <w:rFonts w:hint="eastAsia" w:ascii="Wingdings" w:hAnsi="Wingdings" w:eastAsia="宋体" w:cs="宋体"/>
                    <w:snapToGrid w:val="0"/>
                    <w:color w:val="auto"/>
                    <w:kern w:val="2"/>
                    <w:sz w:val="22"/>
                    <w:szCs w:val="22"/>
                    <w:highlight w:val="none"/>
                    <w:lang w:val="en-US" w:eastAsia="zh-CN" w:bidi="ar-SA"/>
                  </w:rPr>
                  <w:t>þ</w:t>
                </w:r>
              </w:sdtContent>
            </w:sdt>
            <w:r>
              <w:rPr>
                <w:rFonts w:hint="eastAsia" w:ascii="宋体" w:hAnsi="宋体" w:cs="宋体"/>
                <w:snapToGrid w:val="0"/>
                <w:color w:val="auto"/>
                <w:sz w:val="22"/>
                <w:highlight w:val="none"/>
                <w:lang w:val="en-US" w:eastAsia="zh-CN"/>
              </w:rPr>
              <w:t>本项目部分允许进口，</w:t>
            </w:r>
            <w:r>
              <w:rPr>
                <w:rFonts w:hint="eastAsia" w:ascii="宋体" w:hAnsi="宋体" w:eastAsia="宋体" w:cs="宋体"/>
                <w:snapToGrid w:val="0"/>
                <w:color w:val="auto"/>
                <w:sz w:val="22"/>
                <w:highlight w:val="none"/>
              </w:rPr>
              <w:t>可以就</w:t>
            </w:r>
            <w:r>
              <w:rPr>
                <w:rFonts w:hint="eastAsia" w:ascii="宋体" w:hAnsi="宋体" w:eastAsia="宋体" w:cs="宋体"/>
                <w:bCs/>
                <w:color w:val="auto"/>
                <w:sz w:val="22"/>
                <w:highlight w:val="none"/>
                <w:u w:val="single"/>
                <w:lang w:eastAsia="zh-CN"/>
              </w:rPr>
              <w:t>气相色谱三重四极杆质谱联用仪；超纯水机；旋转蒸发仪；大肠菌群检测系统；烘箱；均质器</w:t>
            </w:r>
            <w:r>
              <w:rPr>
                <w:rFonts w:hint="eastAsia" w:ascii="宋体" w:hAnsi="宋体" w:eastAsia="宋体" w:cs="宋体"/>
                <w:snapToGrid w:val="0"/>
                <w:color w:val="auto"/>
                <w:sz w:val="22"/>
                <w:highlight w:val="none"/>
              </w:rPr>
              <w:t>采购进口产品。</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sz w:val="22"/>
                <w:highlight w:val="none"/>
              </w:rPr>
              <w:t>评标办法及评分标准</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综合评分法，详见第六部分  评标原则及方法。</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bCs/>
                <w:snapToGrid w:val="0"/>
                <w:color w:val="auto"/>
                <w:sz w:val="22"/>
                <w:highlight w:val="none"/>
              </w:rPr>
            </w:pPr>
            <w:r>
              <w:rPr>
                <w:rFonts w:hint="eastAsia" w:ascii="宋体" w:hAnsi="宋体" w:eastAsia="宋体" w:cs="宋体"/>
                <w:color w:val="auto"/>
                <w:sz w:val="22"/>
                <w:highlight w:val="none"/>
              </w:rPr>
              <w:t>中标公告及中标通知书</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exact"/>
              <w:ind w:firstLine="31"/>
              <w:rPr>
                <w:rFonts w:hint="eastAsia" w:ascii="宋体" w:hAnsi="宋体" w:eastAsia="宋体" w:cs="宋体"/>
                <w:b/>
                <w:bCs/>
                <w:color w:val="auto"/>
                <w:sz w:val="22"/>
                <w:highlight w:val="none"/>
                <w:lang w:val="zh-CN"/>
              </w:rPr>
            </w:pPr>
            <w:r>
              <w:rPr>
                <w:rFonts w:hint="eastAsia" w:ascii="宋体" w:hAnsi="宋体" w:eastAsia="宋体" w:cs="宋体"/>
                <w:color w:val="auto"/>
                <w:sz w:val="22"/>
                <w:highlight w:val="none"/>
              </w:rPr>
              <w:t>评标结束后中标公告发布于浙江政府采购网，并向中标人发出中标通知书。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26</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sz w:val="22"/>
                <w:highlight w:val="none"/>
              </w:rPr>
              <w:t>合同签订</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exac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中标人须在中标通知书发出之日起30日历天内与采购人签订合同。</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27</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解释权</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exact"/>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人须知、评标办法、投标文件格式的先后顺序解释；同一文件中就同一事项的约定不一致的，以逻辑顺序在后者为准；同一文件不同版本之间有不一致的，以形成时间在后者为准。按本款前述约定仍不能形成结论的，由采购人或采购代理机构负责解释。</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28</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其他</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3"/>
              </w:numPr>
              <w:kinsoku/>
              <w:wordWrap/>
              <w:overflowPunct/>
              <w:topLinePunct w:val="0"/>
              <w:bidi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公开招标公告属于本招标文件的一部分</w:t>
            </w:r>
          </w:p>
          <w:p>
            <w:pPr>
              <w:keepNext w:val="0"/>
              <w:keepLines w:val="0"/>
              <w:pageBreakBefore w:val="0"/>
              <w:numPr>
                <w:ilvl w:val="0"/>
                <w:numId w:val="3"/>
              </w:numPr>
              <w:kinsoku/>
              <w:wordWrap/>
              <w:overflowPunct/>
              <w:topLinePunct w:val="0"/>
              <w:bidi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电子评标注意事项：</w:t>
            </w:r>
          </w:p>
          <w:p>
            <w:pPr>
              <w:pStyle w:val="28"/>
              <w:keepNext w:val="0"/>
              <w:keepLines w:val="0"/>
              <w:pageBreakBefore w:val="0"/>
              <w:kinsoku/>
              <w:wordWrap/>
              <w:overflowPunct/>
              <w:topLinePunct w:val="0"/>
              <w:bidi w:val="0"/>
              <w:spacing w:before="0" w:beforeAutospacing="0" w:after="0" w:afterAutospacing="0"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2.1投标人必须先在政府采购云平台进行登记注册，相关事宜请参照（《供应商网上注册操作指南》“浙江政府采购网首页-办事指南-注册-供应商注册申请”），登录政府采购云平台后台依法进行网上自主下载。</w:t>
            </w:r>
          </w:p>
          <w:p>
            <w:pPr>
              <w:pStyle w:val="28"/>
              <w:keepNext w:val="0"/>
              <w:keepLines w:val="0"/>
              <w:pageBreakBefore w:val="0"/>
              <w:kinsoku/>
              <w:wordWrap/>
              <w:overflowPunct/>
              <w:topLinePunct w:val="0"/>
              <w:bidi w:val="0"/>
              <w:spacing w:before="0" w:beforeAutospacing="0" w:after="0" w:afterAutospacing="0"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2.2本项目实行电子投标，应按照本项目招标文件和政采云平台的要求编制、加密并递交投标文件。投标人在使用系统进行投标的过程中遇到涉及平台使用的任何问题，可致电政采云平台技术支持热线咨询，联系方式：</w:t>
            </w:r>
            <w:r>
              <w:rPr>
                <w:rFonts w:hint="eastAsia" w:ascii="宋体" w:hAnsi="宋体" w:eastAsia="宋体" w:cs="宋体"/>
                <w:color w:val="auto"/>
                <w:sz w:val="22"/>
                <w:highlight w:val="none"/>
                <w:lang w:eastAsia="zh-CN"/>
              </w:rPr>
              <w:t>95763</w:t>
            </w:r>
            <w:r>
              <w:rPr>
                <w:rFonts w:hint="eastAsia" w:ascii="宋体" w:hAnsi="宋体" w:eastAsia="宋体" w:cs="宋体"/>
                <w:color w:val="auto"/>
                <w:sz w:val="22"/>
                <w:highlight w:val="none"/>
              </w:rPr>
              <w:t>。</w:t>
            </w:r>
          </w:p>
          <w:p>
            <w:pPr>
              <w:pStyle w:val="28"/>
              <w:keepNext w:val="0"/>
              <w:keepLines w:val="0"/>
              <w:pageBreakBefore w:val="0"/>
              <w:kinsoku/>
              <w:wordWrap/>
              <w:overflowPunct/>
              <w:topLinePunct w:val="0"/>
              <w:bidi w:val="0"/>
              <w:spacing w:before="0" w:beforeAutospacing="0" w:after="0" w:afterAutospacing="0"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2.3投标人应在开标前完成CA数字证书办理。完成CA数字证书办理预计一周左右，建议各投标人抓紧时间办理。【（目前“政采云”平台仅支持浙江汇信或天谷CA锁，个体工商户投标仅支持浙江汇信CA锁）申领操作流程”】。因未注册入库、未办理CA数字证书等原因造成无法投标或投标失败等后果由投标人自行承担。《CA驱动和申领流程》</w:t>
            </w:r>
            <w:r>
              <w:rPr>
                <w:rFonts w:hint="eastAsia" w:ascii="宋体" w:hAnsi="宋体" w:eastAsia="宋体" w:cs="宋体"/>
                <w:color w:val="auto"/>
                <w:sz w:val="22"/>
                <w:highlight w:val="none"/>
                <w:lang w:val="en-US" w:eastAsia="zh-CN"/>
              </w:rPr>
              <w:t>在浙江政府采购网下载专区查看</w:t>
            </w:r>
            <w:r>
              <w:rPr>
                <w:rFonts w:hint="eastAsia" w:ascii="宋体" w:hAnsi="宋体" w:eastAsia="宋体" w:cs="宋体"/>
                <w:color w:val="auto"/>
                <w:sz w:val="22"/>
                <w:highlight w:val="none"/>
              </w:rPr>
              <w:t>。</w:t>
            </w:r>
          </w:p>
          <w:p>
            <w:pPr>
              <w:pStyle w:val="28"/>
              <w:keepNext w:val="0"/>
              <w:keepLines w:val="0"/>
              <w:pageBreakBefore w:val="0"/>
              <w:kinsoku/>
              <w:wordWrap/>
              <w:overflowPunct/>
              <w:topLinePunct w:val="0"/>
              <w:bidi w:val="0"/>
              <w:spacing w:before="0" w:beforeAutospacing="0" w:after="0" w:afterAutospacing="0"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2.4投标人通过政采云平台电子投标工具制作投标文件，电子投标工具请投标人自行前往浙江省政府采购网下载并安装，（电子交易客户端</w:t>
            </w:r>
            <w:r>
              <w:rPr>
                <w:rFonts w:hint="eastAsia" w:ascii="宋体" w:hAnsi="宋体" w:eastAsia="宋体" w:cs="宋体"/>
                <w:color w:val="auto"/>
                <w:sz w:val="22"/>
                <w:highlight w:val="none"/>
                <w:lang w:val="en-US" w:eastAsia="zh-CN"/>
              </w:rPr>
              <w:t>在浙江政府采购网下载专区查看</w:t>
            </w:r>
            <w:r>
              <w:rPr>
                <w:rFonts w:hint="eastAsia" w:ascii="宋体" w:hAnsi="宋体" w:eastAsia="宋体" w:cs="宋体"/>
                <w:color w:val="auto"/>
                <w:sz w:val="22"/>
                <w:highlight w:val="none"/>
              </w:rPr>
              <w:t>。</w:t>
            </w:r>
          </w:p>
          <w:p>
            <w:pPr>
              <w:pStyle w:val="28"/>
              <w:keepNext w:val="0"/>
              <w:keepLines w:val="0"/>
              <w:pageBreakBefore w:val="0"/>
              <w:kinsoku/>
              <w:wordWrap/>
              <w:overflowPunct/>
              <w:topLinePunct w:val="0"/>
              <w:bidi w:val="0"/>
              <w:spacing w:before="0" w:beforeAutospacing="0" w:after="0" w:afterAutospacing="0"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2.5投标人可通过浙江省“电子交易/不见面开评标”学习专题提前进行专题学习，熟悉操作，避免影响采购活动（https://edu.zcygov.cn/luban/e-biding）。</w:t>
            </w:r>
          </w:p>
          <w:p>
            <w:pPr>
              <w:keepNext w:val="0"/>
              <w:keepLines w:val="0"/>
              <w:pageBreakBefore w:val="0"/>
              <w:kinsoku/>
              <w:wordWrap/>
              <w:overflowPunct/>
              <w:topLinePunct w:val="0"/>
              <w:bidi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3.请务必确保投标文件制作客户端为最新版本，旧版本可能导致投标文件解密失败。</w:t>
            </w:r>
          </w:p>
          <w:p>
            <w:pPr>
              <w:keepNext w:val="0"/>
              <w:keepLines w:val="0"/>
              <w:pageBreakBefore w:val="0"/>
              <w:kinsoku/>
              <w:wordWrap/>
              <w:overflowPunct/>
              <w:topLinePunct w:val="0"/>
              <w:bidi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4.请务必确保投标文件制作时所用的 CA 锁与投标文件解密时的 CA 锁为同一把，否则可能导致投标文件解密失败。</w:t>
            </w:r>
          </w:p>
          <w:p>
            <w:pPr>
              <w:keepNext w:val="0"/>
              <w:keepLines w:val="0"/>
              <w:pageBreakBefore w:val="0"/>
              <w:kinsoku/>
              <w:wordWrap/>
              <w:overflowPunct/>
              <w:topLinePunct w:val="0"/>
              <w:bidi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5.在投标文件解密前，请务必检验 CA 锁与所用电脑的兼容性，部分电脑因 CA 驱动未正常安装、USB 接口兼容性差等原因可能造成投标文件解密失败。</w:t>
            </w:r>
          </w:p>
          <w:p>
            <w:pPr>
              <w:keepNext w:val="0"/>
              <w:keepLines w:val="0"/>
              <w:pageBreakBefore w:val="0"/>
              <w:kinsoku/>
              <w:wordWrap/>
              <w:overflowPunct/>
              <w:topLinePunct w:val="0"/>
              <w:bidi w:val="0"/>
              <w:spacing w:line="360" w:lineRule="exact"/>
              <w:rPr>
                <w:rFonts w:hint="eastAsia" w:ascii="宋体" w:hAnsi="宋体" w:eastAsia="宋体" w:cs="宋体"/>
                <w:b/>
                <w:color w:val="auto"/>
                <w:sz w:val="22"/>
                <w:highlight w:val="none"/>
              </w:rPr>
            </w:pPr>
            <w:r>
              <w:rPr>
                <w:rFonts w:hint="eastAsia" w:ascii="宋体" w:hAnsi="宋体" w:eastAsia="宋体" w:cs="宋体"/>
                <w:b/>
                <w:bCs/>
                <w:color w:val="auto"/>
                <w:sz w:val="22"/>
                <w:highlight w:val="none"/>
              </w:rPr>
              <w:t>6.</w:t>
            </w:r>
            <w:r>
              <w:rPr>
                <w:rFonts w:hint="eastAsia" w:ascii="宋体" w:hAnsi="宋体" w:eastAsia="宋体" w:cs="宋体"/>
                <w:b/>
                <w:color w:val="auto"/>
                <w:sz w:val="22"/>
                <w:highlight w:val="none"/>
              </w:rPr>
              <w:t>投标人未按招标文件规定及提醒操作的，引起的一切后果由投标人自行负责。</w:t>
            </w:r>
          </w:p>
          <w:p>
            <w:pPr>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b/>
                <w:color w:val="auto"/>
                <w:sz w:val="22"/>
                <w:highlight w:val="none"/>
              </w:rPr>
              <w:t>7.投标截止时间同</w:t>
            </w:r>
            <w:r>
              <w:rPr>
                <w:rStyle w:val="35"/>
                <w:rFonts w:hint="eastAsia" w:ascii="宋体" w:hAnsi="宋体" w:eastAsia="宋体" w:cs="宋体"/>
                <w:color w:val="auto"/>
                <w:sz w:val="22"/>
                <w:highlight w:val="none"/>
              </w:rPr>
              <w:t>提交投标文件截止时间。</w:t>
            </w:r>
          </w:p>
        </w:tc>
      </w:tr>
    </w:tbl>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400" w:lineRule="exact"/>
        <w:jc w:val="center"/>
        <w:outlineLvl w:val="1"/>
        <w:rPr>
          <w:rFonts w:hint="eastAsia" w:ascii="宋体" w:hAnsi="宋体" w:eastAsia="宋体" w:cs="宋体"/>
          <w:b/>
          <w:color w:val="auto"/>
          <w:sz w:val="28"/>
          <w:szCs w:val="28"/>
          <w:highlight w:val="none"/>
        </w:rPr>
      </w:pPr>
      <w:bookmarkStart w:id="4" w:name="_Toc32069"/>
      <w:r>
        <w:rPr>
          <w:rFonts w:hint="eastAsia" w:ascii="宋体" w:hAnsi="宋体" w:eastAsia="宋体" w:cs="宋体"/>
          <w:b/>
          <w:color w:val="auto"/>
          <w:sz w:val="28"/>
          <w:szCs w:val="28"/>
          <w:highlight w:val="none"/>
        </w:rPr>
        <w:t>一、说明</w:t>
      </w:r>
      <w:bookmarkEnd w:id="4"/>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1.本次招标是按照《中华人民共和国政府采购法》、《政府采购货物和服务招标投标管理办法》等法律及有关法规组织和实施的。</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2.定义</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2.1“采购人”系指</w:t>
      </w:r>
      <w:r>
        <w:rPr>
          <w:rFonts w:hint="eastAsia" w:ascii="宋体" w:hAnsi="宋体" w:cs="宋体"/>
          <w:color w:val="auto"/>
          <w:sz w:val="22"/>
          <w:highlight w:val="none"/>
          <w:lang w:eastAsia="zh-CN"/>
        </w:rPr>
        <w:t>文成县卫生健康局</w:t>
      </w:r>
      <w:r>
        <w:rPr>
          <w:rFonts w:hint="eastAsia" w:ascii="宋体" w:hAnsi="宋体" w:eastAsia="宋体" w:cs="宋体"/>
          <w:color w:val="auto"/>
          <w:sz w:val="22"/>
          <w:highlight w:val="none"/>
        </w:rPr>
        <w:t>；</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2.2“采购代理机构”系指组织本次招标的浙江乐诚工程咨询有限公司；</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2.3“投标人”系指响应招标、参加投标竞争的法人、其他组织或者自然人；</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2.4“书面形式”包括合同书、信件和数据电文(包括电报、电传、传真、电子数据交换和电子邮件)等可以有形地表现所载内容的形式。</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5" w:name="_Hlk96327615"/>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2.6“电子签章”系指数据电文中以电子形式所含、所附用于识别签名人身份并表明签名人认可其中内容的数据；“公章”系指单位法定名称章。</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2.7招标文件对投标文件签署、盖章的要求适用于电子签章。</w:t>
      </w:r>
      <w:bookmarkEnd w:id="5"/>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2.8“▲且加下划线”系指实质性要求条款，投标人应当做出实质性响应。</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3.</w:t>
      </w:r>
      <w:r>
        <w:rPr>
          <w:rFonts w:hint="eastAsia" w:ascii="宋体" w:hAnsi="宋体" w:eastAsia="宋体" w:cs="宋体"/>
          <w:color w:val="auto"/>
          <w:sz w:val="22"/>
          <w:highlight w:val="none"/>
        </w:rPr>
        <w:t>投标人代表</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指全权代表投标人参加投标活动并签署投标文件的人。投标人须携带有效身份证件。如投标人代表不是法定代表人，须有法定代表人授权委托书，投标人未参加开标的，视同认可开标结果。</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4.投标费用</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4.1投标人应承担所有与准备和参加投标有关费用，不论投标的结果如何，采购代理机构和采购人均无义务和责任承担这些费用。</w:t>
      </w:r>
    </w:p>
    <w:p>
      <w:pPr>
        <w:spacing w:line="360" w:lineRule="exact"/>
        <w:ind w:firstLine="440" w:firstLineChars="200"/>
        <w:jc w:val="left"/>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4.2</w:t>
      </w:r>
      <w:r>
        <w:rPr>
          <w:rFonts w:hint="eastAsia" w:ascii="宋体" w:hAnsi="宋体" w:eastAsia="宋体" w:cs="宋体"/>
          <w:color w:val="auto"/>
          <w:spacing w:val="-6"/>
          <w:sz w:val="22"/>
          <w:highlight w:val="none"/>
        </w:rPr>
        <w:t>采购代理服务费：</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u w:val="single"/>
        </w:rPr>
        <w:t>▲</w:t>
      </w:r>
      <w:r>
        <w:rPr>
          <w:rFonts w:hint="eastAsia" w:ascii="宋体" w:hAnsi="宋体" w:eastAsia="宋体" w:cs="宋体"/>
          <w:bCs/>
          <w:color w:val="auto"/>
          <w:sz w:val="22"/>
          <w:szCs w:val="22"/>
          <w:highlight w:val="none"/>
          <w:u w:val="single"/>
        </w:rPr>
        <w:t>采购代理服务费系根据国家计委印发的《招标代理服务收费管理暂行办法》计价格【2002】1980号文（货物类）的规定按标准收取</w:t>
      </w:r>
      <w:r>
        <w:rPr>
          <w:rFonts w:hint="eastAsia" w:ascii="宋体" w:hAnsi="宋体" w:eastAsia="宋体" w:cs="宋体"/>
          <w:caps/>
          <w:color w:val="auto"/>
          <w:sz w:val="22"/>
          <w:szCs w:val="22"/>
          <w:highlight w:val="none"/>
          <w:u w:val="single"/>
        </w:rPr>
        <w:t>，不足</w:t>
      </w:r>
      <w:r>
        <w:rPr>
          <w:rFonts w:hint="eastAsia" w:ascii="宋体" w:hAnsi="宋体" w:eastAsia="宋体" w:cs="宋体"/>
          <w:caps/>
          <w:color w:val="auto"/>
          <w:sz w:val="22"/>
          <w:szCs w:val="22"/>
          <w:highlight w:val="none"/>
          <w:u w:val="single"/>
          <w:lang w:val="en-US" w:eastAsia="zh-CN"/>
        </w:rPr>
        <w:t>5</w:t>
      </w:r>
      <w:r>
        <w:rPr>
          <w:rFonts w:hint="eastAsia" w:ascii="宋体" w:hAnsi="宋体" w:eastAsia="宋体" w:cs="宋体"/>
          <w:caps/>
          <w:color w:val="auto"/>
          <w:sz w:val="22"/>
          <w:szCs w:val="22"/>
          <w:highlight w:val="none"/>
          <w:u w:val="single"/>
        </w:rPr>
        <w:t>000元的按</w:t>
      </w:r>
      <w:r>
        <w:rPr>
          <w:rFonts w:hint="eastAsia" w:ascii="宋体" w:hAnsi="宋体" w:eastAsia="宋体" w:cs="宋体"/>
          <w:caps/>
          <w:color w:val="auto"/>
          <w:sz w:val="22"/>
          <w:szCs w:val="22"/>
          <w:highlight w:val="none"/>
          <w:u w:val="single"/>
          <w:lang w:val="en-US" w:eastAsia="zh-CN"/>
        </w:rPr>
        <w:t>5</w:t>
      </w:r>
      <w:r>
        <w:rPr>
          <w:rFonts w:hint="eastAsia" w:ascii="宋体" w:hAnsi="宋体" w:eastAsia="宋体" w:cs="宋体"/>
          <w:caps/>
          <w:color w:val="auto"/>
          <w:sz w:val="22"/>
          <w:szCs w:val="22"/>
          <w:highlight w:val="none"/>
          <w:u w:val="single"/>
        </w:rPr>
        <w:t>000元收取。</w:t>
      </w:r>
      <w:r>
        <w:rPr>
          <w:rFonts w:hint="eastAsia" w:ascii="宋体" w:hAnsi="宋体" w:eastAsia="宋体" w:cs="宋体"/>
          <w:color w:val="auto"/>
          <w:sz w:val="22"/>
          <w:szCs w:val="22"/>
          <w:highlight w:val="none"/>
          <w:u w:val="single"/>
        </w:rPr>
        <w:t>由</w:t>
      </w:r>
      <w:r>
        <w:rPr>
          <w:rFonts w:hint="eastAsia" w:ascii="宋体" w:hAnsi="宋体" w:eastAsia="宋体" w:cs="宋体"/>
          <w:color w:val="auto"/>
          <w:sz w:val="22"/>
          <w:szCs w:val="22"/>
          <w:highlight w:val="none"/>
          <w:u w:val="single"/>
          <w:lang w:eastAsia="zh-CN"/>
        </w:rPr>
        <w:t>中标人</w:t>
      </w:r>
      <w:r>
        <w:rPr>
          <w:rFonts w:hint="eastAsia" w:ascii="宋体" w:hAnsi="宋体" w:eastAsia="宋体" w:cs="宋体"/>
          <w:color w:val="auto"/>
          <w:sz w:val="22"/>
          <w:szCs w:val="22"/>
          <w:highlight w:val="none"/>
          <w:u w:val="single"/>
        </w:rPr>
        <w:t>在领取</w:t>
      </w:r>
      <w:r>
        <w:rPr>
          <w:rFonts w:hint="eastAsia" w:ascii="宋体" w:hAnsi="宋体" w:eastAsia="宋体" w:cs="宋体"/>
          <w:color w:val="auto"/>
          <w:sz w:val="22"/>
          <w:szCs w:val="22"/>
          <w:highlight w:val="none"/>
          <w:u w:val="single"/>
          <w:lang w:eastAsia="zh-CN"/>
        </w:rPr>
        <w:t>中标</w:t>
      </w:r>
      <w:r>
        <w:rPr>
          <w:rFonts w:hint="eastAsia" w:ascii="宋体" w:hAnsi="宋体" w:eastAsia="宋体" w:cs="宋体"/>
          <w:color w:val="auto"/>
          <w:sz w:val="22"/>
          <w:szCs w:val="22"/>
          <w:highlight w:val="none"/>
          <w:u w:val="single"/>
        </w:rPr>
        <w:t>通知书时支付</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left="536" w:leftChars="208" w:hanging="99" w:hangingChars="45"/>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采购代理服务费可以是现金、支票或汇票。</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采购代理服务费汇入账户：</w:t>
      </w:r>
    </w:p>
    <w:p>
      <w:pPr>
        <w:keepNext w:val="0"/>
        <w:keepLines w:val="0"/>
        <w:pageBreakBefore w:val="0"/>
        <w:widowControl w:val="0"/>
        <w:kinsoku/>
        <w:wordWrap/>
        <w:overflowPunct/>
        <w:topLinePunct w:val="0"/>
        <w:autoSpaceDE/>
        <w:autoSpaceDN/>
        <w:bidi w:val="0"/>
        <w:adjustRightInd/>
        <w:snapToGrid/>
        <w:spacing w:line="360" w:lineRule="exact"/>
        <w:ind w:firstLine="880" w:firstLineChars="4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户  名：浙江乐诚工程咨询有限公司</w:t>
      </w:r>
    </w:p>
    <w:p>
      <w:pPr>
        <w:keepNext w:val="0"/>
        <w:keepLines w:val="0"/>
        <w:pageBreakBefore w:val="0"/>
        <w:widowControl w:val="0"/>
        <w:kinsoku/>
        <w:wordWrap/>
        <w:overflowPunct/>
        <w:topLinePunct w:val="0"/>
        <w:autoSpaceDE/>
        <w:autoSpaceDN/>
        <w:bidi w:val="0"/>
        <w:adjustRightInd/>
        <w:snapToGrid/>
        <w:spacing w:line="360" w:lineRule="exact"/>
        <w:ind w:firstLine="880" w:firstLineChars="4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账  号：33050161982700000693</w:t>
      </w:r>
    </w:p>
    <w:p>
      <w:pPr>
        <w:keepNext w:val="0"/>
        <w:keepLines w:val="0"/>
        <w:pageBreakBefore w:val="0"/>
        <w:widowControl w:val="0"/>
        <w:kinsoku/>
        <w:wordWrap/>
        <w:overflowPunct/>
        <w:topLinePunct w:val="0"/>
        <w:autoSpaceDE/>
        <w:autoSpaceDN/>
        <w:bidi w:val="0"/>
        <w:adjustRightInd/>
        <w:snapToGrid/>
        <w:spacing w:line="360" w:lineRule="exact"/>
        <w:ind w:firstLine="880" w:firstLineChars="4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开户行：建设银行杭州之江支行</w:t>
      </w:r>
    </w:p>
    <w:p>
      <w:pPr>
        <w:keepNext w:val="0"/>
        <w:keepLines w:val="0"/>
        <w:pageBreakBefore w:val="0"/>
        <w:widowControl w:val="0"/>
        <w:kinsoku/>
        <w:wordWrap/>
        <w:overflowPunct/>
        <w:topLinePunct w:val="0"/>
        <w:autoSpaceDE/>
        <w:autoSpaceDN/>
        <w:bidi w:val="0"/>
        <w:adjustRightInd/>
        <w:snapToGrid/>
        <w:spacing w:line="360" w:lineRule="exact"/>
        <w:ind w:left="536" w:leftChars="208" w:hanging="99" w:hangingChars="45"/>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关于采购代理服务费的详细事宜请咨询采购代理机构</w:t>
      </w:r>
      <w:r>
        <w:rPr>
          <w:rFonts w:hint="eastAsia" w:ascii="宋体" w:hAnsi="宋体" w:eastAsia="宋体" w:cs="宋体"/>
          <w:color w:val="auto"/>
          <w:sz w:val="22"/>
          <w:highlight w:val="none"/>
          <w:lang w:val="en-US" w:eastAsia="zh-CN"/>
        </w:rPr>
        <w:t>王</w:t>
      </w:r>
      <w:r>
        <w:rPr>
          <w:rFonts w:hint="eastAsia" w:ascii="宋体" w:hAnsi="宋体" w:eastAsia="宋体" w:cs="宋体"/>
          <w:color w:val="auto"/>
          <w:sz w:val="22"/>
          <w:highlight w:val="none"/>
          <w:lang w:eastAsia="zh-CN"/>
        </w:rPr>
        <w:t>女士</w:t>
      </w:r>
      <w:r>
        <w:rPr>
          <w:rFonts w:hint="eastAsia" w:ascii="宋体" w:hAnsi="宋体" w:eastAsia="宋体" w:cs="宋体"/>
          <w:color w:val="auto"/>
          <w:sz w:val="22"/>
          <w:highlight w:val="none"/>
        </w:rPr>
        <w:t>（0577-</w:t>
      </w:r>
      <w:r>
        <w:rPr>
          <w:rFonts w:hint="eastAsia" w:ascii="宋体" w:hAnsi="宋体" w:eastAsia="宋体" w:cs="宋体"/>
          <w:color w:val="auto"/>
          <w:sz w:val="22"/>
          <w:highlight w:val="none"/>
          <w:lang w:val="en-US" w:eastAsia="zh-CN"/>
        </w:rPr>
        <w:t>86077700</w:t>
      </w:r>
      <w:r>
        <w:rPr>
          <w:rFonts w:hint="eastAsia" w:ascii="宋体" w:hAnsi="宋体" w:eastAsia="宋体" w:cs="宋体"/>
          <w:color w:val="auto"/>
          <w:sz w:val="22"/>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left="536" w:leftChars="208" w:hanging="99" w:hangingChars="45"/>
        <w:textAlignment w:val="auto"/>
        <w:rPr>
          <w:rFonts w:hint="eastAsia" w:ascii="宋体" w:hAnsi="宋体" w:eastAsia="宋体" w:cs="宋体"/>
          <w:caps/>
          <w:color w:val="auto"/>
          <w:sz w:val="22"/>
          <w:highlight w:val="none"/>
        </w:rPr>
      </w:pPr>
      <w:bookmarkStart w:id="6" w:name="_Toc403719949"/>
      <w:r>
        <w:rPr>
          <w:rFonts w:hint="eastAsia" w:ascii="宋体" w:hAnsi="宋体" w:eastAsia="宋体" w:cs="宋体"/>
          <w:caps/>
          <w:color w:val="auto"/>
          <w:sz w:val="22"/>
          <w:highlight w:val="none"/>
        </w:rPr>
        <w:t>招标代理服务收费标准</w:t>
      </w:r>
      <w:bookmarkEnd w:id="6"/>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caps/>
          <w:color w:val="auto"/>
          <w:sz w:val="22"/>
          <w:szCs w:val="22"/>
          <w:highlight w:val="none"/>
        </w:rPr>
      </w:pPr>
      <w:bookmarkStart w:id="7" w:name="_Hlk6312070"/>
      <w:r>
        <w:rPr>
          <w:rFonts w:hint="eastAsia" w:ascii="宋体" w:hAnsi="宋体" w:eastAsia="宋体" w:cs="宋体"/>
          <w:b/>
          <w:bCs/>
          <w:caps/>
          <w:color w:val="auto"/>
          <w:sz w:val="22"/>
          <w:szCs w:val="22"/>
          <w:highlight w:val="none"/>
        </w:rPr>
        <w:t>招标代理服务收费标准</w:t>
      </w:r>
    </w:p>
    <w:tbl>
      <w:tblPr>
        <w:tblStyle w:val="32"/>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45"/>
        <w:gridCol w:w="2025"/>
        <w:gridCol w:w="202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highlight w:val="none"/>
              </w:rPr>
              <mc:AlternateContent>
                <mc:Choice Requires="wpg">
                  <w:drawing>
                    <wp:anchor distT="0" distB="0" distL="114300" distR="114300" simplePos="0" relativeHeight="251665408" behindDoc="0" locked="0" layoutInCell="1" allowOverlap="1">
                      <wp:simplePos x="0" y="0"/>
                      <wp:positionH relativeFrom="column">
                        <wp:posOffset>0</wp:posOffset>
                      </wp:positionH>
                      <wp:positionV relativeFrom="paragraph">
                        <wp:posOffset>29210</wp:posOffset>
                      </wp:positionV>
                      <wp:extent cx="1511300" cy="1073150"/>
                      <wp:effectExtent l="1905" t="3175" r="10795" b="9525"/>
                      <wp:wrapNone/>
                      <wp:docPr id="2" name="组合 2"/>
                      <wp:cNvGraphicFramePr/>
                      <a:graphic xmlns:a="http://schemas.openxmlformats.org/drawingml/2006/main">
                        <a:graphicData uri="http://schemas.microsoft.com/office/word/2010/wordprocessingGroup">
                          <wpg:wgp>
                            <wpg:cNvGrpSpPr/>
                            <wpg:grpSpPr>
                              <a:xfrm>
                                <a:off x="0" y="0"/>
                                <a:ext cx="1511300" cy="1073150"/>
                                <a:chOff x="0" y="0"/>
                                <a:chExt cx="2415" cy="1299"/>
                              </a:xfrm>
                              <a:effectLst/>
                            </wpg:grpSpPr>
                            <wps:wsp>
                              <wps:cNvPr id="3" name="Line 3"/>
                              <wps:cNvCnPr>
                                <a:cxnSpLocks noChangeShapeType="1"/>
                              </wps:cNvCnPr>
                              <wps:spPr bwMode="auto">
                                <a:xfrm>
                                  <a:off x="0" y="363"/>
                                  <a:ext cx="2415" cy="936"/>
                                </a:xfrm>
                                <a:prstGeom prst="line">
                                  <a:avLst/>
                                </a:prstGeom>
                                <a:noFill/>
                                <a:ln w="9525">
                                  <a:solidFill>
                                    <a:srgbClr val="000000"/>
                                  </a:solidFill>
                                  <a:round/>
                                </a:ln>
                                <a:effectLst/>
                              </wps:spPr>
                              <wps:bodyPr/>
                            </wps:wsp>
                            <wps:wsp>
                              <wps:cNvPr id="4" name="Line 4"/>
                              <wps:cNvCnPr>
                                <a:cxnSpLocks noChangeShapeType="1"/>
                              </wps:cNvCnPr>
                              <wps:spPr bwMode="auto">
                                <a:xfrm>
                                  <a:off x="945" y="0"/>
                                  <a:ext cx="1470" cy="1299"/>
                                </a:xfrm>
                                <a:prstGeom prst="line">
                                  <a:avLst/>
                                </a:prstGeom>
                                <a:noFill/>
                                <a:ln w="9525">
                                  <a:solidFill>
                                    <a:srgbClr val="000000"/>
                                  </a:solidFill>
                                  <a:round/>
                                </a:ln>
                                <a:effectLst/>
                              </wps:spPr>
                              <wps:bodyPr/>
                            </wps:wsp>
                          </wpg:wgp>
                        </a:graphicData>
                      </a:graphic>
                    </wp:anchor>
                  </w:drawing>
                </mc:Choice>
                <mc:Fallback>
                  <w:pict>
                    <v:group id="_x0000_s1026" o:spid="_x0000_s1026" o:spt="203" style="position:absolute;left:0pt;margin-left:0pt;margin-top:2.3pt;height:84.5pt;width:119pt;z-index:251665408;mso-width-relative:page;mso-height-relative:page;" coordsize="2415,1299" o:gfxdata="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2wnOnWAAAABgEAAA8AAAAAAAAAAQAgAAAAIgAAAGRycy9kb3ducmV2LnhtbFBLAQIU&#10;ABQAAAAIAIdO4kBBYE3SZwIAALgGAAAOAAAAAAAAAAEAIAAAACUBAABkcnMvZTJvRG9jLnhtbFBL&#10;BQYAAAAABgAGAFkBAAD+BQAAAAA=&#10;">
                      <o:lock v:ext="edit" aspectratio="f"/>
                      <v:line id="Line 3" o:spid="_x0000_s1026" o:spt="20" style="position:absolute;left:0;top:363;height:936;width:2415;"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4" o:spid="_x0000_s1026" o:spt="20" style="position:absolute;left:945;top:0;height:1299;width:1470;"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hint="eastAsia" w:ascii="宋体" w:hAnsi="宋体" w:eastAsia="宋体" w:cs="宋体"/>
                <w:caps/>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29210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2.3pt;height:0pt;width:0.05pt;z-index:251664384;mso-width-relative:page;mso-height-relative:page;" filled="f" stroked="t" coordsize="21600,21600" o:gfxdata="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0Aw411QAAAAcB&#10;AAAPAAAAAAAAAAEAIAAAACIAAABkcnMvZG93bnJldi54bWxQSwECFAAUAAAACACHTuJAoXJBN+UB&#10;AAC0AwAADgAAAAAAAAABACAAAAAkAQAAZHJzL2Uyb0RvYy54bWxQSwUGAAAAAAYABgBZAQAAewUA&#10;AAAA&#10;">
                      <v:fill on="f" focussize="0,0"/>
                      <v:stroke color="#000000" joinstyle="round"/>
                      <v:imagedata o:title=""/>
                      <o:lock v:ext="edit" aspectratio="f"/>
                    </v:line>
                  </w:pict>
                </mc:Fallback>
              </mc:AlternateContent>
            </w:r>
            <w:r>
              <w:rPr>
                <w:rFonts w:hint="eastAsia" w:ascii="宋体" w:hAnsi="宋体" w:eastAsia="宋体" w:cs="宋体"/>
                <w:caps/>
                <w:color w:val="auto"/>
                <w:sz w:val="22"/>
                <w:szCs w:val="22"/>
                <w:highlight w:val="none"/>
              </w:rPr>
              <w:t xml:space="preserve">         服务类型</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ind w:firstLine="1011" w:firstLineChars="460"/>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费率</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中标金额（万元）</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货物招标</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服务招标</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100以下</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1.5%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1.5%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100-500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1.1%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500-1000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0.45%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1000-5000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0.25%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5000-10000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0.25%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10000-100000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0.05%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0.05%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1000000以上</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0.01%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0.01%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0.01%</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caps/>
          <w:color w:val="auto"/>
          <w:sz w:val="22"/>
          <w:szCs w:val="22"/>
          <w:highlight w:val="none"/>
        </w:rPr>
      </w:pPr>
      <w:r>
        <w:rPr>
          <w:rFonts w:hint="eastAsia" w:ascii="宋体" w:hAnsi="宋体" w:eastAsia="宋体" w:cs="宋体"/>
          <w:b/>
          <w:caps/>
          <w:color w:val="auto"/>
          <w:sz w:val="22"/>
          <w:szCs w:val="22"/>
          <w:highlight w:val="none"/>
        </w:rPr>
        <w:t>注：本次招标为货物招标，招标代理服务收费按货物类的差额定率累进法计算。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例：某货物招标代理业务中标金额为300万元，计算招标代理服务收费额如下：</w:t>
      </w:r>
    </w:p>
    <w:p>
      <w:pPr>
        <w:keepNext w:val="0"/>
        <w:keepLines w:val="0"/>
        <w:pageBreakBefore w:val="0"/>
        <w:widowControl w:val="0"/>
        <w:kinsoku/>
        <w:wordWrap/>
        <w:overflowPunct/>
        <w:topLinePunct w:val="0"/>
        <w:autoSpaceDE/>
        <w:autoSpaceDN/>
        <w:bidi w:val="0"/>
        <w:adjustRightInd/>
        <w:snapToGrid/>
        <w:spacing w:line="360" w:lineRule="exact"/>
        <w:ind w:firstLine="110" w:firstLineChars="50"/>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100万元×1.5%＝1.5万元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（300－100）万元×1.1%＝2.2万元</w:t>
      </w:r>
    </w:p>
    <w:p>
      <w:pPr>
        <w:keepNext w:val="0"/>
        <w:keepLines w:val="0"/>
        <w:pageBreakBefore w:val="0"/>
        <w:widowControl w:val="0"/>
        <w:tabs>
          <w:tab w:val="left" w:pos="-180"/>
          <w:tab w:val="left" w:pos="180"/>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b/>
          <w:bCs/>
          <w:color w:val="auto"/>
          <w:sz w:val="22"/>
          <w:highlight w:val="none"/>
        </w:rPr>
      </w:pPr>
      <w:r>
        <w:rPr>
          <w:rFonts w:hint="eastAsia" w:ascii="宋体" w:hAnsi="宋体" w:eastAsia="宋体" w:cs="宋体"/>
          <w:caps/>
          <w:color w:val="auto"/>
          <w:sz w:val="22"/>
          <w:szCs w:val="22"/>
          <w:highlight w:val="none"/>
        </w:rPr>
        <w:t>合计收费=1.5+2.2＝</w:t>
      </w:r>
      <w:r>
        <w:rPr>
          <w:rFonts w:hint="eastAsia" w:ascii="宋体" w:hAnsi="宋体" w:eastAsia="宋体" w:cs="宋体"/>
          <w:caps/>
          <w:color w:val="auto"/>
          <w:sz w:val="22"/>
          <w:szCs w:val="22"/>
          <w:highlight w:val="none"/>
          <w:lang w:val="en-US" w:eastAsia="zh-CN"/>
        </w:rPr>
        <w:t>3.7</w:t>
      </w:r>
      <w:r>
        <w:rPr>
          <w:rFonts w:hint="eastAsia" w:ascii="宋体" w:hAnsi="宋体" w:eastAsia="宋体" w:cs="宋体"/>
          <w:caps/>
          <w:color w:val="auto"/>
          <w:sz w:val="22"/>
          <w:szCs w:val="22"/>
          <w:highlight w:val="none"/>
        </w:rPr>
        <w:t>（万元）</w:t>
      </w:r>
      <w:bookmarkEnd w:id="7"/>
    </w:p>
    <w:p>
      <w:pPr>
        <w:tabs>
          <w:tab w:val="left" w:pos="360"/>
        </w:tabs>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5.信用记录：</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根据财库[2016]125号《关于在政府采购活动中查询及使用信用记录有关问题的通知》要求，采购代理机构会对投标人信用记录进行查询并甄别。</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5.1.</w:t>
      </w:r>
      <w:r>
        <w:rPr>
          <w:rFonts w:hint="eastAsia" w:ascii="宋体" w:hAnsi="宋体" w:eastAsia="宋体" w:cs="宋体"/>
          <w:b/>
          <w:bCs/>
          <w:snapToGrid w:val="0"/>
          <w:color w:val="auto"/>
          <w:sz w:val="22"/>
          <w:highlight w:val="none"/>
        </w:rPr>
        <w:t>信用信息查询的截止时点为从本项目投标截止日往前追溯三年。</w:t>
      </w:r>
    </w:p>
    <w:p>
      <w:pPr>
        <w:tabs>
          <w:tab w:val="left" w:pos="360"/>
        </w:tabs>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5.2.查询渠道：“信用中国（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"https://www.creditchina.gov.cn/"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6"/>
          <w:sz w:val="22"/>
          <w:highlight w:val="none"/>
        </w:rPr>
        <w:t>https://www.creditchina.gov.cn</w:t>
      </w:r>
      <w:r>
        <w:rPr>
          <w:rFonts w:hint="eastAsia" w:ascii="宋体" w:hAnsi="宋体" w:eastAsia="宋体" w:cs="宋体"/>
          <w:b/>
          <w:bCs/>
          <w:color w:val="auto"/>
          <w:spacing w:val="6"/>
          <w:sz w:val="22"/>
          <w:highlight w:val="none"/>
        </w:rPr>
        <w:fldChar w:fldCharType="end"/>
      </w:r>
      <w:r>
        <w:rPr>
          <w:rFonts w:hint="eastAsia" w:ascii="宋体" w:hAnsi="宋体" w:eastAsia="宋体" w:cs="宋体"/>
          <w:b/>
          <w:bCs/>
          <w:color w:val="auto"/>
          <w:spacing w:val="6"/>
          <w:sz w:val="22"/>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6"/>
          <w:sz w:val="22"/>
          <w:highlight w:val="none"/>
        </w:rPr>
        <w:t>http://www.ccgp.gov.cn</w:t>
      </w:r>
      <w:r>
        <w:rPr>
          <w:rFonts w:hint="eastAsia" w:ascii="宋体" w:hAnsi="宋体" w:eastAsia="宋体" w:cs="宋体"/>
          <w:b/>
          <w:bCs/>
          <w:color w:val="auto"/>
          <w:spacing w:val="6"/>
          <w:sz w:val="22"/>
          <w:highlight w:val="none"/>
        </w:rPr>
        <w:fldChar w:fldCharType="end"/>
      </w:r>
      <w:r>
        <w:rPr>
          <w:rFonts w:hint="eastAsia" w:ascii="宋体" w:hAnsi="宋体" w:eastAsia="宋体" w:cs="宋体"/>
          <w:b/>
          <w:bCs/>
          <w:color w:val="auto"/>
          <w:spacing w:val="6"/>
          <w:sz w:val="22"/>
          <w:highlight w:val="none"/>
        </w:rPr>
        <w:t>）”</w:t>
      </w:r>
      <w:r>
        <w:rPr>
          <w:rFonts w:hint="eastAsia" w:ascii="宋体" w:hAnsi="宋体" w:eastAsia="宋体" w:cs="宋体"/>
          <w:color w:val="auto"/>
          <w:sz w:val="22"/>
          <w:highlight w:val="none"/>
        </w:rPr>
        <w:t>。</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5.3.信用信息查询记录和证据留存具体方式：采购代理机构经办人或监督人员将查询网页打印与其他招标文件一并保存。</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5.4.信用信息的使用规则：投标人存在不良信用记录的，其投标将被作为投标无效被拒绝。</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不良信用记录指：被列入失信被执行人、重大税收违法案件当事人名单、政府采购严重违法失信行为记录名单。</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联合体信用信息查询：联合体以一个投标人的身份共同参加政府采购活动的，应当对所有联合体成员进行信用记录查询，联合体成员存在不良信用记录的，视同联合体存在不良信用记录。</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6.特别说明：</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6.1投标人应仔细阅读招标文件的所有内容，按照招标文件的要求提交投标文件，并对所提供的全部资料的真实性承担法律责任。</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招标文件规定的方式确定一个投标人获得中标人推荐资格，招标文件未规定的采取随机抽取方式确定，其他同品牌投标人不作为中标候选人。</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非单一产品采购项目，采购人应当根据采购项目技术构成、产品价格比重等合理确定核心产品，并在招标文件中载明。多家投标人提供的核心产品品牌相同的，按前两款规定处理。</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6.3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6.4投标人在投标活动中提供任何虚假材料，其投标无效，并报监管部门查处；中标后发现的，中标人须依照《中华人民共和国消费者权益保护法》第55条之规定三倍赔偿采购人，且民事赔偿并不免除违法投标人的行政与刑事责任。</w:t>
      </w:r>
    </w:p>
    <w:p>
      <w:pPr>
        <w:spacing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7.采购项目需要落实的政府采购政策</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7.2 支持绿色发展</w:t>
      </w:r>
    </w:p>
    <w:p>
      <w:pPr>
        <w:snapToGrid w:val="0"/>
        <w:spacing w:line="360" w:lineRule="exact"/>
        <w:ind w:firstLine="442" w:firstLineChars="201"/>
        <w:rPr>
          <w:rFonts w:hint="eastAsia" w:ascii="宋体" w:hAnsi="宋体" w:eastAsia="宋体" w:cs="宋体"/>
          <w:b/>
          <w:color w:val="auto"/>
          <w:sz w:val="22"/>
          <w:highlight w:val="none"/>
        </w:rPr>
      </w:pPr>
      <w:r>
        <w:rPr>
          <w:rFonts w:hint="eastAsia" w:ascii="宋体" w:hAnsi="宋体" w:eastAsia="宋体" w:cs="宋体"/>
          <w:color w:val="auto"/>
          <w:sz w:val="22"/>
          <w:highlight w:val="none"/>
        </w:rPr>
        <w:t>7.2.1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eastAsia="宋体" w:cs="宋体"/>
          <w:b/>
          <w:bCs/>
          <w:color w:val="auto"/>
          <w:sz w:val="22"/>
          <w:highlight w:val="none"/>
          <w:u w:val="single"/>
        </w:rPr>
        <w:t>▲采购人拟采购的产品属于政府强制采购的节能产品品目清单范围的，投标人相应的投标产品未获得国家确定的认证机构出具的、处于有效期之内的节能产品认证证书的，投标无效。</w:t>
      </w:r>
    </w:p>
    <w:p>
      <w:pPr>
        <w:spacing w:line="360" w:lineRule="exact"/>
        <w:ind w:firstLine="3"/>
        <w:rPr>
          <w:rFonts w:hint="eastAsia" w:ascii="宋体" w:hAnsi="宋体" w:eastAsia="宋体" w:cs="宋体"/>
          <w:color w:val="auto"/>
          <w:spacing w:val="15"/>
          <w:sz w:val="22"/>
          <w:highlight w:val="none"/>
        </w:rPr>
      </w:pPr>
      <w:r>
        <w:rPr>
          <w:rFonts w:hint="eastAsia" w:ascii="宋体" w:hAnsi="宋体" w:eastAsia="宋体" w:cs="宋体"/>
          <w:b/>
          <w:bCs/>
          <w:color w:val="auto"/>
          <w:sz w:val="22"/>
          <w:highlight w:val="none"/>
        </w:rPr>
        <w:t>政府强制采购的节能产品清单如下：</w:t>
      </w:r>
    </w:p>
    <w:tbl>
      <w:tblPr>
        <w:tblStyle w:val="92"/>
        <w:tblW w:w="93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2149"/>
        <w:gridCol w:w="1602"/>
        <w:gridCol w:w="38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ind w:firstLine="3"/>
              <w:jc w:val="center"/>
              <w:rPr>
                <w:rFonts w:hint="eastAsia" w:ascii="宋体" w:hAnsi="宋体" w:eastAsia="宋体" w:cs="宋体"/>
                <w:b/>
                <w:bCs/>
                <w:color w:val="auto"/>
                <w:spacing w:val="15"/>
                <w:sz w:val="22"/>
                <w:highlight w:val="none"/>
              </w:rPr>
            </w:pPr>
            <w:r>
              <w:rPr>
                <w:rFonts w:hint="eastAsia" w:ascii="宋体" w:hAnsi="宋体" w:eastAsia="宋体" w:cs="宋体"/>
                <w:b/>
                <w:bCs/>
                <w:color w:val="auto"/>
                <w:spacing w:val="15"/>
                <w:sz w:val="22"/>
                <w:highlight w:val="none"/>
              </w:rPr>
              <w:t>品目 序号</w:t>
            </w:r>
          </w:p>
        </w:tc>
        <w:tc>
          <w:tcPr>
            <w:tcW w:w="4917" w:type="dxa"/>
            <w:gridSpan w:val="3"/>
            <w:tcBorders>
              <w:tl2br w:val="nil"/>
              <w:tr2bl w:val="nil"/>
            </w:tcBorders>
            <w:vAlign w:val="center"/>
          </w:tcPr>
          <w:p>
            <w:pPr>
              <w:spacing w:line="360" w:lineRule="exact"/>
              <w:ind w:firstLine="3"/>
              <w:jc w:val="center"/>
              <w:rPr>
                <w:rFonts w:hint="eastAsia" w:ascii="宋体" w:hAnsi="宋体" w:eastAsia="宋体" w:cs="宋体"/>
                <w:b/>
                <w:bCs/>
                <w:color w:val="auto"/>
                <w:spacing w:val="15"/>
                <w:sz w:val="22"/>
                <w:highlight w:val="none"/>
              </w:rPr>
            </w:pPr>
            <w:r>
              <w:rPr>
                <w:rFonts w:hint="eastAsia" w:ascii="宋体" w:hAnsi="宋体" w:eastAsia="宋体" w:cs="宋体"/>
                <w:b/>
                <w:bCs/>
                <w:color w:val="auto"/>
                <w:spacing w:val="15"/>
                <w:sz w:val="22"/>
                <w:highlight w:val="none"/>
              </w:rPr>
              <w:t>名称</w:t>
            </w:r>
          </w:p>
        </w:tc>
        <w:tc>
          <w:tcPr>
            <w:tcW w:w="3814" w:type="dxa"/>
            <w:tcBorders>
              <w:tl2br w:val="nil"/>
              <w:tr2bl w:val="nil"/>
            </w:tcBorders>
            <w:vAlign w:val="center"/>
          </w:tcPr>
          <w:p>
            <w:pPr>
              <w:spacing w:line="360" w:lineRule="exact"/>
              <w:ind w:firstLine="3"/>
              <w:jc w:val="center"/>
              <w:rPr>
                <w:rFonts w:hint="eastAsia" w:ascii="宋体" w:hAnsi="宋体" w:eastAsia="宋体" w:cs="宋体"/>
                <w:b/>
                <w:bCs/>
                <w:color w:val="auto"/>
                <w:spacing w:val="15"/>
                <w:sz w:val="22"/>
                <w:highlight w:val="none"/>
              </w:rPr>
            </w:pPr>
            <w:r>
              <w:rPr>
                <w:rFonts w:hint="eastAsia" w:ascii="宋体" w:hAnsi="宋体" w:eastAsia="宋体" w:cs="宋体"/>
                <w:b/>
                <w:bCs/>
                <w:color w:val="auto"/>
                <w:spacing w:val="15"/>
                <w:sz w:val="22"/>
                <w:highlight w:val="none"/>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restart"/>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1166" w:type="dxa"/>
            <w:vMerge w:val="restart"/>
            <w:tcBorders>
              <w:tl2br w:val="nil"/>
              <w:tr2bl w:val="nil"/>
            </w:tcBorders>
            <w:vAlign w:val="center"/>
          </w:tcPr>
          <w:p>
            <w:pPr>
              <w:spacing w:line="360" w:lineRule="exact"/>
              <w:ind w:hanging="5"/>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w:t>
            </w:r>
            <w:r>
              <w:rPr>
                <w:rFonts w:hint="eastAsia" w:ascii="宋体" w:hAnsi="宋体" w:eastAsia="宋体" w:cs="宋体"/>
                <w:color w:val="auto"/>
                <w:sz w:val="22"/>
                <w:highlight w:val="none"/>
              </w:rPr>
              <w:t xml:space="preserve">101 计算 </w:t>
            </w:r>
            <w:r>
              <w:rPr>
                <w:rFonts w:hint="eastAsia" w:ascii="宋体" w:hAnsi="宋体" w:eastAsia="宋体" w:cs="宋体"/>
                <w:color w:val="auto"/>
                <w:spacing w:val="7"/>
                <w:sz w:val="22"/>
                <w:highlight w:val="none"/>
              </w:rPr>
              <w:t>机设</w:t>
            </w:r>
            <w:r>
              <w:rPr>
                <w:rFonts w:hint="eastAsia" w:ascii="宋体" w:hAnsi="宋体" w:eastAsia="宋体" w:cs="宋体"/>
                <w:color w:val="auto"/>
                <w:spacing w:val="6"/>
                <w:sz w:val="22"/>
                <w:highlight w:val="none"/>
              </w:rPr>
              <w:t>备</w:t>
            </w:r>
          </w:p>
        </w:tc>
        <w:tc>
          <w:tcPr>
            <w:tcW w:w="2149" w:type="dxa"/>
            <w:tcBorders>
              <w:tl2br w:val="nil"/>
              <w:tr2bl w:val="nil"/>
            </w:tcBorders>
            <w:vAlign w:val="center"/>
          </w:tcPr>
          <w:p>
            <w:pPr>
              <w:spacing w:line="360" w:lineRule="exact"/>
              <w:ind w:firstLine="1"/>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02010104 台式计</w:t>
            </w:r>
            <w:r>
              <w:rPr>
                <w:rFonts w:hint="eastAsia" w:ascii="宋体" w:hAnsi="宋体" w:eastAsia="宋体" w:cs="宋体"/>
                <w:color w:val="auto"/>
                <w:spacing w:val="5"/>
                <w:sz w:val="22"/>
                <w:highlight w:val="none"/>
              </w:rPr>
              <w:t>算</w:t>
            </w:r>
            <w:r>
              <w:rPr>
                <w:rFonts w:hint="eastAsia" w:ascii="宋体" w:hAnsi="宋体" w:eastAsia="宋体" w:cs="宋体"/>
                <w:color w:val="auto"/>
                <w:spacing w:val="4"/>
                <w:sz w:val="22"/>
                <w:highlight w:val="none"/>
              </w:rPr>
              <w:t>机</w:t>
            </w:r>
          </w:p>
        </w:tc>
        <w:tc>
          <w:tcPr>
            <w:tcW w:w="1602"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3814" w:type="dxa"/>
            <w:tcBorders>
              <w:tl2br w:val="nil"/>
              <w:tr2bl w:val="nil"/>
            </w:tcBorders>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微型计算机能效限定值及能效</w:t>
            </w:r>
            <w:r>
              <w:rPr>
                <w:rFonts w:hint="eastAsia" w:ascii="宋体" w:hAnsi="宋体" w:eastAsia="宋体" w:cs="宋体"/>
                <w:color w:val="auto"/>
                <w:sz w:val="22"/>
                <w:highlight w:val="none"/>
              </w:rPr>
              <w:t xml:space="preserve"> </w:t>
            </w:r>
            <w:r>
              <w:rPr>
                <w:rFonts w:hint="eastAsia" w:ascii="宋体" w:hAnsi="宋体" w:eastAsia="宋体" w:cs="宋体"/>
                <w:color w:val="auto"/>
                <w:spacing w:val="17"/>
                <w:sz w:val="22"/>
                <w:highlight w:val="none"/>
              </w:rPr>
              <w:t>等</w:t>
            </w:r>
            <w:r>
              <w:rPr>
                <w:rFonts w:hint="eastAsia" w:ascii="宋体" w:hAnsi="宋体" w:eastAsia="宋体" w:cs="宋体"/>
                <w:color w:val="auto"/>
                <w:spacing w:val="15"/>
                <w:sz w:val="22"/>
                <w:highlight w:val="none"/>
              </w:rPr>
              <w:t>级》(</w:t>
            </w:r>
            <w:r>
              <w:rPr>
                <w:rFonts w:hint="eastAsia" w:ascii="宋体" w:hAnsi="宋体" w:eastAsia="宋体" w:cs="宋体"/>
                <w:color w:val="auto"/>
                <w:sz w:val="22"/>
                <w:highlight w:val="none"/>
              </w:rPr>
              <w:t>GB</w:t>
            </w:r>
            <w:r>
              <w:rPr>
                <w:rFonts w:hint="eastAsia" w:ascii="宋体" w:hAnsi="宋体" w:eastAsia="宋体" w:cs="宋体"/>
                <w:color w:val="auto"/>
                <w:spacing w:val="15"/>
                <w:sz w:val="22"/>
                <w:highlight w:val="none"/>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2149" w:type="dxa"/>
            <w:tcBorders>
              <w:tl2br w:val="nil"/>
              <w:tr2bl w:val="nil"/>
            </w:tcBorders>
            <w:vAlign w:val="center"/>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02010105 便携式</w:t>
            </w:r>
            <w:r>
              <w:rPr>
                <w:rFonts w:hint="eastAsia" w:ascii="宋体" w:hAnsi="宋体" w:eastAsia="宋体" w:cs="宋体"/>
                <w:color w:val="auto"/>
                <w:spacing w:val="7"/>
                <w:sz w:val="22"/>
                <w:highlight w:val="none"/>
              </w:rPr>
              <w:t>计</w:t>
            </w:r>
            <w:r>
              <w:rPr>
                <w:rFonts w:hint="eastAsia" w:ascii="宋体" w:hAnsi="宋体" w:eastAsia="宋体" w:cs="宋体"/>
                <w:color w:val="auto"/>
                <w:spacing w:val="6"/>
                <w:sz w:val="22"/>
                <w:highlight w:val="none"/>
              </w:rPr>
              <w:t>算机</w:t>
            </w:r>
          </w:p>
        </w:tc>
        <w:tc>
          <w:tcPr>
            <w:tcW w:w="1602"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3814" w:type="dxa"/>
            <w:tcBorders>
              <w:tl2br w:val="nil"/>
              <w:tr2bl w:val="nil"/>
            </w:tcBorders>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微型计算机能效限定值及能效</w:t>
            </w:r>
            <w:r>
              <w:rPr>
                <w:rFonts w:hint="eastAsia" w:ascii="宋体" w:hAnsi="宋体" w:eastAsia="宋体" w:cs="宋体"/>
                <w:color w:val="auto"/>
                <w:sz w:val="22"/>
                <w:highlight w:val="none"/>
              </w:rPr>
              <w:t xml:space="preserve"> </w:t>
            </w:r>
            <w:r>
              <w:rPr>
                <w:rFonts w:hint="eastAsia" w:ascii="宋体" w:hAnsi="宋体" w:eastAsia="宋体" w:cs="宋体"/>
                <w:color w:val="auto"/>
                <w:spacing w:val="17"/>
                <w:sz w:val="22"/>
                <w:highlight w:val="none"/>
              </w:rPr>
              <w:t>等</w:t>
            </w:r>
            <w:r>
              <w:rPr>
                <w:rFonts w:hint="eastAsia" w:ascii="宋体" w:hAnsi="宋体" w:eastAsia="宋体" w:cs="宋体"/>
                <w:color w:val="auto"/>
                <w:spacing w:val="15"/>
                <w:sz w:val="22"/>
                <w:highlight w:val="none"/>
              </w:rPr>
              <w:t>级》(</w:t>
            </w:r>
            <w:r>
              <w:rPr>
                <w:rFonts w:hint="eastAsia" w:ascii="宋体" w:hAnsi="宋体" w:eastAsia="宋体" w:cs="宋体"/>
                <w:color w:val="auto"/>
                <w:sz w:val="22"/>
                <w:highlight w:val="none"/>
              </w:rPr>
              <w:t>GB</w:t>
            </w:r>
            <w:r>
              <w:rPr>
                <w:rFonts w:hint="eastAsia" w:ascii="宋体" w:hAnsi="宋体" w:eastAsia="宋体" w:cs="宋体"/>
                <w:color w:val="auto"/>
                <w:spacing w:val="15"/>
                <w:sz w:val="22"/>
                <w:highlight w:val="none"/>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2149" w:type="dxa"/>
            <w:tcBorders>
              <w:tl2br w:val="nil"/>
              <w:tr2bl w:val="nil"/>
            </w:tcBorders>
            <w:vAlign w:val="center"/>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02010107 平板式</w:t>
            </w:r>
            <w:r>
              <w:rPr>
                <w:rFonts w:hint="eastAsia" w:ascii="宋体" w:hAnsi="宋体" w:eastAsia="宋体" w:cs="宋体"/>
                <w:color w:val="auto"/>
                <w:spacing w:val="8"/>
                <w:sz w:val="22"/>
                <w:highlight w:val="none"/>
              </w:rPr>
              <w:t>微型计算机</w:t>
            </w:r>
          </w:p>
        </w:tc>
        <w:tc>
          <w:tcPr>
            <w:tcW w:w="1602"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3814" w:type="dxa"/>
            <w:tcBorders>
              <w:tl2br w:val="nil"/>
              <w:tr2bl w:val="nil"/>
            </w:tcBorders>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微型计算机能效限定值及能效</w:t>
            </w:r>
            <w:r>
              <w:rPr>
                <w:rFonts w:hint="eastAsia" w:ascii="宋体" w:hAnsi="宋体" w:eastAsia="宋体" w:cs="宋体"/>
                <w:color w:val="auto"/>
                <w:sz w:val="22"/>
                <w:highlight w:val="none"/>
              </w:rPr>
              <w:t xml:space="preserve"> </w:t>
            </w:r>
            <w:r>
              <w:rPr>
                <w:rFonts w:hint="eastAsia" w:ascii="宋体" w:hAnsi="宋体" w:eastAsia="宋体" w:cs="宋体"/>
                <w:color w:val="auto"/>
                <w:spacing w:val="17"/>
                <w:sz w:val="22"/>
                <w:highlight w:val="none"/>
              </w:rPr>
              <w:t>等</w:t>
            </w:r>
            <w:r>
              <w:rPr>
                <w:rFonts w:hint="eastAsia" w:ascii="宋体" w:hAnsi="宋体" w:eastAsia="宋体" w:cs="宋体"/>
                <w:color w:val="auto"/>
                <w:spacing w:val="15"/>
                <w:sz w:val="22"/>
                <w:highlight w:val="none"/>
              </w:rPr>
              <w:t>级》(</w:t>
            </w:r>
            <w:r>
              <w:rPr>
                <w:rFonts w:hint="eastAsia" w:ascii="宋体" w:hAnsi="宋体" w:eastAsia="宋体" w:cs="宋体"/>
                <w:color w:val="auto"/>
                <w:sz w:val="22"/>
                <w:highlight w:val="none"/>
              </w:rPr>
              <w:t>GB</w:t>
            </w:r>
            <w:r>
              <w:rPr>
                <w:rFonts w:hint="eastAsia" w:ascii="宋体" w:hAnsi="宋体" w:eastAsia="宋体" w:cs="宋体"/>
                <w:color w:val="auto"/>
                <w:spacing w:val="15"/>
                <w:sz w:val="22"/>
                <w:highlight w:val="none"/>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restart"/>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1166" w:type="dxa"/>
            <w:vMerge w:val="restart"/>
            <w:tcBorders>
              <w:tl2br w:val="nil"/>
              <w:tr2bl w:val="nil"/>
            </w:tcBorders>
            <w:vAlign w:val="center"/>
          </w:tcPr>
          <w:p>
            <w:pPr>
              <w:spacing w:line="360" w:lineRule="exact"/>
              <w:ind w:hanging="5"/>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w:t>
            </w:r>
            <w:r>
              <w:rPr>
                <w:rFonts w:hint="eastAsia" w:ascii="宋体" w:hAnsi="宋体" w:eastAsia="宋体" w:cs="宋体"/>
                <w:color w:val="auto"/>
                <w:sz w:val="22"/>
                <w:highlight w:val="none"/>
              </w:rPr>
              <w:t xml:space="preserve">106 输入 </w:t>
            </w:r>
            <w:r>
              <w:rPr>
                <w:rFonts w:hint="eastAsia" w:ascii="宋体" w:hAnsi="宋体" w:eastAsia="宋体" w:cs="宋体"/>
                <w:color w:val="auto"/>
                <w:spacing w:val="8"/>
                <w:sz w:val="22"/>
                <w:highlight w:val="none"/>
              </w:rPr>
              <w:t>输</w:t>
            </w:r>
            <w:r>
              <w:rPr>
                <w:rFonts w:hint="eastAsia" w:ascii="宋体" w:hAnsi="宋体" w:eastAsia="宋体" w:cs="宋体"/>
                <w:color w:val="auto"/>
                <w:spacing w:val="7"/>
                <w:sz w:val="22"/>
                <w:highlight w:val="none"/>
              </w:rPr>
              <w:t>出设备</w:t>
            </w:r>
          </w:p>
        </w:tc>
        <w:tc>
          <w:tcPr>
            <w:tcW w:w="2149" w:type="dxa"/>
            <w:vMerge w:val="restart"/>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3"/>
                <w:sz w:val="22"/>
                <w:highlight w:val="none"/>
              </w:rPr>
              <w:t>02010601 打印设</w:t>
            </w:r>
            <w:r>
              <w:rPr>
                <w:rFonts w:hint="eastAsia" w:ascii="宋体" w:hAnsi="宋体" w:eastAsia="宋体" w:cs="宋体"/>
                <w:color w:val="auto"/>
                <w:spacing w:val="2"/>
                <w:sz w:val="22"/>
                <w:highlight w:val="none"/>
              </w:rPr>
              <w:t>备</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2"/>
                <w:sz w:val="22"/>
                <w:highlight w:val="none"/>
              </w:rPr>
              <w:t xml:space="preserve">★ </w:t>
            </w:r>
            <w:r>
              <w:rPr>
                <w:rFonts w:hint="eastAsia" w:ascii="宋体" w:hAnsi="宋体" w:eastAsia="宋体" w:cs="宋体"/>
                <w:color w:val="auto"/>
                <w:spacing w:val="-1"/>
                <w:sz w:val="22"/>
                <w:highlight w:val="none"/>
              </w:rPr>
              <w:t>A</w:t>
            </w:r>
            <w:r>
              <w:rPr>
                <w:rFonts w:hint="eastAsia" w:ascii="宋体" w:hAnsi="宋体" w:eastAsia="宋体" w:cs="宋体"/>
                <w:color w:val="auto"/>
                <w:spacing w:val="-2"/>
                <w:sz w:val="22"/>
                <w:highlight w:val="none"/>
              </w:rPr>
              <w:t>0</w:t>
            </w:r>
            <w:r>
              <w:rPr>
                <w:rFonts w:hint="eastAsia" w:ascii="宋体" w:hAnsi="宋体" w:eastAsia="宋体" w:cs="宋体"/>
                <w:color w:val="auto"/>
                <w:spacing w:val="-1"/>
                <w:sz w:val="22"/>
                <w:highlight w:val="none"/>
              </w:rPr>
              <w:t>201060102 激 光</w:t>
            </w:r>
            <w:r>
              <w:rPr>
                <w:rFonts w:hint="eastAsia" w:ascii="宋体" w:hAnsi="宋体" w:eastAsia="宋体" w:cs="宋体"/>
                <w:color w:val="auto"/>
                <w:sz w:val="22"/>
                <w:highlight w:val="none"/>
              </w:rPr>
              <w:t xml:space="preserve"> </w:t>
            </w:r>
            <w:r>
              <w:rPr>
                <w:rFonts w:hint="eastAsia" w:ascii="宋体" w:hAnsi="宋体" w:eastAsia="宋体" w:cs="宋体"/>
                <w:color w:val="auto"/>
                <w:spacing w:val="6"/>
                <w:sz w:val="22"/>
                <w:highlight w:val="none"/>
              </w:rPr>
              <w:t>打</w:t>
            </w:r>
            <w:r>
              <w:rPr>
                <w:rFonts w:hint="eastAsia" w:ascii="宋体" w:hAnsi="宋体" w:eastAsia="宋体" w:cs="宋体"/>
                <w:color w:val="auto"/>
                <w:spacing w:val="5"/>
                <w:sz w:val="22"/>
                <w:highlight w:val="none"/>
              </w:rPr>
              <w:t>印机</w:t>
            </w:r>
          </w:p>
        </w:tc>
        <w:tc>
          <w:tcPr>
            <w:tcW w:w="3814"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w:t>
            </w:r>
            <w:r>
              <w:rPr>
                <w:rFonts w:hint="eastAsia" w:ascii="宋体" w:hAnsi="宋体" w:eastAsia="宋体" w:cs="宋体"/>
                <w:color w:val="auto"/>
                <w:spacing w:val="5"/>
                <w:sz w:val="22"/>
                <w:highlight w:val="none"/>
              </w:rPr>
              <w:t>复印机、打印机和传真机能效限</w:t>
            </w:r>
            <w:r>
              <w:rPr>
                <w:rFonts w:hint="eastAsia" w:ascii="宋体" w:hAnsi="宋体" w:eastAsia="宋体" w:cs="宋体"/>
                <w:color w:val="auto"/>
                <w:sz w:val="22"/>
                <w:highlight w:val="none"/>
              </w:rPr>
              <w:t xml:space="preserve"> </w:t>
            </w:r>
            <w:r>
              <w:rPr>
                <w:rFonts w:hint="eastAsia" w:ascii="宋体" w:hAnsi="宋体" w:eastAsia="宋体" w:cs="宋体"/>
                <w:color w:val="auto"/>
                <w:spacing w:val="18"/>
                <w:sz w:val="22"/>
                <w:highlight w:val="none"/>
              </w:rPr>
              <w:t>定</w:t>
            </w:r>
            <w:r>
              <w:rPr>
                <w:rFonts w:hint="eastAsia" w:ascii="宋体" w:hAnsi="宋体" w:eastAsia="宋体" w:cs="宋体"/>
                <w:color w:val="auto"/>
                <w:spacing w:val="13"/>
                <w:sz w:val="22"/>
                <w:highlight w:val="none"/>
              </w:rPr>
              <w:t>值及能效等级》(</w:t>
            </w:r>
            <w:r>
              <w:rPr>
                <w:rFonts w:hint="eastAsia" w:ascii="宋体" w:hAnsi="宋体" w:eastAsia="宋体" w:cs="宋体"/>
                <w:color w:val="auto"/>
                <w:sz w:val="22"/>
                <w:highlight w:val="none"/>
              </w:rPr>
              <w:t>GB</w:t>
            </w:r>
            <w:r>
              <w:rPr>
                <w:rFonts w:hint="eastAsia" w:ascii="宋体" w:hAnsi="宋体" w:eastAsia="宋体" w:cs="宋体"/>
                <w:color w:val="auto"/>
                <w:spacing w:val="13"/>
                <w:sz w:val="22"/>
                <w:highlight w:val="none"/>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2149"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1602"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2"/>
                <w:sz w:val="22"/>
                <w:highlight w:val="none"/>
              </w:rPr>
              <w:t xml:space="preserve">★ </w:t>
            </w:r>
            <w:r>
              <w:rPr>
                <w:rFonts w:hint="eastAsia" w:ascii="宋体" w:hAnsi="宋体" w:eastAsia="宋体" w:cs="宋体"/>
                <w:color w:val="auto"/>
                <w:spacing w:val="-1"/>
                <w:sz w:val="22"/>
                <w:highlight w:val="none"/>
              </w:rPr>
              <w:t>A</w:t>
            </w:r>
            <w:r>
              <w:rPr>
                <w:rFonts w:hint="eastAsia" w:ascii="宋体" w:hAnsi="宋体" w:eastAsia="宋体" w:cs="宋体"/>
                <w:color w:val="auto"/>
                <w:spacing w:val="-2"/>
                <w:sz w:val="22"/>
                <w:highlight w:val="none"/>
              </w:rPr>
              <w:t>0</w:t>
            </w:r>
            <w:r>
              <w:rPr>
                <w:rFonts w:hint="eastAsia" w:ascii="宋体" w:hAnsi="宋体" w:eastAsia="宋体" w:cs="宋体"/>
                <w:color w:val="auto"/>
                <w:spacing w:val="-1"/>
                <w:sz w:val="22"/>
                <w:highlight w:val="none"/>
              </w:rPr>
              <w:t>201060104 针 式</w:t>
            </w:r>
            <w:r>
              <w:rPr>
                <w:rFonts w:hint="eastAsia" w:ascii="宋体" w:hAnsi="宋体" w:eastAsia="宋体" w:cs="宋体"/>
                <w:color w:val="auto"/>
                <w:sz w:val="22"/>
                <w:highlight w:val="none"/>
              </w:rPr>
              <w:t xml:space="preserve"> </w:t>
            </w:r>
            <w:r>
              <w:rPr>
                <w:rFonts w:hint="eastAsia" w:ascii="宋体" w:hAnsi="宋体" w:eastAsia="宋体" w:cs="宋体"/>
                <w:color w:val="auto"/>
                <w:spacing w:val="6"/>
                <w:sz w:val="22"/>
                <w:highlight w:val="none"/>
              </w:rPr>
              <w:t>打</w:t>
            </w:r>
            <w:r>
              <w:rPr>
                <w:rFonts w:hint="eastAsia" w:ascii="宋体" w:hAnsi="宋体" w:eastAsia="宋体" w:cs="宋体"/>
                <w:color w:val="auto"/>
                <w:spacing w:val="5"/>
                <w:sz w:val="22"/>
                <w:highlight w:val="none"/>
              </w:rPr>
              <w:t>印机</w:t>
            </w:r>
          </w:p>
        </w:tc>
        <w:tc>
          <w:tcPr>
            <w:tcW w:w="3814"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w:t>
            </w:r>
            <w:r>
              <w:rPr>
                <w:rFonts w:hint="eastAsia" w:ascii="宋体" w:hAnsi="宋体" w:eastAsia="宋体" w:cs="宋体"/>
                <w:color w:val="auto"/>
                <w:spacing w:val="5"/>
                <w:sz w:val="22"/>
                <w:highlight w:val="none"/>
              </w:rPr>
              <w:t>复印机、打印机和传真机能效限</w:t>
            </w:r>
            <w:r>
              <w:rPr>
                <w:rFonts w:hint="eastAsia" w:ascii="宋体" w:hAnsi="宋体" w:eastAsia="宋体" w:cs="宋体"/>
                <w:color w:val="auto"/>
                <w:sz w:val="22"/>
                <w:highlight w:val="none"/>
              </w:rPr>
              <w:t xml:space="preserve"> </w:t>
            </w:r>
            <w:r>
              <w:rPr>
                <w:rFonts w:hint="eastAsia" w:ascii="宋体" w:hAnsi="宋体" w:eastAsia="宋体" w:cs="宋体"/>
                <w:color w:val="auto"/>
                <w:spacing w:val="18"/>
                <w:sz w:val="22"/>
                <w:highlight w:val="none"/>
              </w:rPr>
              <w:t>定</w:t>
            </w:r>
            <w:r>
              <w:rPr>
                <w:rFonts w:hint="eastAsia" w:ascii="宋体" w:hAnsi="宋体" w:eastAsia="宋体" w:cs="宋体"/>
                <w:color w:val="auto"/>
                <w:spacing w:val="13"/>
                <w:sz w:val="22"/>
                <w:highlight w:val="none"/>
              </w:rPr>
              <w:t>值及能效等级》(</w:t>
            </w:r>
            <w:r>
              <w:rPr>
                <w:rFonts w:hint="eastAsia" w:ascii="宋体" w:hAnsi="宋体" w:eastAsia="宋体" w:cs="宋体"/>
                <w:color w:val="auto"/>
                <w:sz w:val="22"/>
                <w:highlight w:val="none"/>
              </w:rPr>
              <w:t>GB</w:t>
            </w:r>
            <w:r>
              <w:rPr>
                <w:rFonts w:hint="eastAsia" w:ascii="宋体" w:hAnsi="宋体" w:eastAsia="宋体" w:cs="宋体"/>
                <w:color w:val="auto"/>
                <w:spacing w:val="13"/>
                <w:sz w:val="22"/>
                <w:highlight w:val="none"/>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2149" w:type="dxa"/>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3"/>
                <w:sz w:val="22"/>
                <w:highlight w:val="none"/>
              </w:rPr>
              <w:t>02010604 显示设</w:t>
            </w:r>
            <w:r>
              <w:rPr>
                <w:rFonts w:hint="eastAsia" w:ascii="宋体" w:hAnsi="宋体" w:eastAsia="宋体" w:cs="宋体"/>
                <w:color w:val="auto"/>
                <w:spacing w:val="2"/>
                <w:sz w:val="22"/>
                <w:highlight w:val="none"/>
              </w:rPr>
              <w:t>备</w:t>
            </w:r>
          </w:p>
        </w:tc>
        <w:tc>
          <w:tcPr>
            <w:tcW w:w="1602" w:type="dxa"/>
            <w:tcBorders>
              <w:tl2br w:val="nil"/>
              <w:tr2bl w:val="nil"/>
            </w:tcBorders>
          </w:tcPr>
          <w:p>
            <w:pPr>
              <w:spacing w:line="360" w:lineRule="exact"/>
              <w:ind w:hanging="1"/>
              <w:rPr>
                <w:rFonts w:hint="eastAsia" w:ascii="宋体" w:hAnsi="宋体" w:eastAsia="宋体" w:cs="宋体"/>
                <w:color w:val="auto"/>
                <w:sz w:val="22"/>
                <w:highlight w:val="none"/>
              </w:rPr>
            </w:pPr>
            <w:r>
              <w:rPr>
                <w:rFonts w:hint="eastAsia" w:ascii="宋体" w:hAnsi="宋体" w:eastAsia="宋体" w:cs="宋体"/>
                <w:color w:val="auto"/>
                <w:spacing w:val="-2"/>
                <w:sz w:val="22"/>
                <w:highlight w:val="none"/>
              </w:rPr>
              <w:t xml:space="preserve">★ </w:t>
            </w:r>
            <w:r>
              <w:rPr>
                <w:rFonts w:hint="eastAsia" w:ascii="宋体" w:hAnsi="宋体" w:eastAsia="宋体" w:cs="宋体"/>
                <w:color w:val="auto"/>
                <w:spacing w:val="-1"/>
                <w:sz w:val="22"/>
                <w:highlight w:val="none"/>
              </w:rPr>
              <w:t>A</w:t>
            </w:r>
            <w:r>
              <w:rPr>
                <w:rFonts w:hint="eastAsia" w:ascii="宋体" w:hAnsi="宋体" w:eastAsia="宋体" w:cs="宋体"/>
                <w:color w:val="auto"/>
                <w:spacing w:val="-2"/>
                <w:sz w:val="22"/>
                <w:highlight w:val="none"/>
              </w:rPr>
              <w:t>0</w:t>
            </w:r>
            <w:r>
              <w:rPr>
                <w:rFonts w:hint="eastAsia" w:ascii="宋体" w:hAnsi="宋体" w:eastAsia="宋体" w:cs="宋体"/>
                <w:color w:val="auto"/>
                <w:spacing w:val="-1"/>
                <w:sz w:val="22"/>
                <w:highlight w:val="none"/>
              </w:rPr>
              <w:t>201060401 液 晶</w:t>
            </w:r>
            <w:r>
              <w:rPr>
                <w:rFonts w:hint="eastAsia" w:ascii="宋体" w:hAnsi="宋体" w:eastAsia="宋体" w:cs="宋体"/>
                <w:color w:val="auto"/>
                <w:sz w:val="22"/>
                <w:highlight w:val="none"/>
              </w:rPr>
              <w:t xml:space="preserve"> </w:t>
            </w:r>
            <w:r>
              <w:rPr>
                <w:rFonts w:hint="eastAsia" w:ascii="宋体" w:hAnsi="宋体" w:eastAsia="宋体" w:cs="宋体"/>
                <w:color w:val="auto"/>
                <w:spacing w:val="5"/>
                <w:sz w:val="22"/>
                <w:highlight w:val="none"/>
              </w:rPr>
              <w:t>显示器</w:t>
            </w:r>
          </w:p>
        </w:tc>
        <w:tc>
          <w:tcPr>
            <w:tcW w:w="3814"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计算机显示器能效限定值及能</w:t>
            </w:r>
            <w:r>
              <w:rPr>
                <w:rFonts w:hint="eastAsia" w:ascii="宋体" w:hAnsi="宋体" w:eastAsia="宋体" w:cs="宋体"/>
                <w:color w:val="auto"/>
                <w:sz w:val="22"/>
                <w:highlight w:val="none"/>
              </w:rPr>
              <w:t xml:space="preserve"> </w:t>
            </w:r>
            <w:r>
              <w:rPr>
                <w:rFonts w:hint="eastAsia" w:ascii="宋体" w:hAnsi="宋体" w:eastAsia="宋体" w:cs="宋体"/>
                <w:color w:val="auto"/>
                <w:spacing w:val="19"/>
                <w:sz w:val="22"/>
                <w:highlight w:val="none"/>
              </w:rPr>
              <w:t>效</w:t>
            </w:r>
            <w:r>
              <w:rPr>
                <w:rFonts w:hint="eastAsia" w:ascii="宋体" w:hAnsi="宋体" w:eastAsia="宋体" w:cs="宋体"/>
                <w:color w:val="auto"/>
                <w:spacing w:val="14"/>
                <w:sz w:val="22"/>
                <w:highlight w:val="none"/>
              </w:rPr>
              <w:t>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restart"/>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1166" w:type="dxa"/>
            <w:vMerge w:val="restart"/>
            <w:tcBorders>
              <w:tl2br w:val="nil"/>
              <w:tr2bl w:val="nil"/>
            </w:tcBorders>
            <w:vAlign w:val="center"/>
          </w:tcPr>
          <w:p>
            <w:pPr>
              <w:spacing w:line="360" w:lineRule="exact"/>
              <w:ind w:hanging="12"/>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w:t>
            </w:r>
            <w:r>
              <w:rPr>
                <w:rFonts w:hint="eastAsia" w:ascii="宋体" w:hAnsi="宋体" w:eastAsia="宋体" w:cs="宋体"/>
                <w:color w:val="auto"/>
                <w:sz w:val="22"/>
                <w:highlight w:val="none"/>
              </w:rPr>
              <w:t xml:space="preserve">523 制冷 </w:t>
            </w:r>
            <w:r>
              <w:rPr>
                <w:rFonts w:hint="eastAsia" w:ascii="宋体" w:hAnsi="宋体" w:eastAsia="宋体" w:cs="宋体"/>
                <w:color w:val="auto"/>
                <w:spacing w:val="7"/>
                <w:sz w:val="22"/>
                <w:highlight w:val="none"/>
              </w:rPr>
              <w:t>空</w:t>
            </w:r>
            <w:r>
              <w:rPr>
                <w:rFonts w:hint="eastAsia" w:ascii="宋体" w:hAnsi="宋体" w:eastAsia="宋体" w:cs="宋体"/>
                <w:color w:val="auto"/>
                <w:spacing w:val="5"/>
                <w:sz w:val="22"/>
                <w:highlight w:val="none"/>
              </w:rPr>
              <w:t>调设备</w:t>
            </w:r>
          </w:p>
        </w:tc>
        <w:tc>
          <w:tcPr>
            <w:tcW w:w="2149" w:type="dxa"/>
            <w:vMerge w:val="restart"/>
            <w:tcBorders>
              <w:tl2br w:val="nil"/>
              <w:tr2bl w:val="nil"/>
            </w:tcBorders>
            <w:vAlign w:val="center"/>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02052301 制冷压</w:t>
            </w:r>
            <w:r>
              <w:rPr>
                <w:rFonts w:hint="eastAsia" w:ascii="宋体" w:hAnsi="宋体" w:eastAsia="宋体" w:cs="宋体"/>
                <w:color w:val="auto"/>
                <w:sz w:val="22"/>
                <w:highlight w:val="none"/>
              </w:rPr>
              <w:t xml:space="preserve"> </w:t>
            </w:r>
            <w:r>
              <w:rPr>
                <w:rFonts w:hint="eastAsia" w:ascii="宋体" w:hAnsi="宋体" w:eastAsia="宋体" w:cs="宋体"/>
                <w:color w:val="auto"/>
                <w:spacing w:val="5"/>
                <w:sz w:val="22"/>
                <w:highlight w:val="none"/>
              </w:rPr>
              <w:t>缩机</w:t>
            </w:r>
          </w:p>
        </w:tc>
        <w:tc>
          <w:tcPr>
            <w:tcW w:w="1602" w:type="dxa"/>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冷水机</w:t>
            </w:r>
            <w:r>
              <w:rPr>
                <w:rFonts w:hint="eastAsia" w:ascii="宋体" w:hAnsi="宋体" w:eastAsia="宋体" w:cs="宋体"/>
                <w:color w:val="auto"/>
                <w:spacing w:val="6"/>
                <w:sz w:val="22"/>
                <w:highlight w:val="none"/>
              </w:rPr>
              <w:t>组</w:t>
            </w:r>
          </w:p>
        </w:tc>
        <w:tc>
          <w:tcPr>
            <w:tcW w:w="3814" w:type="dxa"/>
            <w:tcBorders>
              <w:tl2br w:val="nil"/>
              <w:tr2bl w:val="nil"/>
            </w:tcBorders>
          </w:tcPr>
          <w:p>
            <w:pPr>
              <w:spacing w:line="360" w:lineRule="exact"/>
              <w:ind w:firstLine="5"/>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冷水机组能效限定值及能效等</w:t>
            </w:r>
            <w:r>
              <w:rPr>
                <w:rFonts w:hint="eastAsia" w:ascii="宋体" w:hAnsi="宋体" w:eastAsia="宋体" w:cs="宋体"/>
                <w:color w:val="auto"/>
                <w:sz w:val="22"/>
                <w:highlight w:val="none"/>
              </w:rPr>
              <w:t xml:space="preserve"> </w:t>
            </w:r>
            <w:r>
              <w:rPr>
                <w:rFonts w:hint="eastAsia" w:ascii="宋体" w:hAnsi="宋体" w:eastAsia="宋体" w:cs="宋体"/>
                <w:color w:val="auto"/>
                <w:spacing w:val="10"/>
                <w:sz w:val="22"/>
                <w:highlight w:val="none"/>
              </w:rPr>
              <w:t>级》(</w:t>
            </w:r>
            <w:r>
              <w:rPr>
                <w:rFonts w:hint="eastAsia" w:ascii="宋体" w:hAnsi="宋体" w:eastAsia="宋体" w:cs="宋体"/>
                <w:color w:val="auto"/>
                <w:sz w:val="22"/>
                <w:highlight w:val="none"/>
              </w:rPr>
              <w:t>GB</w:t>
            </w:r>
            <w:r>
              <w:rPr>
                <w:rFonts w:hint="eastAsia" w:ascii="宋体" w:hAnsi="宋体" w:eastAsia="宋体" w:cs="宋体"/>
                <w:color w:val="auto"/>
                <w:spacing w:val="10"/>
                <w:sz w:val="22"/>
                <w:highlight w:val="none"/>
              </w:rPr>
              <w:t xml:space="preserve"> 19577) ，《低环境温</w:t>
            </w:r>
            <w:r>
              <w:rPr>
                <w:rFonts w:hint="eastAsia" w:ascii="宋体" w:hAnsi="宋体" w:eastAsia="宋体" w:cs="宋体"/>
                <w:color w:val="auto"/>
                <w:spacing w:val="7"/>
                <w:sz w:val="22"/>
                <w:highlight w:val="none"/>
              </w:rPr>
              <w:t>度</w:t>
            </w:r>
            <w:r>
              <w:rPr>
                <w:rFonts w:hint="eastAsia" w:ascii="宋体" w:hAnsi="宋体" w:eastAsia="宋体" w:cs="宋体"/>
                <w:color w:val="auto"/>
                <w:sz w:val="22"/>
                <w:highlight w:val="none"/>
              </w:rPr>
              <w:t xml:space="preserve"> </w:t>
            </w:r>
            <w:r>
              <w:rPr>
                <w:rFonts w:hint="eastAsia" w:ascii="宋体" w:hAnsi="宋体" w:eastAsia="宋体" w:cs="宋体"/>
                <w:color w:val="auto"/>
                <w:spacing w:val="5"/>
                <w:sz w:val="22"/>
                <w:highlight w:val="none"/>
              </w:rPr>
              <w:t>空气源热泵 (冷水) 机组能效限</w:t>
            </w:r>
            <w:r>
              <w:rPr>
                <w:rFonts w:hint="eastAsia" w:ascii="宋体" w:hAnsi="宋体" w:eastAsia="宋体" w:cs="宋体"/>
                <w:color w:val="auto"/>
                <w:spacing w:val="2"/>
                <w:sz w:val="22"/>
                <w:highlight w:val="none"/>
              </w:rPr>
              <w:t>定</w:t>
            </w:r>
            <w:r>
              <w:rPr>
                <w:rFonts w:hint="eastAsia" w:ascii="宋体" w:hAnsi="宋体" w:eastAsia="宋体" w:cs="宋体"/>
                <w:color w:val="auto"/>
                <w:sz w:val="22"/>
                <w:highlight w:val="none"/>
              </w:rPr>
              <w:t xml:space="preserve"> </w:t>
            </w:r>
            <w:r>
              <w:rPr>
                <w:rFonts w:hint="eastAsia" w:ascii="宋体" w:hAnsi="宋体" w:eastAsia="宋体" w:cs="宋体"/>
                <w:color w:val="auto"/>
                <w:spacing w:val="14"/>
                <w:sz w:val="22"/>
                <w:highlight w:val="none"/>
              </w:rPr>
              <w:t>值及能效等级》(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37480</w:t>
            </w:r>
            <w:r>
              <w:rPr>
                <w:rFonts w:hint="eastAsia" w:ascii="宋体" w:hAnsi="宋体" w:eastAsia="宋体" w:cs="宋体"/>
                <w:color w:val="auto"/>
                <w:spacing w:val="12"/>
                <w:sz w:val="22"/>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2149"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1602" w:type="dxa"/>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8"/>
                <w:sz w:val="22"/>
                <w:highlight w:val="none"/>
              </w:rPr>
              <w:t>水源热泵机</w:t>
            </w:r>
            <w:r>
              <w:rPr>
                <w:rFonts w:hint="eastAsia" w:ascii="宋体" w:hAnsi="宋体" w:eastAsia="宋体" w:cs="宋体"/>
                <w:color w:val="auto"/>
                <w:spacing w:val="7"/>
                <w:sz w:val="22"/>
                <w:highlight w:val="none"/>
              </w:rPr>
              <w:t>组</w:t>
            </w:r>
          </w:p>
        </w:tc>
        <w:tc>
          <w:tcPr>
            <w:tcW w:w="3814" w:type="dxa"/>
            <w:tcBorders>
              <w:tl2br w:val="nil"/>
              <w:tr2bl w:val="nil"/>
            </w:tcBorders>
          </w:tcPr>
          <w:p>
            <w:pPr>
              <w:spacing w:line="360" w:lineRule="exact"/>
              <w:ind w:firstLine="6"/>
              <w:rPr>
                <w:rFonts w:hint="eastAsia" w:ascii="宋体" w:hAnsi="宋体" w:eastAsia="宋体" w:cs="宋体"/>
                <w:color w:val="auto"/>
                <w:sz w:val="22"/>
                <w:highlight w:val="none"/>
              </w:rPr>
            </w:pPr>
            <w:r>
              <w:rPr>
                <w:rFonts w:hint="eastAsia" w:ascii="宋体" w:hAnsi="宋体" w:eastAsia="宋体" w:cs="宋体"/>
                <w:color w:val="auto"/>
                <w:spacing w:val="8"/>
                <w:sz w:val="22"/>
                <w:highlight w:val="none"/>
              </w:rPr>
              <w:t>《水</w:t>
            </w:r>
            <w:r>
              <w:rPr>
                <w:rFonts w:hint="eastAsia" w:ascii="宋体" w:hAnsi="宋体" w:eastAsia="宋体" w:cs="宋体"/>
                <w:color w:val="auto"/>
                <w:spacing w:val="4"/>
                <w:sz w:val="22"/>
                <w:highlight w:val="none"/>
              </w:rPr>
              <w:t xml:space="preserve"> (地) 源热泵机组能效限定值</w:t>
            </w:r>
            <w:r>
              <w:rPr>
                <w:rFonts w:hint="eastAsia" w:ascii="宋体" w:hAnsi="宋体" w:eastAsia="宋体" w:cs="宋体"/>
                <w:color w:val="auto"/>
                <w:sz w:val="22"/>
                <w:highlight w:val="none"/>
              </w:rPr>
              <w:t xml:space="preserve"> </w:t>
            </w:r>
            <w:r>
              <w:rPr>
                <w:rFonts w:hint="eastAsia" w:ascii="宋体" w:hAnsi="宋体" w:eastAsia="宋体" w:cs="宋体"/>
                <w:color w:val="auto"/>
                <w:spacing w:val="18"/>
                <w:sz w:val="22"/>
                <w:highlight w:val="none"/>
              </w:rPr>
              <w:t>及</w:t>
            </w:r>
            <w:r>
              <w:rPr>
                <w:rFonts w:hint="eastAsia" w:ascii="宋体" w:hAnsi="宋体" w:eastAsia="宋体" w:cs="宋体"/>
                <w:color w:val="auto"/>
                <w:spacing w:val="14"/>
                <w:sz w:val="22"/>
                <w:highlight w:val="none"/>
              </w:rPr>
              <w:t>能效等级》(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30721)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1166"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2149"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1602" w:type="dxa"/>
            <w:tcBorders>
              <w:tl2br w:val="nil"/>
              <w:tr2bl w:val="nil"/>
            </w:tcBorders>
          </w:tcPr>
          <w:p>
            <w:pPr>
              <w:spacing w:line="360" w:lineRule="exact"/>
              <w:ind w:firstLine="1"/>
              <w:rPr>
                <w:rFonts w:hint="eastAsia" w:ascii="宋体" w:hAnsi="宋体" w:eastAsia="宋体" w:cs="宋体"/>
                <w:color w:val="auto"/>
                <w:sz w:val="22"/>
                <w:highlight w:val="none"/>
              </w:rPr>
            </w:pPr>
            <w:r>
              <w:rPr>
                <w:rFonts w:hint="eastAsia" w:ascii="宋体" w:hAnsi="宋体" w:eastAsia="宋体" w:cs="宋体"/>
                <w:color w:val="auto"/>
                <w:spacing w:val="23"/>
                <w:sz w:val="22"/>
                <w:highlight w:val="none"/>
              </w:rPr>
              <w:t>溴</w:t>
            </w:r>
            <w:r>
              <w:rPr>
                <w:rFonts w:hint="eastAsia" w:ascii="宋体" w:hAnsi="宋体" w:eastAsia="宋体" w:cs="宋体"/>
                <w:color w:val="auto"/>
                <w:spacing w:val="18"/>
                <w:sz w:val="22"/>
                <w:highlight w:val="none"/>
              </w:rPr>
              <w:t>化锂吸收式冷水机</w:t>
            </w:r>
            <w:r>
              <w:rPr>
                <w:rFonts w:hint="eastAsia" w:ascii="宋体" w:hAnsi="宋体" w:eastAsia="宋体" w:cs="宋体"/>
                <w:color w:val="auto"/>
                <w:sz w:val="22"/>
                <w:highlight w:val="none"/>
              </w:rPr>
              <w:t xml:space="preserve"> 组</w:t>
            </w:r>
          </w:p>
        </w:tc>
        <w:tc>
          <w:tcPr>
            <w:tcW w:w="3814"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溴化锂吸收式冷水机组能效限</w:t>
            </w:r>
            <w:r>
              <w:rPr>
                <w:rFonts w:hint="eastAsia" w:ascii="宋体" w:hAnsi="宋体" w:eastAsia="宋体" w:cs="宋体"/>
                <w:color w:val="auto"/>
                <w:sz w:val="22"/>
                <w:highlight w:val="none"/>
              </w:rPr>
              <w:t xml:space="preserve"> </w:t>
            </w:r>
            <w:r>
              <w:rPr>
                <w:rFonts w:hint="eastAsia" w:ascii="宋体" w:hAnsi="宋体" w:eastAsia="宋体" w:cs="宋体"/>
                <w:color w:val="auto"/>
                <w:spacing w:val="18"/>
                <w:sz w:val="22"/>
                <w:highlight w:val="none"/>
              </w:rPr>
              <w:t>定</w:t>
            </w:r>
            <w:r>
              <w:rPr>
                <w:rFonts w:hint="eastAsia" w:ascii="宋体" w:hAnsi="宋体" w:eastAsia="宋体" w:cs="宋体"/>
                <w:color w:val="auto"/>
                <w:spacing w:val="13"/>
                <w:sz w:val="22"/>
                <w:highlight w:val="none"/>
              </w:rPr>
              <w:t>值及能效等级》(</w:t>
            </w:r>
            <w:r>
              <w:rPr>
                <w:rFonts w:hint="eastAsia" w:ascii="宋体" w:hAnsi="宋体" w:eastAsia="宋体" w:cs="宋体"/>
                <w:color w:val="auto"/>
                <w:sz w:val="22"/>
                <w:highlight w:val="none"/>
              </w:rPr>
              <w:t>GB</w:t>
            </w:r>
            <w:r>
              <w:rPr>
                <w:rFonts w:hint="eastAsia" w:ascii="宋体" w:hAnsi="宋体" w:eastAsia="宋体" w:cs="宋体"/>
                <w:color w:val="auto"/>
                <w:spacing w:val="13"/>
                <w:sz w:val="22"/>
                <w:highlight w:val="none"/>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2149" w:type="dxa"/>
            <w:vMerge w:val="restart"/>
            <w:tcBorders>
              <w:tl2br w:val="nil"/>
              <w:tr2bl w:val="nil"/>
            </w:tcBorders>
            <w:vAlign w:val="center"/>
          </w:tcPr>
          <w:p>
            <w:pPr>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02052305 空调机</w:t>
            </w:r>
            <w:r>
              <w:rPr>
                <w:rFonts w:hint="eastAsia" w:ascii="宋体" w:hAnsi="宋体" w:eastAsia="宋体" w:cs="宋体"/>
                <w:color w:val="auto"/>
                <w:sz w:val="22"/>
                <w:highlight w:val="none"/>
              </w:rPr>
              <w:t xml:space="preserve"> 组</w:t>
            </w:r>
          </w:p>
        </w:tc>
        <w:tc>
          <w:tcPr>
            <w:tcW w:w="1602" w:type="dxa"/>
            <w:tcBorders>
              <w:tl2br w:val="nil"/>
              <w:tr2bl w:val="nil"/>
            </w:tcBorders>
          </w:tcPr>
          <w:p>
            <w:pPr>
              <w:spacing w:line="360" w:lineRule="exact"/>
              <w:ind w:firstLine="10"/>
              <w:rPr>
                <w:rFonts w:hint="eastAsia" w:ascii="宋体" w:hAnsi="宋体" w:eastAsia="宋体" w:cs="宋体"/>
                <w:color w:val="auto"/>
                <w:sz w:val="22"/>
                <w:highlight w:val="none"/>
              </w:rPr>
            </w:pPr>
            <w:r>
              <w:rPr>
                <w:rFonts w:hint="eastAsia" w:ascii="宋体" w:hAnsi="宋体" w:eastAsia="宋体" w:cs="宋体"/>
                <w:color w:val="auto"/>
                <w:spacing w:val="17"/>
                <w:sz w:val="22"/>
                <w:highlight w:val="none"/>
              </w:rPr>
              <w:t>多</w:t>
            </w:r>
            <w:r>
              <w:rPr>
                <w:rFonts w:hint="eastAsia" w:ascii="宋体" w:hAnsi="宋体" w:eastAsia="宋体" w:cs="宋体"/>
                <w:color w:val="auto"/>
                <w:spacing w:val="14"/>
                <w:sz w:val="22"/>
                <w:highlight w:val="none"/>
              </w:rPr>
              <w:t>联式空调(热泵)</w:t>
            </w:r>
            <w:r>
              <w:rPr>
                <w:rFonts w:hint="eastAsia" w:ascii="宋体" w:hAnsi="宋体" w:eastAsia="宋体" w:cs="宋体"/>
                <w:color w:val="auto"/>
                <w:spacing w:val="15"/>
                <w:sz w:val="22"/>
                <w:highlight w:val="none"/>
              </w:rPr>
              <w:t>机</w:t>
            </w:r>
            <w:r>
              <w:rPr>
                <w:rFonts w:hint="eastAsia" w:ascii="宋体" w:hAnsi="宋体" w:eastAsia="宋体" w:cs="宋体"/>
                <w:color w:val="auto"/>
                <w:spacing w:val="12"/>
                <w:sz w:val="22"/>
                <w:highlight w:val="none"/>
              </w:rPr>
              <w:t>组(制冷</w:t>
            </w:r>
            <w:r>
              <w:rPr>
                <w:rFonts w:hint="eastAsia" w:ascii="宋体" w:hAnsi="宋体" w:eastAsia="宋体" w:cs="宋体"/>
                <w:color w:val="auto"/>
                <w:sz w:val="22"/>
                <w:highlight w:val="none"/>
              </w:rPr>
              <w:t xml:space="preserve"> </w:t>
            </w:r>
            <w:r>
              <w:rPr>
                <w:rFonts w:hint="eastAsia" w:ascii="宋体" w:hAnsi="宋体" w:eastAsia="宋体" w:cs="宋体"/>
                <w:color w:val="auto"/>
                <w:spacing w:val="10"/>
                <w:sz w:val="22"/>
                <w:highlight w:val="none"/>
              </w:rPr>
              <w:t>量</w:t>
            </w:r>
            <w:r>
              <w:rPr>
                <w:rFonts w:hint="eastAsia" w:ascii="宋体" w:hAnsi="宋体" w:eastAsia="宋体" w:cs="宋体"/>
                <w:color w:val="auto"/>
                <w:spacing w:val="5"/>
                <w:sz w:val="22"/>
                <w:highlight w:val="none"/>
              </w:rPr>
              <w:t>&gt;14000</w:t>
            </w:r>
            <w:r>
              <w:rPr>
                <w:rFonts w:hint="eastAsia" w:ascii="宋体" w:hAnsi="宋体" w:eastAsia="宋体" w:cs="宋体"/>
                <w:color w:val="auto"/>
                <w:sz w:val="22"/>
                <w:highlight w:val="none"/>
              </w:rPr>
              <w:t>W</w:t>
            </w:r>
            <w:r>
              <w:rPr>
                <w:rFonts w:hint="eastAsia" w:ascii="宋体" w:hAnsi="宋体" w:eastAsia="宋体" w:cs="宋体"/>
                <w:color w:val="auto"/>
                <w:spacing w:val="5"/>
                <w:sz w:val="22"/>
                <w:highlight w:val="none"/>
              </w:rPr>
              <w:t>)</w:t>
            </w:r>
          </w:p>
        </w:tc>
        <w:tc>
          <w:tcPr>
            <w:tcW w:w="3814"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1"/>
                <w:sz w:val="22"/>
                <w:highlight w:val="none"/>
              </w:rPr>
              <w:t>《多联式空</w:t>
            </w:r>
            <w:r>
              <w:rPr>
                <w:rFonts w:hint="eastAsia" w:ascii="宋体" w:hAnsi="宋体" w:eastAsia="宋体" w:cs="宋体"/>
                <w:color w:val="auto"/>
                <w:sz w:val="22"/>
                <w:highlight w:val="none"/>
              </w:rPr>
              <w:t xml:space="preserve">调 (热泵) 机组能效限 </w:t>
            </w:r>
            <w:r>
              <w:rPr>
                <w:rFonts w:hint="eastAsia" w:ascii="宋体" w:hAnsi="宋体" w:eastAsia="宋体" w:cs="宋体"/>
                <w:color w:val="auto"/>
                <w:spacing w:val="-1"/>
                <w:sz w:val="22"/>
                <w:highlight w:val="none"/>
              </w:rPr>
              <w:t>定值</w:t>
            </w:r>
            <w:r>
              <w:rPr>
                <w:rFonts w:hint="eastAsia" w:ascii="宋体" w:hAnsi="宋体" w:eastAsia="宋体" w:cs="宋体"/>
                <w:color w:val="auto"/>
                <w:sz w:val="22"/>
                <w:highlight w:val="none"/>
              </w:rPr>
              <w:t>及能源效率等级》(GB 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2149"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1602" w:type="dxa"/>
            <w:tcBorders>
              <w:tl2br w:val="nil"/>
              <w:tr2bl w:val="nil"/>
            </w:tcBorders>
          </w:tcPr>
          <w:p>
            <w:pPr>
              <w:spacing w:line="360" w:lineRule="exact"/>
              <w:ind w:hanging="33"/>
              <w:rPr>
                <w:rFonts w:hint="eastAsia" w:ascii="宋体" w:hAnsi="宋体" w:eastAsia="宋体" w:cs="宋体"/>
                <w:color w:val="auto"/>
                <w:sz w:val="22"/>
                <w:highlight w:val="none"/>
              </w:rPr>
            </w:pPr>
            <w:r>
              <w:rPr>
                <w:rFonts w:hint="eastAsia" w:ascii="宋体" w:hAnsi="宋体" w:eastAsia="宋体" w:cs="宋体"/>
                <w:color w:val="auto"/>
                <w:spacing w:val="-26"/>
                <w:sz w:val="22"/>
                <w:highlight w:val="none"/>
              </w:rPr>
              <w:t>单</w:t>
            </w:r>
            <w:r>
              <w:rPr>
                <w:rFonts w:hint="eastAsia" w:ascii="宋体" w:hAnsi="宋体" w:eastAsia="宋体" w:cs="宋体"/>
                <w:color w:val="auto"/>
                <w:spacing w:val="-20"/>
                <w:sz w:val="22"/>
                <w:highlight w:val="none"/>
              </w:rPr>
              <w:t xml:space="preserve"> 元 式 空 气 调 节 机</w:t>
            </w:r>
            <w:r>
              <w:rPr>
                <w:rFonts w:hint="eastAsia" w:ascii="宋体" w:hAnsi="宋体" w:eastAsia="宋体" w:cs="宋体"/>
                <w:color w:val="auto"/>
                <w:sz w:val="22"/>
                <w:highlight w:val="none"/>
              </w:rPr>
              <w:t xml:space="preserve"> </w:t>
            </w:r>
            <w:r>
              <w:rPr>
                <w:rFonts w:hint="eastAsia" w:ascii="宋体" w:hAnsi="宋体" w:eastAsia="宋体" w:cs="宋体"/>
                <w:color w:val="auto"/>
                <w:spacing w:val="3"/>
                <w:sz w:val="22"/>
                <w:highlight w:val="none"/>
              </w:rPr>
              <w:t>(制冷量&gt;14000</w:t>
            </w:r>
            <w:r>
              <w:rPr>
                <w:rFonts w:hint="eastAsia" w:ascii="宋体" w:hAnsi="宋体" w:eastAsia="宋体" w:cs="宋体"/>
                <w:color w:val="auto"/>
                <w:sz w:val="22"/>
                <w:highlight w:val="none"/>
              </w:rPr>
              <w:t>W</w:t>
            </w:r>
            <w:r>
              <w:rPr>
                <w:rFonts w:hint="eastAsia" w:ascii="宋体" w:hAnsi="宋体" w:eastAsia="宋体" w:cs="宋体"/>
                <w:color w:val="auto"/>
                <w:spacing w:val="3"/>
                <w:sz w:val="22"/>
                <w:highlight w:val="none"/>
              </w:rPr>
              <w:t>)</w:t>
            </w:r>
          </w:p>
        </w:tc>
        <w:tc>
          <w:tcPr>
            <w:tcW w:w="3814" w:type="dxa"/>
            <w:tcBorders>
              <w:tl2br w:val="nil"/>
              <w:tr2bl w:val="nil"/>
            </w:tcBorders>
          </w:tcPr>
          <w:p>
            <w:pPr>
              <w:spacing w:line="360" w:lineRule="exact"/>
              <w:ind w:firstLine="6"/>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单元式空气调节机能效限定值</w:t>
            </w:r>
            <w:r>
              <w:rPr>
                <w:rFonts w:hint="eastAsia" w:ascii="宋体" w:hAnsi="宋体" w:eastAsia="宋体" w:cs="宋体"/>
                <w:color w:val="auto"/>
                <w:sz w:val="22"/>
                <w:highlight w:val="none"/>
              </w:rPr>
              <w:t xml:space="preserve"> </w:t>
            </w:r>
            <w:r>
              <w:rPr>
                <w:rFonts w:hint="eastAsia" w:ascii="宋体" w:hAnsi="宋体" w:eastAsia="宋体" w:cs="宋体"/>
                <w:color w:val="auto"/>
                <w:spacing w:val="8"/>
                <w:sz w:val="22"/>
                <w:highlight w:val="none"/>
              </w:rPr>
              <w:t>及能</w:t>
            </w:r>
            <w:r>
              <w:rPr>
                <w:rFonts w:hint="eastAsia" w:ascii="宋体" w:hAnsi="宋体" w:eastAsia="宋体" w:cs="宋体"/>
                <w:color w:val="auto"/>
                <w:spacing w:val="4"/>
                <w:sz w:val="22"/>
                <w:highlight w:val="none"/>
              </w:rPr>
              <w:t>效等级》(</w:t>
            </w:r>
            <w:r>
              <w:rPr>
                <w:rFonts w:hint="eastAsia" w:ascii="宋体" w:hAnsi="宋体" w:eastAsia="宋体" w:cs="宋体"/>
                <w:color w:val="auto"/>
                <w:sz w:val="22"/>
                <w:highlight w:val="none"/>
              </w:rPr>
              <w:t>GB</w:t>
            </w:r>
            <w:r>
              <w:rPr>
                <w:rFonts w:hint="eastAsia" w:ascii="宋体" w:hAnsi="宋体" w:eastAsia="宋体" w:cs="宋体"/>
                <w:color w:val="auto"/>
                <w:spacing w:val="4"/>
                <w:sz w:val="22"/>
                <w:highlight w:val="none"/>
              </w:rPr>
              <w:t xml:space="preserve"> 19576)  《风管</w:t>
            </w:r>
            <w:r>
              <w:rPr>
                <w:rFonts w:hint="eastAsia" w:ascii="宋体" w:hAnsi="宋体" w:eastAsia="宋体" w:cs="宋体"/>
                <w:color w:val="auto"/>
                <w:sz w:val="22"/>
                <w:highlight w:val="none"/>
              </w:rPr>
              <w:t xml:space="preserve"> </w:t>
            </w:r>
            <w:r>
              <w:rPr>
                <w:rFonts w:hint="eastAsia" w:ascii="宋体" w:hAnsi="宋体" w:eastAsia="宋体" w:cs="宋体"/>
                <w:color w:val="auto"/>
                <w:spacing w:val="29"/>
                <w:sz w:val="22"/>
                <w:highlight w:val="none"/>
              </w:rPr>
              <w:t>送</w:t>
            </w:r>
            <w:r>
              <w:rPr>
                <w:rFonts w:hint="eastAsia" w:ascii="宋体" w:hAnsi="宋体" w:eastAsia="宋体" w:cs="宋体"/>
                <w:color w:val="auto"/>
                <w:spacing w:val="19"/>
                <w:sz w:val="22"/>
                <w:highlight w:val="none"/>
              </w:rPr>
              <w:t>风式空调机组能效限定值及能</w:t>
            </w:r>
            <w:r>
              <w:rPr>
                <w:rFonts w:hint="eastAsia" w:ascii="宋体" w:hAnsi="宋体" w:eastAsia="宋体" w:cs="宋体"/>
                <w:color w:val="auto"/>
                <w:sz w:val="22"/>
                <w:highlight w:val="none"/>
              </w:rPr>
              <w:t xml:space="preserve"> </w:t>
            </w:r>
            <w:r>
              <w:rPr>
                <w:rFonts w:hint="eastAsia" w:ascii="宋体" w:hAnsi="宋体" w:eastAsia="宋体" w:cs="宋体"/>
                <w:color w:val="auto"/>
                <w:spacing w:val="15"/>
                <w:sz w:val="22"/>
                <w:highlight w:val="none"/>
              </w:rPr>
              <w:t>效等级》(</w:t>
            </w:r>
            <w:r>
              <w:rPr>
                <w:rFonts w:hint="eastAsia" w:ascii="宋体" w:hAnsi="宋体" w:eastAsia="宋体" w:cs="宋体"/>
                <w:color w:val="auto"/>
                <w:sz w:val="22"/>
                <w:highlight w:val="none"/>
              </w:rPr>
              <w:t>GB</w:t>
            </w:r>
            <w:r>
              <w:rPr>
                <w:rFonts w:hint="eastAsia" w:ascii="宋体" w:hAnsi="宋体" w:eastAsia="宋体" w:cs="宋体"/>
                <w:color w:val="auto"/>
                <w:spacing w:val="15"/>
                <w:sz w:val="22"/>
                <w:highlight w:val="none"/>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2149" w:type="dxa"/>
            <w:tcBorders>
              <w:tl2br w:val="nil"/>
              <w:tr2bl w:val="nil"/>
            </w:tcBorders>
          </w:tcPr>
          <w:p>
            <w:pPr>
              <w:spacing w:line="360" w:lineRule="exact"/>
              <w:ind w:firstLine="1"/>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02052309 专用制</w:t>
            </w:r>
            <w:r>
              <w:rPr>
                <w:rFonts w:hint="eastAsia" w:ascii="宋体" w:hAnsi="宋体" w:eastAsia="宋体" w:cs="宋体"/>
                <w:color w:val="auto"/>
                <w:sz w:val="22"/>
                <w:highlight w:val="none"/>
              </w:rPr>
              <w:t xml:space="preserve"> </w:t>
            </w:r>
            <w:r>
              <w:rPr>
                <w:rFonts w:hint="eastAsia" w:ascii="宋体" w:hAnsi="宋体" w:eastAsia="宋体" w:cs="宋体"/>
                <w:color w:val="auto"/>
                <w:spacing w:val="8"/>
                <w:sz w:val="22"/>
                <w:highlight w:val="none"/>
              </w:rPr>
              <w:t>冷、空调设备</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8"/>
                <w:sz w:val="22"/>
                <w:highlight w:val="none"/>
              </w:rPr>
              <w:t>机</w:t>
            </w:r>
            <w:r>
              <w:rPr>
                <w:rFonts w:hint="eastAsia" w:ascii="宋体" w:hAnsi="宋体" w:eastAsia="宋体" w:cs="宋体"/>
                <w:color w:val="auto"/>
                <w:spacing w:val="7"/>
                <w:sz w:val="22"/>
                <w:highlight w:val="none"/>
              </w:rPr>
              <w:t>房空调</w:t>
            </w:r>
          </w:p>
        </w:tc>
        <w:tc>
          <w:tcPr>
            <w:tcW w:w="3814" w:type="dxa"/>
            <w:tcBorders>
              <w:tl2br w:val="nil"/>
              <w:tr2bl w:val="nil"/>
            </w:tcBorders>
          </w:tcPr>
          <w:p>
            <w:pPr>
              <w:spacing w:line="360" w:lineRule="exact"/>
              <w:ind w:firstLine="6"/>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单元式空气调节机能效限定值</w:t>
            </w:r>
            <w:r>
              <w:rPr>
                <w:rFonts w:hint="eastAsia" w:ascii="宋体" w:hAnsi="宋体" w:eastAsia="宋体" w:cs="宋体"/>
                <w:color w:val="auto"/>
                <w:sz w:val="22"/>
                <w:highlight w:val="none"/>
              </w:rPr>
              <w:t xml:space="preserve"> </w:t>
            </w:r>
            <w:r>
              <w:rPr>
                <w:rFonts w:hint="eastAsia" w:ascii="宋体" w:hAnsi="宋体" w:eastAsia="宋体" w:cs="宋体"/>
                <w:color w:val="auto"/>
                <w:spacing w:val="18"/>
                <w:sz w:val="22"/>
                <w:highlight w:val="none"/>
              </w:rPr>
              <w:t>及</w:t>
            </w:r>
            <w:r>
              <w:rPr>
                <w:rFonts w:hint="eastAsia" w:ascii="宋体" w:hAnsi="宋体" w:eastAsia="宋体" w:cs="宋体"/>
                <w:color w:val="auto"/>
                <w:spacing w:val="14"/>
                <w:sz w:val="22"/>
                <w:highlight w:val="none"/>
              </w:rPr>
              <w:t>能效等级》(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1166" w:type="dxa"/>
            <w:tcBorders>
              <w:tl2br w:val="nil"/>
              <w:tr2bl w:val="nil"/>
            </w:tcBorders>
          </w:tcPr>
          <w:p>
            <w:pPr>
              <w:spacing w:line="360" w:lineRule="exact"/>
              <w:ind w:firstLine="2"/>
              <w:rPr>
                <w:rFonts w:hint="eastAsia" w:ascii="宋体" w:hAnsi="宋体" w:eastAsia="宋体" w:cs="宋体"/>
                <w:color w:val="auto"/>
                <w:sz w:val="22"/>
                <w:highlight w:val="none"/>
              </w:rPr>
            </w:pPr>
            <w:r>
              <w:rPr>
                <w:rFonts w:hint="eastAsia" w:ascii="宋体" w:hAnsi="宋体" w:eastAsia="宋体" w:cs="宋体"/>
                <w:color w:val="auto"/>
                <w:spacing w:val="-1"/>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020609</w:t>
            </w:r>
            <w:r>
              <w:rPr>
                <w:rFonts w:hint="eastAsia" w:ascii="宋体" w:hAnsi="宋体" w:eastAsia="宋体" w:cs="宋体"/>
                <w:color w:val="auto"/>
                <w:sz w:val="22"/>
                <w:highlight w:val="none"/>
              </w:rPr>
              <w:t xml:space="preserve"> 镇 </w:t>
            </w:r>
            <w:r>
              <w:rPr>
                <w:rFonts w:hint="eastAsia" w:ascii="宋体" w:hAnsi="宋体" w:eastAsia="宋体" w:cs="宋体"/>
                <w:color w:val="auto"/>
                <w:spacing w:val="5"/>
                <w:sz w:val="22"/>
                <w:highlight w:val="none"/>
              </w:rPr>
              <w:t>流</w:t>
            </w:r>
            <w:r>
              <w:rPr>
                <w:rFonts w:hint="eastAsia" w:ascii="宋体" w:hAnsi="宋体" w:eastAsia="宋体" w:cs="宋体"/>
                <w:color w:val="auto"/>
                <w:spacing w:val="4"/>
                <w:sz w:val="22"/>
                <w:highlight w:val="none"/>
              </w:rPr>
              <w:t>器</w:t>
            </w:r>
          </w:p>
        </w:tc>
        <w:tc>
          <w:tcPr>
            <w:tcW w:w="2149"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10"/>
                <w:sz w:val="22"/>
                <w:highlight w:val="none"/>
              </w:rPr>
              <w:t>管</w:t>
            </w:r>
            <w:r>
              <w:rPr>
                <w:rFonts w:hint="eastAsia" w:ascii="宋体" w:hAnsi="宋体" w:eastAsia="宋体" w:cs="宋体"/>
                <w:color w:val="auto"/>
                <w:spacing w:val="8"/>
                <w:sz w:val="22"/>
                <w:highlight w:val="none"/>
              </w:rPr>
              <w:t>型荧光灯镇流器</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tc>
        <w:tc>
          <w:tcPr>
            <w:tcW w:w="3814" w:type="dxa"/>
            <w:tcBorders>
              <w:tl2br w:val="nil"/>
              <w:tr2bl w:val="nil"/>
            </w:tcBorders>
          </w:tcPr>
          <w:p>
            <w:pPr>
              <w:spacing w:line="360" w:lineRule="exact"/>
              <w:ind w:firstLine="6"/>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管形荧光灯镇流器能效限定值</w:t>
            </w:r>
            <w:r>
              <w:rPr>
                <w:rFonts w:hint="eastAsia" w:ascii="宋体" w:hAnsi="宋体" w:eastAsia="宋体" w:cs="宋体"/>
                <w:color w:val="auto"/>
                <w:sz w:val="22"/>
                <w:highlight w:val="none"/>
              </w:rPr>
              <w:t xml:space="preserve"> </w:t>
            </w:r>
            <w:r>
              <w:rPr>
                <w:rFonts w:hint="eastAsia" w:ascii="宋体" w:hAnsi="宋体" w:eastAsia="宋体" w:cs="宋体"/>
                <w:color w:val="auto"/>
                <w:spacing w:val="18"/>
                <w:sz w:val="22"/>
                <w:highlight w:val="none"/>
              </w:rPr>
              <w:t>及</w:t>
            </w:r>
            <w:r>
              <w:rPr>
                <w:rFonts w:hint="eastAsia" w:ascii="宋体" w:hAnsi="宋体" w:eastAsia="宋体" w:cs="宋体"/>
                <w:color w:val="auto"/>
                <w:spacing w:val="14"/>
                <w:sz w:val="22"/>
                <w:highlight w:val="none"/>
              </w:rPr>
              <w:t>能效等级》(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restart"/>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1</w:t>
            </w:r>
            <w:r>
              <w:rPr>
                <w:rFonts w:hint="eastAsia" w:ascii="宋体" w:hAnsi="宋体" w:eastAsia="宋体" w:cs="宋体"/>
                <w:color w:val="auto"/>
                <w:spacing w:val="-6"/>
                <w:sz w:val="22"/>
                <w:highlight w:val="none"/>
              </w:rPr>
              <w:t>0</w:t>
            </w:r>
          </w:p>
        </w:tc>
        <w:tc>
          <w:tcPr>
            <w:tcW w:w="1166" w:type="dxa"/>
            <w:vMerge w:val="restart"/>
            <w:tcBorders>
              <w:tl2br w:val="nil"/>
              <w:tr2bl w:val="nil"/>
            </w:tcBorders>
            <w:vAlign w:val="center"/>
          </w:tcPr>
          <w:p>
            <w:pPr>
              <w:spacing w:line="360" w:lineRule="exact"/>
              <w:ind w:hanging="7"/>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w:t>
            </w:r>
            <w:r>
              <w:rPr>
                <w:rFonts w:hint="eastAsia" w:ascii="宋体" w:hAnsi="宋体" w:eastAsia="宋体" w:cs="宋体"/>
                <w:color w:val="auto"/>
                <w:sz w:val="22"/>
                <w:highlight w:val="none"/>
              </w:rPr>
              <w:t xml:space="preserve">618 生活 </w:t>
            </w:r>
            <w:r>
              <w:rPr>
                <w:rFonts w:hint="eastAsia" w:ascii="宋体" w:hAnsi="宋体" w:eastAsia="宋体" w:cs="宋体"/>
                <w:color w:val="auto"/>
                <w:spacing w:val="6"/>
                <w:sz w:val="22"/>
                <w:highlight w:val="none"/>
              </w:rPr>
              <w:t>用电器</w:t>
            </w:r>
          </w:p>
        </w:tc>
        <w:tc>
          <w:tcPr>
            <w:tcW w:w="2149" w:type="dxa"/>
            <w:vMerge w:val="restart"/>
            <w:tcBorders>
              <w:tl2br w:val="nil"/>
              <w:tr2bl w:val="nil"/>
            </w:tcBorders>
            <w:vAlign w:val="center"/>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4"/>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0206180203 空</w:t>
            </w:r>
            <w:r>
              <w:rPr>
                <w:rFonts w:hint="eastAsia" w:ascii="宋体" w:hAnsi="宋体" w:eastAsia="宋体" w:cs="宋体"/>
                <w:color w:val="auto"/>
                <w:spacing w:val="3"/>
                <w:sz w:val="22"/>
                <w:highlight w:val="none"/>
              </w:rPr>
              <w:t>调</w:t>
            </w:r>
            <w:r>
              <w:rPr>
                <w:rFonts w:hint="eastAsia" w:ascii="宋体" w:hAnsi="宋体" w:eastAsia="宋体" w:cs="宋体"/>
                <w:color w:val="auto"/>
                <w:sz w:val="22"/>
                <w:highlight w:val="none"/>
              </w:rPr>
              <w:t xml:space="preserve"> </w:t>
            </w:r>
            <w:r>
              <w:rPr>
                <w:rFonts w:hint="eastAsia" w:ascii="宋体" w:hAnsi="宋体" w:eastAsia="宋体" w:cs="宋体"/>
                <w:color w:val="auto"/>
                <w:spacing w:val="2"/>
                <w:sz w:val="22"/>
                <w:highlight w:val="none"/>
              </w:rPr>
              <w:t>机</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p>
            <w:pPr>
              <w:spacing w:line="360" w:lineRule="exact"/>
              <w:rPr>
                <w:rFonts w:hint="eastAsia" w:ascii="宋体" w:hAnsi="宋体" w:eastAsia="宋体" w:cs="宋体"/>
                <w:color w:val="auto"/>
                <w:sz w:val="22"/>
                <w:highlight w:val="none"/>
              </w:rPr>
            </w:pPr>
          </w:p>
          <w:p>
            <w:pPr>
              <w:spacing w:line="360" w:lineRule="exact"/>
              <w:rPr>
                <w:rFonts w:hint="eastAsia" w:ascii="宋体" w:hAnsi="宋体" w:eastAsia="宋体" w:cs="宋体"/>
                <w:color w:val="auto"/>
                <w:sz w:val="22"/>
                <w:highlight w:val="none"/>
              </w:rPr>
            </w:pPr>
          </w:p>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10"/>
                <w:sz w:val="22"/>
                <w:highlight w:val="none"/>
              </w:rPr>
              <w:t>房</w:t>
            </w:r>
            <w:r>
              <w:rPr>
                <w:rFonts w:hint="eastAsia" w:ascii="宋体" w:hAnsi="宋体" w:eastAsia="宋体" w:cs="宋体"/>
                <w:color w:val="auto"/>
                <w:spacing w:val="8"/>
                <w:sz w:val="22"/>
                <w:highlight w:val="none"/>
              </w:rPr>
              <w:t>间空气调节器</w:t>
            </w:r>
          </w:p>
        </w:tc>
        <w:tc>
          <w:tcPr>
            <w:tcW w:w="3814" w:type="dxa"/>
            <w:tcBorders>
              <w:tl2br w:val="nil"/>
              <w:tr2bl w:val="nil"/>
            </w:tcBorders>
          </w:tcPr>
          <w:p>
            <w:pPr>
              <w:spacing w:line="360" w:lineRule="exact"/>
              <w:ind w:firstLine="5"/>
              <w:rPr>
                <w:rFonts w:hint="eastAsia" w:ascii="宋体" w:hAnsi="宋体" w:eastAsia="宋体" w:cs="宋体"/>
                <w:color w:val="auto"/>
                <w:sz w:val="22"/>
                <w:highlight w:val="none"/>
              </w:rPr>
            </w:pPr>
            <w:r>
              <w:rPr>
                <w:rFonts w:hint="eastAsia" w:ascii="宋体" w:hAnsi="宋体" w:eastAsia="宋体" w:cs="宋体"/>
                <w:color w:val="auto"/>
                <w:spacing w:val="15"/>
                <w:sz w:val="22"/>
                <w:highlight w:val="none"/>
              </w:rPr>
              <w:t>《</w:t>
            </w:r>
            <w:r>
              <w:rPr>
                <w:rFonts w:hint="eastAsia" w:ascii="宋体" w:hAnsi="宋体" w:eastAsia="宋体" w:cs="宋体"/>
                <w:color w:val="auto"/>
                <w:spacing w:val="14"/>
                <w:sz w:val="22"/>
                <w:highlight w:val="none"/>
              </w:rPr>
              <w:t>转速可控型房间空气调节器能</w:t>
            </w:r>
            <w:r>
              <w:rPr>
                <w:rFonts w:hint="eastAsia" w:ascii="宋体" w:hAnsi="宋体" w:eastAsia="宋体" w:cs="宋体"/>
                <w:color w:val="auto"/>
                <w:sz w:val="22"/>
                <w:highlight w:val="none"/>
              </w:rPr>
              <w:t xml:space="preserve"> </w:t>
            </w:r>
            <w:r>
              <w:rPr>
                <w:rFonts w:hint="eastAsia" w:ascii="宋体" w:hAnsi="宋体" w:eastAsia="宋体" w:cs="宋体"/>
                <w:color w:val="auto"/>
                <w:spacing w:val="-29"/>
                <w:sz w:val="22"/>
                <w:highlight w:val="none"/>
              </w:rPr>
              <w:t>效</w:t>
            </w:r>
            <w:r>
              <w:rPr>
                <w:rFonts w:hint="eastAsia" w:ascii="宋体" w:hAnsi="宋体" w:eastAsia="宋体" w:cs="宋体"/>
                <w:color w:val="auto"/>
                <w:spacing w:val="-18"/>
                <w:sz w:val="22"/>
                <w:highlight w:val="none"/>
              </w:rPr>
              <w:t xml:space="preserve"> 限 定 值 及 能 效 等 级 》  ( GB</w:t>
            </w:r>
            <w:r>
              <w:rPr>
                <w:rFonts w:hint="eastAsia" w:ascii="宋体" w:hAnsi="宋体" w:eastAsia="宋体" w:cs="宋体"/>
                <w:color w:val="auto"/>
                <w:sz w:val="22"/>
                <w:highlight w:val="none"/>
              </w:rPr>
              <w:t xml:space="preserve"> </w:t>
            </w:r>
            <w:r>
              <w:rPr>
                <w:rFonts w:hint="eastAsia" w:ascii="宋体" w:hAnsi="宋体" w:eastAsia="宋体" w:cs="宋体"/>
                <w:color w:val="auto"/>
                <w:spacing w:val="1"/>
                <w:sz w:val="22"/>
                <w:highlight w:val="none"/>
              </w:rPr>
              <w:t>21455-2013</w:t>
            </w:r>
            <w:r>
              <w:rPr>
                <w:rFonts w:hint="eastAsia" w:ascii="宋体" w:hAnsi="宋体" w:eastAsia="宋体" w:cs="宋体"/>
                <w:color w:val="auto"/>
                <w:sz w:val="22"/>
                <w:highlight w:val="none"/>
              </w:rPr>
              <w:t xml:space="preserve">) ，待 2019 年修订发 </w:t>
            </w:r>
            <w:r>
              <w:rPr>
                <w:rFonts w:hint="eastAsia" w:ascii="宋体" w:hAnsi="宋体" w:eastAsia="宋体" w:cs="宋体"/>
                <w:color w:val="auto"/>
                <w:spacing w:val="1"/>
                <w:sz w:val="22"/>
                <w:highlight w:val="none"/>
              </w:rPr>
              <w:t>布后，按《房间空气调</w:t>
            </w:r>
            <w:r>
              <w:rPr>
                <w:rFonts w:hint="eastAsia" w:ascii="宋体" w:hAnsi="宋体" w:eastAsia="宋体" w:cs="宋体"/>
                <w:color w:val="auto"/>
                <w:sz w:val="22"/>
                <w:highlight w:val="none"/>
              </w:rPr>
              <w:t xml:space="preserve">节器能效限 </w:t>
            </w:r>
            <w:r>
              <w:rPr>
                <w:rFonts w:hint="eastAsia" w:ascii="宋体" w:hAnsi="宋体" w:eastAsia="宋体" w:cs="宋体"/>
                <w:color w:val="auto"/>
                <w:spacing w:val="1"/>
                <w:sz w:val="22"/>
                <w:highlight w:val="none"/>
              </w:rPr>
              <w:t>定值及</w:t>
            </w:r>
            <w:r>
              <w:rPr>
                <w:rFonts w:hint="eastAsia" w:ascii="宋体" w:hAnsi="宋体" w:eastAsia="宋体" w:cs="宋体"/>
                <w:color w:val="auto"/>
                <w:sz w:val="22"/>
                <w:highlight w:val="none"/>
              </w:rPr>
              <w:t xml:space="preserve">能效等级》(GB21455-2019) </w:t>
            </w:r>
            <w:r>
              <w:rPr>
                <w:rFonts w:hint="eastAsia" w:ascii="宋体" w:hAnsi="宋体" w:eastAsia="宋体" w:cs="宋体"/>
                <w:color w:val="auto"/>
                <w:spacing w:val="1"/>
                <w:sz w:val="22"/>
                <w:highlight w:val="none"/>
              </w:rPr>
              <w:t>实</w:t>
            </w:r>
            <w:r>
              <w:rPr>
                <w:rFonts w:hint="eastAsia" w:ascii="宋体" w:hAnsi="宋体" w:eastAsia="宋体" w:cs="宋体"/>
                <w:color w:val="auto"/>
                <w:sz w:val="22"/>
                <w:highlight w:val="none"/>
              </w:rPr>
              <w:t>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2149" w:type="dxa"/>
            <w:vMerge w:val="continue"/>
            <w:tcBorders>
              <w:tl2br w:val="nil"/>
              <w:tr2bl w:val="nil"/>
            </w:tcBorders>
            <w:vAlign w:val="center"/>
          </w:tcPr>
          <w:p>
            <w:pPr>
              <w:spacing w:line="360" w:lineRule="exact"/>
              <w:ind w:firstLine="3"/>
              <w:rPr>
                <w:rFonts w:hint="eastAsia" w:ascii="宋体" w:hAnsi="宋体" w:eastAsia="宋体" w:cs="宋体"/>
                <w:color w:val="auto"/>
                <w:sz w:val="22"/>
                <w:highlight w:val="none"/>
              </w:rPr>
            </w:pPr>
          </w:p>
        </w:tc>
        <w:tc>
          <w:tcPr>
            <w:tcW w:w="1602" w:type="dxa"/>
            <w:tcBorders>
              <w:tl2br w:val="nil"/>
              <w:tr2bl w:val="nil"/>
            </w:tcBorders>
          </w:tcPr>
          <w:p>
            <w:pPr>
              <w:spacing w:line="360" w:lineRule="exact"/>
              <w:ind w:firstLine="10"/>
              <w:rPr>
                <w:rFonts w:hint="eastAsia" w:ascii="宋体" w:hAnsi="宋体" w:eastAsia="宋体" w:cs="宋体"/>
                <w:color w:val="auto"/>
                <w:sz w:val="22"/>
                <w:highlight w:val="none"/>
              </w:rPr>
            </w:pPr>
            <w:r>
              <w:rPr>
                <w:rFonts w:hint="eastAsia" w:ascii="宋体" w:hAnsi="宋体" w:eastAsia="宋体" w:cs="宋体"/>
                <w:color w:val="auto"/>
                <w:spacing w:val="17"/>
                <w:sz w:val="22"/>
                <w:highlight w:val="none"/>
              </w:rPr>
              <w:t>多</w:t>
            </w:r>
            <w:r>
              <w:rPr>
                <w:rFonts w:hint="eastAsia" w:ascii="宋体" w:hAnsi="宋体" w:eastAsia="宋体" w:cs="宋体"/>
                <w:color w:val="auto"/>
                <w:spacing w:val="14"/>
                <w:sz w:val="22"/>
                <w:highlight w:val="none"/>
              </w:rPr>
              <w:t>联式空调 (热泵)</w:t>
            </w:r>
            <w:r>
              <w:rPr>
                <w:rFonts w:hint="eastAsia" w:ascii="宋体" w:hAnsi="宋体" w:eastAsia="宋体" w:cs="宋体"/>
                <w:color w:val="auto"/>
                <w:sz w:val="22"/>
                <w:highlight w:val="none"/>
              </w:rPr>
              <w:t xml:space="preserve"> </w:t>
            </w:r>
            <w:r>
              <w:rPr>
                <w:rFonts w:hint="eastAsia" w:ascii="宋体" w:hAnsi="宋体" w:eastAsia="宋体" w:cs="宋体"/>
                <w:color w:val="auto"/>
                <w:spacing w:val="-2"/>
                <w:sz w:val="22"/>
                <w:highlight w:val="none"/>
              </w:rPr>
              <w:t xml:space="preserve">机 组  </w:t>
            </w:r>
            <w:r>
              <w:rPr>
                <w:rFonts w:hint="eastAsia" w:ascii="宋体" w:hAnsi="宋体" w:eastAsia="宋体" w:cs="宋体"/>
                <w:color w:val="auto"/>
                <w:spacing w:val="-1"/>
                <w:sz w:val="22"/>
                <w:highlight w:val="none"/>
              </w:rPr>
              <w:t>( 制 冷 量 ≤</w:t>
            </w:r>
            <w:r>
              <w:rPr>
                <w:rFonts w:hint="eastAsia" w:ascii="宋体" w:hAnsi="宋体" w:eastAsia="宋体" w:cs="宋体"/>
                <w:color w:val="auto"/>
                <w:sz w:val="22"/>
                <w:highlight w:val="none"/>
              </w:rPr>
              <w:t xml:space="preserve"> </w:t>
            </w:r>
            <w:r>
              <w:rPr>
                <w:rFonts w:hint="eastAsia" w:ascii="宋体" w:hAnsi="宋体" w:eastAsia="宋体" w:cs="宋体"/>
                <w:color w:val="auto"/>
                <w:spacing w:val="4"/>
                <w:sz w:val="22"/>
                <w:highlight w:val="none"/>
              </w:rPr>
              <w:t>14000</w:t>
            </w:r>
            <w:r>
              <w:rPr>
                <w:rFonts w:hint="eastAsia" w:ascii="宋体" w:hAnsi="宋体" w:eastAsia="宋体" w:cs="宋体"/>
                <w:color w:val="auto"/>
                <w:sz w:val="22"/>
                <w:highlight w:val="none"/>
              </w:rPr>
              <w:t>W</w:t>
            </w:r>
            <w:r>
              <w:rPr>
                <w:rFonts w:hint="eastAsia" w:ascii="宋体" w:hAnsi="宋体" w:eastAsia="宋体" w:cs="宋体"/>
                <w:color w:val="auto"/>
                <w:spacing w:val="4"/>
                <w:sz w:val="22"/>
                <w:highlight w:val="none"/>
              </w:rPr>
              <w:t>)</w:t>
            </w:r>
          </w:p>
        </w:tc>
        <w:tc>
          <w:tcPr>
            <w:tcW w:w="3814"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1"/>
                <w:sz w:val="22"/>
                <w:highlight w:val="none"/>
              </w:rPr>
              <w:t>《多联式空</w:t>
            </w:r>
            <w:r>
              <w:rPr>
                <w:rFonts w:hint="eastAsia" w:ascii="宋体" w:hAnsi="宋体" w:eastAsia="宋体" w:cs="宋体"/>
                <w:color w:val="auto"/>
                <w:sz w:val="22"/>
                <w:highlight w:val="none"/>
              </w:rPr>
              <w:t xml:space="preserve">调 (热泵) 机组能效限 </w:t>
            </w:r>
            <w:r>
              <w:rPr>
                <w:rFonts w:hint="eastAsia" w:ascii="宋体" w:hAnsi="宋体" w:eastAsia="宋体" w:cs="宋体"/>
                <w:color w:val="auto"/>
                <w:spacing w:val="-1"/>
                <w:sz w:val="22"/>
                <w:highlight w:val="none"/>
              </w:rPr>
              <w:t>定值</w:t>
            </w:r>
            <w:r>
              <w:rPr>
                <w:rFonts w:hint="eastAsia" w:ascii="宋体" w:hAnsi="宋体" w:eastAsia="宋体" w:cs="宋体"/>
                <w:color w:val="auto"/>
                <w:sz w:val="22"/>
                <w:highlight w:val="none"/>
              </w:rPr>
              <w:t>及能源效率等级》(GB 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2149"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1602" w:type="dxa"/>
            <w:tcBorders>
              <w:tl2br w:val="nil"/>
              <w:tr2bl w:val="nil"/>
            </w:tcBorders>
          </w:tcPr>
          <w:p>
            <w:pPr>
              <w:spacing w:line="360" w:lineRule="exact"/>
              <w:rPr>
                <w:rFonts w:hint="eastAsia" w:ascii="宋体" w:hAnsi="宋体" w:eastAsia="宋体" w:cs="宋体"/>
                <w:color w:val="auto"/>
                <w:sz w:val="22"/>
                <w:highlight w:val="none"/>
              </w:rPr>
            </w:pPr>
          </w:p>
          <w:p>
            <w:pPr>
              <w:spacing w:line="360" w:lineRule="exact"/>
              <w:ind w:hanging="33"/>
              <w:rPr>
                <w:rFonts w:hint="eastAsia" w:ascii="宋体" w:hAnsi="宋体" w:eastAsia="宋体" w:cs="宋体"/>
                <w:color w:val="auto"/>
                <w:sz w:val="22"/>
                <w:highlight w:val="none"/>
              </w:rPr>
            </w:pPr>
            <w:r>
              <w:rPr>
                <w:rFonts w:hint="eastAsia" w:ascii="宋体" w:hAnsi="宋体" w:eastAsia="宋体" w:cs="宋体"/>
                <w:color w:val="auto"/>
                <w:spacing w:val="-26"/>
                <w:sz w:val="22"/>
                <w:highlight w:val="none"/>
              </w:rPr>
              <w:t>单</w:t>
            </w:r>
            <w:r>
              <w:rPr>
                <w:rFonts w:hint="eastAsia" w:ascii="宋体" w:hAnsi="宋体" w:eastAsia="宋体" w:cs="宋体"/>
                <w:color w:val="auto"/>
                <w:spacing w:val="-20"/>
                <w:sz w:val="22"/>
                <w:highlight w:val="none"/>
              </w:rPr>
              <w:t xml:space="preserve"> 元 式 空 气 调 节 机</w:t>
            </w:r>
            <w:r>
              <w:rPr>
                <w:rFonts w:hint="eastAsia" w:ascii="宋体" w:hAnsi="宋体" w:eastAsia="宋体" w:cs="宋体"/>
                <w:color w:val="auto"/>
                <w:sz w:val="22"/>
                <w:highlight w:val="none"/>
              </w:rPr>
              <w:t xml:space="preserve"> </w:t>
            </w:r>
            <w:r>
              <w:rPr>
                <w:rFonts w:hint="eastAsia" w:ascii="宋体" w:hAnsi="宋体" w:eastAsia="宋体" w:cs="宋体"/>
                <w:color w:val="auto"/>
                <w:spacing w:val="6"/>
                <w:sz w:val="22"/>
                <w:highlight w:val="none"/>
              </w:rPr>
              <w:t>(制</w:t>
            </w:r>
            <w:r>
              <w:rPr>
                <w:rFonts w:hint="eastAsia" w:ascii="宋体" w:hAnsi="宋体" w:eastAsia="宋体" w:cs="宋体"/>
                <w:color w:val="auto"/>
                <w:spacing w:val="3"/>
                <w:sz w:val="22"/>
                <w:highlight w:val="none"/>
              </w:rPr>
              <w:t>冷量≤14000</w:t>
            </w:r>
            <w:r>
              <w:rPr>
                <w:rFonts w:hint="eastAsia" w:ascii="宋体" w:hAnsi="宋体" w:eastAsia="宋体" w:cs="宋体"/>
                <w:color w:val="auto"/>
                <w:sz w:val="22"/>
                <w:highlight w:val="none"/>
              </w:rPr>
              <w:t>W</w:t>
            </w:r>
            <w:r>
              <w:rPr>
                <w:rFonts w:hint="eastAsia" w:ascii="宋体" w:hAnsi="宋体" w:eastAsia="宋体" w:cs="宋体"/>
                <w:color w:val="auto"/>
                <w:spacing w:val="3"/>
                <w:sz w:val="22"/>
                <w:highlight w:val="none"/>
              </w:rPr>
              <w:t>)</w:t>
            </w:r>
          </w:p>
        </w:tc>
        <w:tc>
          <w:tcPr>
            <w:tcW w:w="3814" w:type="dxa"/>
            <w:tcBorders>
              <w:tl2br w:val="nil"/>
              <w:tr2bl w:val="nil"/>
            </w:tcBorders>
          </w:tcPr>
          <w:p>
            <w:pPr>
              <w:spacing w:line="360" w:lineRule="exact"/>
              <w:ind w:firstLine="6"/>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单元式空气调节机能效限定值</w:t>
            </w:r>
            <w:r>
              <w:rPr>
                <w:rFonts w:hint="eastAsia" w:ascii="宋体" w:hAnsi="宋体" w:eastAsia="宋体" w:cs="宋体"/>
                <w:color w:val="auto"/>
                <w:sz w:val="22"/>
                <w:highlight w:val="none"/>
              </w:rPr>
              <w:t xml:space="preserve"> </w:t>
            </w:r>
            <w:r>
              <w:rPr>
                <w:rFonts w:hint="eastAsia" w:ascii="宋体" w:hAnsi="宋体" w:eastAsia="宋体" w:cs="宋体"/>
                <w:color w:val="auto"/>
                <w:spacing w:val="8"/>
                <w:sz w:val="22"/>
                <w:highlight w:val="none"/>
              </w:rPr>
              <w:t>及能</w:t>
            </w:r>
            <w:r>
              <w:rPr>
                <w:rFonts w:hint="eastAsia" w:ascii="宋体" w:hAnsi="宋体" w:eastAsia="宋体" w:cs="宋体"/>
                <w:color w:val="auto"/>
                <w:spacing w:val="7"/>
                <w:sz w:val="22"/>
                <w:highlight w:val="none"/>
              </w:rPr>
              <w:t>源</w:t>
            </w:r>
            <w:r>
              <w:rPr>
                <w:rFonts w:hint="eastAsia" w:ascii="宋体" w:hAnsi="宋体" w:eastAsia="宋体" w:cs="宋体"/>
                <w:color w:val="auto"/>
                <w:spacing w:val="4"/>
                <w:sz w:val="22"/>
                <w:highlight w:val="none"/>
              </w:rPr>
              <w:t>效率等级》(</w:t>
            </w:r>
            <w:r>
              <w:rPr>
                <w:rFonts w:hint="eastAsia" w:ascii="宋体" w:hAnsi="宋体" w:eastAsia="宋体" w:cs="宋体"/>
                <w:color w:val="auto"/>
                <w:sz w:val="22"/>
                <w:highlight w:val="none"/>
              </w:rPr>
              <w:t>GB</w:t>
            </w:r>
            <w:r>
              <w:rPr>
                <w:rFonts w:hint="eastAsia" w:ascii="宋体" w:hAnsi="宋体" w:eastAsia="宋体" w:cs="宋体"/>
                <w:color w:val="auto"/>
                <w:spacing w:val="4"/>
                <w:sz w:val="22"/>
                <w:highlight w:val="none"/>
              </w:rPr>
              <w:t xml:space="preserve"> 19576)《风</w:t>
            </w:r>
            <w:r>
              <w:rPr>
                <w:rFonts w:hint="eastAsia" w:ascii="宋体" w:hAnsi="宋体" w:eastAsia="宋体" w:cs="宋体"/>
                <w:color w:val="auto"/>
                <w:sz w:val="22"/>
                <w:highlight w:val="none"/>
              </w:rPr>
              <w:t xml:space="preserve"> </w:t>
            </w:r>
            <w:r>
              <w:rPr>
                <w:rFonts w:hint="eastAsia" w:ascii="宋体" w:hAnsi="宋体" w:eastAsia="宋体" w:cs="宋体"/>
                <w:color w:val="auto"/>
                <w:spacing w:val="28"/>
                <w:sz w:val="22"/>
                <w:highlight w:val="none"/>
              </w:rPr>
              <w:t>管</w:t>
            </w:r>
            <w:r>
              <w:rPr>
                <w:rFonts w:hint="eastAsia" w:ascii="宋体" w:hAnsi="宋体" w:eastAsia="宋体" w:cs="宋体"/>
                <w:color w:val="auto"/>
                <w:spacing w:val="19"/>
                <w:sz w:val="22"/>
                <w:highlight w:val="none"/>
              </w:rPr>
              <w:t>送风式空调机组能效限定值及</w:t>
            </w:r>
            <w:r>
              <w:rPr>
                <w:rFonts w:hint="eastAsia" w:ascii="宋体" w:hAnsi="宋体" w:eastAsia="宋体" w:cs="宋体"/>
                <w:color w:val="auto"/>
                <w:sz w:val="22"/>
                <w:highlight w:val="none"/>
              </w:rPr>
              <w:t xml:space="preserve"> </w:t>
            </w:r>
            <w:r>
              <w:rPr>
                <w:rFonts w:hint="eastAsia" w:ascii="宋体" w:hAnsi="宋体" w:eastAsia="宋体" w:cs="宋体"/>
                <w:color w:val="auto"/>
                <w:spacing w:val="21"/>
                <w:sz w:val="22"/>
                <w:highlight w:val="none"/>
              </w:rPr>
              <w:t>能</w:t>
            </w:r>
            <w:r>
              <w:rPr>
                <w:rFonts w:hint="eastAsia" w:ascii="宋体" w:hAnsi="宋体" w:eastAsia="宋体" w:cs="宋体"/>
                <w:color w:val="auto"/>
                <w:spacing w:val="14"/>
                <w:sz w:val="22"/>
                <w:highlight w:val="none"/>
              </w:rPr>
              <w:t>效等级》(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2149" w:type="dxa"/>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w:t>
            </w:r>
            <w:r>
              <w:rPr>
                <w:rFonts w:hint="eastAsia" w:ascii="宋体" w:hAnsi="宋体" w:eastAsia="宋体" w:cs="宋体"/>
                <w:color w:val="auto"/>
                <w:spacing w:val="2"/>
                <w:sz w:val="22"/>
                <w:highlight w:val="none"/>
              </w:rPr>
              <w:t>061808 热水器</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9"/>
                <w:sz w:val="22"/>
                <w:highlight w:val="none"/>
              </w:rPr>
              <w:t>★</w:t>
            </w:r>
            <w:r>
              <w:rPr>
                <w:rFonts w:hint="eastAsia" w:ascii="宋体" w:hAnsi="宋体" w:eastAsia="宋体" w:cs="宋体"/>
                <w:color w:val="auto"/>
                <w:spacing w:val="7"/>
                <w:sz w:val="22"/>
                <w:highlight w:val="none"/>
              </w:rPr>
              <w:t>电热水器</w:t>
            </w:r>
          </w:p>
        </w:tc>
        <w:tc>
          <w:tcPr>
            <w:tcW w:w="3814" w:type="dxa"/>
            <w:tcBorders>
              <w:tl2br w:val="nil"/>
              <w:tr2bl w:val="nil"/>
            </w:tcBorders>
          </w:tcPr>
          <w:p>
            <w:pPr>
              <w:spacing w:line="360" w:lineRule="exact"/>
              <w:ind w:hanging="2"/>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储水式电热水器能效限定值及</w:t>
            </w:r>
            <w:r>
              <w:rPr>
                <w:rFonts w:hint="eastAsia" w:ascii="宋体" w:hAnsi="宋体" w:eastAsia="宋体" w:cs="宋体"/>
                <w:color w:val="auto"/>
                <w:sz w:val="22"/>
                <w:highlight w:val="none"/>
              </w:rPr>
              <w:t xml:space="preserve"> </w:t>
            </w:r>
            <w:r>
              <w:rPr>
                <w:rFonts w:hint="eastAsia" w:ascii="宋体" w:hAnsi="宋体" w:eastAsia="宋体" w:cs="宋体"/>
                <w:color w:val="auto"/>
                <w:spacing w:val="16"/>
                <w:sz w:val="22"/>
                <w:highlight w:val="none"/>
              </w:rPr>
              <w:t>能</w:t>
            </w:r>
            <w:r>
              <w:rPr>
                <w:rFonts w:hint="eastAsia" w:ascii="宋体" w:hAnsi="宋体" w:eastAsia="宋体" w:cs="宋体"/>
                <w:color w:val="auto"/>
                <w:spacing w:val="13"/>
                <w:sz w:val="22"/>
                <w:highlight w:val="none"/>
              </w:rPr>
              <w:t>效等级》(</w:t>
            </w:r>
            <w:r>
              <w:rPr>
                <w:rFonts w:hint="eastAsia" w:ascii="宋体" w:hAnsi="宋体" w:eastAsia="宋体" w:cs="宋体"/>
                <w:color w:val="auto"/>
                <w:sz w:val="22"/>
                <w:highlight w:val="none"/>
              </w:rPr>
              <w:t>GB</w:t>
            </w:r>
            <w:r>
              <w:rPr>
                <w:rFonts w:hint="eastAsia" w:ascii="宋体" w:hAnsi="宋体" w:eastAsia="宋体" w:cs="宋体"/>
                <w:color w:val="auto"/>
                <w:spacing w:val="13"/>
                <w:sz w:val="22"/>
                <w:highlight w:val="none"/>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1</w:t>
            </w:r>
            <w:r>
              <w:rPr>
                <w:rFonts w:hint="eastAsia" w:ascii="宋体" w:hAnsi="宋体" w:eastAsia="宋体" w:cs="宋体"/>
                <w:color w:val="auto"/>
                <w:spacing w:val="-6"/>
                <w:sz w:val="22"/>
                <w:highlight w:val="none"/>
              </w:rPr>
              <w:t>1</w:t>
            </w:r>
          </w:p>
        </w:tc>
        <w:tc>
          <w:tcPr>
            <w:tcW w:w="1166" w:type="dxa"/>
            <w:tcBorders>
              <w:tl2br w:val="nil"/>
              <w:tr2bl w:val="nil"/>
            </w:tcBorders>
            <w:vAlign w:val="center"/>
          </w:tcPr>
          <w:p>
            <w:pPr>
              <w:spacing w:line="360" w:lineRule="exact"/>
              <w:ind w:hanging="9"/>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w:t>
            </w:r>
            <w:r>
              <w:rPr>
                <w:rFonts w:hint="eastAsia" w:ascii="宋体" w:hAnsi="宋体" w:eastAsia="宋体" w:cs="宋体"/>
                <w:color w:val="auto"/>
                <w:sz w:val="22"/>
                <w:highlight w:val="none"/>
              </w:rPr>
              <w:t xml:space="preserve">619 照明 </w:t>
            </w:r>
            <w:r>
              <w:rPr>
                <w:rFonts w:hint="eastAsia" w:ascii="宋体" w:hAnsi="宋体" w:eastAsia="宋体" w:cs="宋体"/>
                <w:color w:val="auto"/>
                <w:spacing w:val="4"/>
                <w:sz w:val="22"/>
                <w:highlight w:val="none"/>
              </w:rPr>
              <w:t>设</w:t>
            </w:r>
            <w:r>
              <w:rPr>
                <w:rFonts w:hint="eastAsia" w:ascii="宋体" w:hAnsi="宋体" w:eastAsia="宋体" w:cs="宋体"/>
                <w:color w:val="auto"/>
                <w:spacing w:val="3"/>
                <w:sz w:val="22"/>
                <w:highlight w:val="none"/>
              </w:rPr>
              <w:t>备</w:t>
            </w:r>
          </w:p>
        </w:tc>
        <w:tc>
          <w:tcPr>
            <w:tcW w:w="2149" w:type="dxa"/>
            <w:tcBorders>
              <w:tl2br w:val="nil"/>
              <w:tr2bl w:val="nil"/>
            </w:tcBorders>
            <w:vAlign w:val="center"/>
          </w:tcPr>
          <w:p>
            <w:pPr>
              <w:spacing w:line="360" w:lineRule="exact"/>
              <w:ind w:hanging="2"/>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w:t>
            </w:r>
            <w:r>
              <w:rPr>
                <w:rFonts w:hint="eastAsia" w:ascii="宋体" w:hAnsi="宋体" w:eastAsia="宋体" w:cs="宋体"/>
                <w:color w:val="auto"/>
                <w:spacing w:val="5"/>
                <w:sz w:val="22"/>
                <w:highlight w:val="none"/>
              </w:rPr>
              <w:t>普通照 明用双端</w:t>
            </w:r>
            <w:r>
              <w:rPr>
                <w:rFonts w:hint="eastAsia" w:ascii="宋体" w:hAnsi="宋体" w:eastAsia="宋体" w:cs="宋体"/>
                <w:color w:val="auto"/>
                <w:sz w:val="22"/>
                <w:highlight w:val="none"/>
              </w:rPr>
              <w:t xml:space="preserve"> </w:t>
            </w:r>
            <w:r>
              <w:rPr>
                <w:rFonts w:hint="eastAsia" w:ascii="宋体" w:hAnsi="宋体" w:eastAsia="宋体" w:cs="宋体"/>
                <w:color w:val="auto"/>
                <w:spacing w:val="5"/>
                <w:sz w:val="22"/>
                <w:highlight w:val="none"/>
              </w:rPr>
              <w:t>荧光</w:t>
            </w:r>
            <w:r>
              <w:rPr>
                <w:rFonts w:hint="eastAsia" w:ascii="宋体" w:hAnsi="宋体" w:eastAsia="宋体" w:cs="宋体"/>
                <w:color w:val="auto"/>
                <w:spacing w:val="4"/>
                <w:sz w:val="22"/>
                <w:highlight w:val="none"/>
              </w:rPr>
              <w:t>灯</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tc>
        <w:tc>
          <w:tcPr>
            <w:tcW w:w="3814"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普通照明用双端荧光灯能效限</w:t>
            </w:r>
            <w:r>
              <w:rPr>
                <w:rFonts w:hint="eastAsia" w:ascii="宋体" w:hAnsi="宋体" w:eastAsia="宋体" w:cs="宋体"/>
                <w:color w:val="auto"/>
                <w:sz w:val="22"/>
                <w:highlight w:val="none"/>
              </w:rPr>
              <w:t xml:space="preserve"> </w:t>
            </w:r>
            <w:r>
              <w:rPr>
                <w:rFonts w:hint="eastAsia" w:ascii="宋体" w:hAnsi="宋体" w:eastAsia="宋体" w:cs="宋体"/>
                <w:color w:val="auto"/>
                <w:spacing w:val="18"/>
                <w:sz w:val="22"/>
                <w:highlight w:val="none"/>
              </w:rPr>
              <w:t>定</w:t>
            </w:r>
            <w:r>
              <w:rPr>
                <w:rFonts w:hint="eastAsia" w:ascii="宋体" w:hAnsi="宋体" w:eastAsia="宋体" w:cs="宋体"/>
                <w:color w:val="auto"/>
                <w:spacing w:val="13"/>
                <w:sz w:val="22"/>
                <w:highlight w:val="none"/>
              </w:rPr>
              <w:t>值及能效等级》(</w:t>
            </w:r>
            <w:r>
              <w:rPr>
                <w:rFonts w:hint="eastAsia" w:ascii="宋体" w:hAnsi="宋体" w:eastAsia="宋体" w:cs="宋体"/>
                <w:color w:val="auto"/>
                <w:sz w:val="22"/>
                <w:highlight w:val="none"/>
              </w:rPr>
              <w:t>GB</w:t>
            </w:r>
            <w:r>
              <w:rPr>
                <w:rFonts w:hint="eastAsia" w:ascii="宋体" w:hAnsi="宋体" w:eastAsia="宋体" w:cs="宋体"/>
                <w:color w:val="auto"/>
                <w:spacing w:val="13"/>
                <w:sz w:val="22"/>
                <w:highlight w:val="none"/>
              </w:rPr>
              <w:t xml:space="preserve"> 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1</w:t>
            </w:r>
            <w:r>
              <w:rPr>
                <w:rFonts w:hint="eastAsia" w:ascii="宋体" w:hAnsi="宋体" w:eastAsia="宋体" w:cs="宋体"/>
                <w:color w:val="auto"/>
                <w:spacing w:val="-6"/>
                <w:sz w:val="22"/>
                <w:highlight w:val="none"/>
              </w:rPr>
              <w:t>2</w:t>
            </w:r>
          </w:p>
        </w:tc>
        <w:tc>
          <w:tcPr>
            <w:tcW w:w="1166" w:type="dxa"/>
            <w:tcBorders>
              <w:tl2br w:val="nil"/>
              <w:tr2bl w:val="nil"/>
            </w:tcBorders>
            <w:vAlign w:val="center"/>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1"/>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020910</w:t>
            </w:r>
            <w:r>
              <w:rPr>
                <w:rFonts w:hint="eastAsia" w:ascii="宋体" w:hAnsi="宋体" w:eastAsia="宋体" w:cs="宋体"/>
                <w:color w:val="auto"/>
                <w:sz w:val="22"/>
                <w:highlight w:val="none"/>
              </w:rPr>
              <w:t xml:space="preserve"> 电 </w:t>
            </w:r>
            <w:r>
              <w:rPr>
                <w:rFonts w:hint="eastAsia" w:ascii="宋体" w:hAnsi="宋体" w:eastAsia="宋体" w:cs="宋体"/>
                <w:color w:val="auto"/>
                <w:spacing w:val="7"/>
                <w:sz w:val="22"/>
                <w:highlight w:val="none"/>
              </w:rPr>
              <w:t>视设</w:t>
            </w:r>
            <w:r>
              <w:rPr>
                <w:rFonts w:hint="eastAsia" w:ascii="宋体" w:hAnsi="宋体" w:eastAsia="宋体" w:cs="宋体"/>
                <w:color w:val="auto"/>
                <w:spacing w:val="6"/>
                <w:sz w:val="22"/>
                <w:highlight w:val="none"/>
              </w:rPr>
              <w:t>备</w:t>
            </w:r>
          </w:p>
        </w:tc>
        <w:tc>
          <w:tcPr>
            <w:tcW w:w="2149" w:type="dxa"/>
            <w:tcBorders>
              <w:tl2br w:val="nil"/>
              <w:tr2bl w:val="nil"/>
            </w:tcBorders>
            <w:vAlign w:val="center"/>
          </w:tcPr>
          <w:p>
            <w:pPr>
              <w:spacing w:line="360" w:lineRule="exact"/>
              <w:ind w:hanging="9"/>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5"/>
                <w:sz w:val="22"/>
                <w:highlight w:val="none"/>
              </w:rPr>
              <w:t>02091001 普通电</w:t>
            </w:r>
            <w:r>
              <w:rPr>
                <w:rFonts w:hint="eastAsia" w:ascii="宋体" w:hAnsi="宋体" w:eastAsia="宋体" w:cs="宋体"/>
                <w:color w:val="auto"/>
                <w:spacing w:val="4"/>
                <w:sz w:val="22"/>
                <w:highlight w:val="none"/>
              </w:rPr>
              <w:t>视</w:t>
            </w:r>
            <w:r>
              <w:rPr>
                <w:rFonts w:hint="eastAsia" w:ascii="宋体" w:hAnsi="宋体" w:eastAsia="宋体" w:cs="宋体"/>
                <w:color w:val="auto"/>
                <w:sz w:val="22"/>
                <w:highlight w:val="none"/>
              </w:rPr>
              <w:t xml:space="preserve"> </w:t>
            </w:r>
            <w:r>
              <w:rPr>
                <w:rFonts w:hint="eastAsia" w:ascii="宋体" w:hAnsi="宋体" w:eastAsia="宋体" w:cs="宋体"/>
                <w:color w:val="auto"/>
                <w:spacing w:val="6"/>
                <w:sz w:val="22"/>
                <w:highlight w:val="none"/>
              </w:rPr>
              <w:t>设备 (电视机</w:t>
            </w:r>
            <w:r>
              <w:rPr>
                <w:rFonts w:hint="eastAsia" w:ascii="宋体" w:hAnsi="宋体" w:eastAsia="宋体" w:cs="宋体"/>
                <w:color w:val="auto"/>
                <w:spacing w:val="4"/>
                <w:sz w:val="22"/>
                <w:highlight w:val="none"/>
              </w:rPr>
              <w:t>)</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tc>
        <w:tc>
          <w:tcPr>
            <w:tcW w:w="3814" w:type="dxa"/>
            <w:tcBorders>
              <w:tl2br w:val="nil"/>
              <w:tr2bl w:val="nil"/>
            </w:tcBorders>
          </w:tcPr>
          <w:p>
            <w:pPr>
              <w:spacing w:line="360" w:lineRule="exact"/>
              <w:ind w:firstLine="2"/>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平板电视能效限定值及能效等</w:t>
            </w:r>
            <w:r>
              <w:rPr>
                <w:rFonts w:hint="eastAsia" w:ascii="宋体" w:hAnsi="宋体" w:eastAsia="宋体" w:cs="宋体"/>
                <w:color w:val="auto"/>
                <w:sz w:val="22"/>
                <w:highlight w:val="none"/>
              </w:rPr>
              <w:t xml:space="preserve"> </w:t>
            </w:r>
            <w:r>
              <w:rPr>
                <w:rFonts w:hint="eastAsia" w:ascii="宋体" w:hAnsi="宋体" w:eastAsia="宋体" w:cs="宋体"/>
                <w:color w:val="auto"/>
                <w:spacing w:val="20"/>
                <w:sz w:val="22"/>
                <w:highlight w:val="none"/>
              </w:rPr>
              <w:t>级</w:t>
            </w:r>
            <w:r>
              <w:rPr>
                <w:rFonts w:hint="eastAsia" w:ascii="宋体" w:hAnsi="宋体" w:eastAsia="宋体" w:cs="宋体"/>
                <w:color w:val="auto"/>
                <w:spacing w:val="15"/>
                <w:sz w:val="22"/>
                <w:highlight w:val="none"/>
              </w:rPr>
              <w:t>》(</w:t>
            </w:r>
            <w:r>
              <w:rPr>
                <w:rFonts w:hint="eastAsia" w:ascii="宋体" w:hAnsi="宋体" w:eastAsia="宋体" w:cs="宋体"/>
                <w:color w:val="auto"/>
                <w:sz w:val="22"/>
                <w:highlight w:val="none"/>
              </w:rPr>
              <w:t>GB</w:t>
            </w:r>
            <w:r>
              <w:rPr>
                <w:rFonts w:hint="eastAsia" w:ascii="宋体" w:hAnsi="宋体" w:eastAsia="宋体" w:cs="宋体"/>
                <w:color w:val="auto"/>
                <w:spacing w:val="15"/>
                <w:sz w:val="22"/>
                <w:highlight w:val="none"/>
              </w:rPr>
              <w:t xml:space="preserve"> 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1</w:t>
            </w:r>
            <w:r>
              <w:rPr>
                <w:rFonts w:hint="eastAsia" w:ascii="宋体" w:hAnsi="宋体" w:eastAsia="宋体" w:cs="宋体"/>
                <w:color w:val="auto"/>
                <w:spacing w:val="-6"/>
                <w:sz w:val="22"/>
                <w:highlight w:val="none"/>
              </w:rPr>
              <w:t>3</w:t>
            </w:r>
          </w:p>
        </w:tc>
        <w:tc>
          <w:tcPr>
            <w:tcW w:w="1166" w:type="dxa"/>
            <w:tcBorders>
              <w:tl2br w:val="nil"/>
              <w:tr2bl w:val="nil"/>
            </w:tcBorders>
            <w:vAlign w:val="center"/>
          </w:tcPr>
          <w:p>
            <w:pPr>
              <w:spacing w:line="360" w:lineRule="exact"/>
              <w:ind w:firstLine="2"/>
              <w:rPr>
                <w:rFonts w:hint="eastAsia" w:ascii="宋体" w:hAnsi="宋体" w:eastAsia="宋体" w:cs="宋体"/>
                <w:color w:val="auto"/>
                <w:sz w:val="22"/>
                <w:highlight w:val="none"/>
              </w:rPr>
            </w:pPr>
            <w:r>
              <w:rPr>
                <w:rFonts w:hint="eastAsia" w:ascii="宋体" w:hAnsi="宋体" w:eastAsia="宋体" w:cs="宋体"/>
                <w:color w:val="auto"/>
                <w:spacing w:val="-1"/>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020911</w:t>
            </w:r>
            <w:r>
              <w:rPr>
                <w:rFonts w:hint="eastAsia" w:ascii="宋体" w:hAnsi="宋体" w:eastAsia="宋体" w:cs="宋体"/>
                <w:color w:val="auto"/>
                <w:sz w:val="22"/>
                <w:highlight w:val="none"/>
              </w:rPr>
              <w:t xml:space="preserve"> 视 </w:t>
            </w:r>
            <w:r>
              <w:rPr>
                <w:rFonts w:hint="eastAsia" w:ascii="宋体" w:hAnsi="宋体" w:eastAsia="宋体" w:cs="宋体"/>
                <w:color w:val="auto"/>
                <w:spacing w:val="7"/>
                <w:sz w:val="22"/>
                <w:highlight w:val="none"/>
              </w:rPr>
              <w:t>频</w:t>
            </w:r>
            <w:r>
              <w:rPr>
                <w:rFonts w:hint="eastAsia" w:ascii="宋体" w:hAnsi="宋体" w:eastAsia="宋体" w:cs="宋体"/>
                <w:color w:val="auto"/>
                <w:spacing w:val="6"/>
                <w:sz w:val="22"/>
                <w:highlight w:val="none"/>
              </w:rPr>
              <w:t>设备</w:t>
            </w:r>
          </w:p>
        </w:tc>
        <w:tc>
          <w:tcPr>
            <w:tcW w:w="2149" w:type="dxa"/>
            <w:tcBorders>
              <w:tl2br w:val="nil"/>
              <w:tr2bl w:val="nil"/>
            </w:tcBorders>
            <w:vAlign w:val="center"/>
          </w:tcPr>
          <w:p>
            <w:pPr>
              <w:spacing w:line="360" w:lineRule="exact"/>
              <w:ind w:hanging="9"/>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5"/>
                <w:sz w:val="22"/>
                <w:highlight w:val="none"/>
              </w:rPr>
              <w:t>02091107 视频监</w:t>
            </w:r>
            <w:r>
              <w:rPr>
                <w:rFonts w:hint="eastAsia" w:ascii="宋体" w:hAnsi="宋体" w:eastAsia="宋体" w:cs="宋体"/>
                <w:color w:val="auto"/>
                <w:spacing w:val="4"/>
                <w:sz w:val="22"/>
                <w:highlight w:val="none"/>
              </w:rPr>
              <w:t>控</w:t>
            </w:r>
            <w:r>
              <w:rPr>
                <w:rFonts w:hint="eastAsia" w:ascii="宋体" w:hAnsi="宋体" w:eastAsia="宋体" w:cs="宋体"/>
                <w:color w:val="auto"/>
                <w:sz w:val="22"/>
                <w:highlight w:val="none"/>
              </w:rPr>
              <w:t xml:space="preserve"> </w:t>
            </w:r>
            <w:r>
              <w:rPr>
                <w:rFonts w:hint="eastAsia" w:ascii="宋体" w:hAnsi="宋体" w:eastAsia="宋体" w:cs="宋体"/>
                <w:color w:val="auto"/>
                <w:spacing w:val="4"/>
                <w:sz w:val="22"/>
                <w:highlight w:val="none"/>
              </w:rPr>
              <w:t>设</w:t>
            </w:r>
            <w:r>
              <w:rPr>
                <w:rFonts w:hint="eastAsia" w:ascii="宋体" w:hAnsi="宋体" w:eastAsia="宋体" w:cs="宋体"/>
                <w:color w:val="auto"/>
                <w:spacing w:val="3"/>
                <w:sz w:val="22"/>
                <w:highlight w:val="none"/>
              </w:rPr>
              <w:t>备</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p>
            <w:pPr>
              <w:spacing w:line="360" w:lineRule="exact"/>
              <w:rPr>
                <w:rFonts w:hint="eastAsia" w:ascii="宋体" w:hAnsi="宋体" w:eastAsia="宋体" w:cs="宋体"/>
                <w:color w:val="auto"/>
                <w:sz w:val="22"/>
                <w:highlight w:val="none"/>
              </w:rPr>
            </w:pPr>
          </w:p>
          <w:p>
            <w:pPr>
              <w:spacing w:line="360" w:lineRule="exact"/>
              <w:rPr>
                <w:rFonts w:hint="eastAsia" w:ascii="宋体" w:hAnsi="宋体" w:eastAsia="宋体" w:cs="宋体"/>
                <w:color w:val="auto"/>
                <w:sz w:val="22"/>
                <w:highlight w:val="none"/>
              </w:rPr>
            </w:pPr>
          </w:p>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监</w:t>
            </w:r>
            <w:r>
              <w:rPr>
                <w:rFonts w:hint="eastAsia" w:ascii="宋体" w:hAnsi="宋体" w:eastAsia="宋体" w:cs="宋体"/>
                <w:color w:val="auto"/>
                <w:spacing w:val="6"/>
                <w:sz w:val="22"/>
                <w:highlight w:val="none"/>
              </w:rPr>
              <w:t>视器</w:t>
            </w:r>
          </w:p>
        </w:tc>
        <w:tc>
          <w:tcPr>
            <w:tcW w:w="3814" w:type="dxa"/>
            <w:tcBorders>
              <w:tl2br w:val="nil"/>
              <w:tr2bl w:val="nil"/>
            </w:tcBorders>
          </w:tcPr>
          <w:p>
            <w:pPr>
              <w:spacing w:line="360" w:lineRule="exact"/>
              <w:ind w:firstLine="23"/>
              <w:rPr>
                <w:rFonts w:hint="eastAsia" w:ascii="宋体" w:hAnsi="宋体" w:eastAsia="宋体" w:cs="宋体"/>
                <w:color w:val="auto"/>
                <w:sz w:val="22"/>
                <w:highlight w:val="none"/>
              </w:rPr>
            </w:pPr>
            <w:r>
              <w:rPr>
                <w:rFonts w:hint="eastAsia" w:ascii="宋体" w:hAnsi="宋体" w:eastAsia="宋体" w:cs="宋体"/>
                <w:color w:val="auto"/>
                <w:spacing w:val="18"/>
                <w:sz w:val="22"/>
                <w:highlight w:val="none"/>
              </w:rPr>
              <w:t>以射频信号为主要信号输入的监</w:t>
            </w:r>
            <w:r>
              <w:rPr>
                <w:rFonts w:hint="eastAsia" w:ascii="宋体" w:hAnsi="宋体" w:eastAsia="宋体" w:cs="宋体"/>
                <w:color w:val="auto"/>
                <w:sz w:val="22"/>
                <w:highlight w:val="none"/>
              </w:rPr>
              <w:t xml:space="preserve"> </w:t>
            </w:r>
            <w:r>
              <w:rPr>
                <w:rFonts w:hint="eastAsia" w:ascii="宋体" w:hAnsi="宋体" w:eastAsia="宋体" w:cs="宋体"/>
                <w:color w:val="auto"/>
                <w:spacing w:val="10"/>
                <w:sz w:val="22"/>
                <w:highlight w:val="none"/>
              </w:rPr>
              <w:t>视</w:t>
            </w:r>
            <w:r>
              <w:rPr>
                <w:rFonts w:hint="eastAsia" w:ascii="宋体" w:hAnsi="宋体" w:eastAsia="宋体" w:cs="宋体"/>
                <w:color w:val="auto"/>
                <w:spacing w:val="8"/>
                <w:sz w:val="22"/>
                <w:highlight w:val="none"/>
              </w:rPr>
              <w:t>器</w:t>
            </w:r>
            <w:r>
              <w:rPr>
                <w:rFonts w:hint="eastAsia" w:ascii="宋体" w:hAnsi="宋体" w:eastAsia="宋体" w:cs="宋体"/>
                <w:color w:val="auto"/>
                <w:spacing w:val="5"/>
                <w:sz w:val="22"/>
                <w:highlight w:val="none"/>
              </w:rPr>
              <w:t>应符合《平板电视能效限定值</w:t>
            </w:r>
            <w:r>
              <w:rPr>
                <w:rFonts w:hint="eastAsia" w:ascii="宋体" w:hAnsi="宋体" w:eastAsia="宋体" w:cs="宋体"/>
                <w:color w:val="auto"/>
                <w:spacing w:val="14"/>
                <w:sz w:val="22"/>
                <w:highlight w:val="none"/>
              </w:rPr>
              <w:t>及</w:t>
            </w:r>
            <w:r>
              <w:rPr>
                <w:rFonts w:hint="eastAsia" w:ascii="宋体" w:hAnsi="宋体" w:eastAsia="宋体" w:cs="宋体"/>
                <w:color w:val="auto"/>
                <w:spacing w:val="13"/>
                <w:sz w:val="22"/>
                <w:highlight w:val="none"/>
              </w:rPr>
              <w:t>能效等级》(</w:t>
            </w:r>
            <w:r>
              <w:rPr>
                <w:rFonts w:hint="eastAsia" w:ascii="宋体" w:hAnsi="宋体" w:eastAsia="宋体" w:cs="宋体"/>
                <w:color w:val="auto"/>
                <w:sz w:val="22"/>
                <w:highlight w:val="none"/>
              </w:rPr>
              <w:t>GB</w:t>
            </w:r>
            <w:r>
              <w:rPr>
                <w:rFonts w:hint="eastAsia" w:ascii="宋体" w:hAnsi="宋体" w:eastAsia="宋体" w:cs="宋体"/>
                <w:color w:val="auto"/>
                <w:spacing w:val="13"/>
                <w:sz w:val="22"/>
                <w:highlight w:val="none"/>
              </w:rPr>
              <w:t xml:space="preserve"> 24850) ，</w:t>
            </w:r>
          </w:p>
          <w:p>
            <w:pPr>
              <w:spacing w:line="360" w:lineRule="exact"/>
              <w:ind w:firstLine="23"/>
              <w:rPr>
                <w:rFonts w:hint="eastAsia" w:ascii="宋体" w:hAnsi="宋体" w:eastAsia="宋体" w:cs="宋体"/>
                <w:color w:val="auto"/>
                <w:sz w:val="22"/>
                <w:highlight w:val="none"/>
              </w:rPr>
            </w:pPr>
            <w:r>
              <w:rPr>
                <w:rFonts w:hint="eastAsia" w:ascii="宋体" w:hAnsi="宋体" w:eastAsia="宋体" w:cs="宋体"/>
                <w:color w:val="auto"/>
                <w:spacing w:val="18"/>
                <w:sz w:val="22"/>
                <w:highlight w:val="none"/>
              </w:rPr>
              <w:t>以数字信号为主要信号输入的监</w:t>
            </w:r>
            <w:r>
              <w:rPr>
                <w:rFonts w:hint="eastAsia" w:ascii="宋体" w:hAnsi="宋体" w:eastAsia="宋体" w:cs="宋体"/>
                <w:color w:val="auto"/>
                <w:sz w:val="22"/>
                <w:highlight w:val="none"/>
              </w:rPr>
              <w:t xml:space="preserve"> </w:t>
            </w:r>
            <w:r>
              <w:rPr>
                <w:rFonts w:hint="eastAsia" w:ascii="宋体" w:hAnsi="宋体" w:eastAsia="宋体" w:cs="宋体"/>
                <w:color w:val="auto"/>
                <w:spacing w:val="10"/>
                <w:sz w:val="22"/>
                <w:highlight w:val="none"/>
              </w:rPr>
              <w:t>视</w:t>
            </w:r>
            <w:r>
              <w:rPr>
                <w:rFonts w:hint="eastAsia" w:ascii="宋体" w:hAnsi="宋体" w:eastAsia="宋体" w:cs="宋体"/>
                <w:color w:val="auto"/>
                <w:spacing w:val="8"/>
                <w:sz w:val="22"/>
                <w:highlight w:val="none"/>
              </w:rPr>
              <w:t>器</w:t>
            </w:r>
            <w:r>
              <w:rPr>
                <w:rFonts w:hint="eastAsia" w:ascii="宋体" w:hAnsi="宋体" w:eastAsia="宋体" w:cs="宋体"/>
                <w:color w:val="auto"/>
                <w:spacing w:val="5"/>
                <w:sz w:val="22"/>
                <w:highlight w:val="none"/>
              </w:rPr>
              <w:t>应符合《计算机显示器能效限</w:t>
            </w:r>
            <w:r>
              <w:rPr>
                <w:rFonts w:hint="eastAsia" w:ascii="宋体" w:hAnsi="宋体" w:eastAsia="宋体" w:cs="宋体"/>
                <w:color w:val="auto"/>
                <w:spacing w:val="23"/>
                <w:sz w:val="22"/>
                <w:highlight w:val="none"/>
              </w:rPr>
              <w:t>定</w:t>
            </w:r>
            <w:r>
              <w:rPr>
                <w:rFonts w:hint="eastAsia" w:ascii="宋体" w:hAnsi="宋体" w:eastAsia="宋体" w:cs="宋体"/>
                <w:color w:val="auto"/>
                <w:spacing w:val="13"/>
                <w:sz w:val="22"/>
                <w:highlight w:val="none"/>
              </w:rPr>
              <w:t>值及能效等级》(</w:t>
            </w:r>
            <w:r>
              <w:rPr>
                <w:rFonts w:hint="eastAsia" w:ascii="宋体" w:hAnsi="宋体" w:eastAsia="宋体" w:cs="宋体"/>
                <w:color w:val="auto"/>
                <w:sz w:val="22"/>
                <w:highlight w:val="none"/>
              </w:rPr>
              <w:t>GB</w:t>
            </w:r>
            <w:r>
              <w:rPr>
                <w:rFonts w:hint="eastAsia" w:ascii="宋体" w:hAnsi="宋体" w:eastAsia="宋体" w:cs="宋体"/>
                <w:color w:val="auto"/>
                <w:spacing w:val="13"/>
                <w:sz w:val="22"/>
                <w:highlight w:val="none"/>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restart"/>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1</w:t>
            </w:r>
            <w:r>
              <w:rPr>
                <w:rFonts w:hint="eastAsia" w:ascii="宋体" w:hAnsi="宋体" w:eastAsia="宋体" w:cs="宋体"/>
                <w:color w:val="auto"/>
                <w:spacing w:val="-6"/>
                <w:sz w:val="22"/>
                <w:highlight w:val="none"/>
              </w:rPr>
              <w:t>5</w:t>
            </w:r>
          </w:p>
        </w:tc>
        <w:tc>
          <w:tcPr>
            <w:tcW w:w="1166" w:type="dxa"/>
            <w:vMerge w:val="restart"/>
            <w:tcBorders>
              <w:tl2br w:val="nil"/>
              <w:tr2bl w:val="nil"/>
            </w:tcBorders>
            <w:vAlign w:val="center"/>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1"/>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060805</w:t>
            </w:r>
            <w:r>
              <w:rPr>
                <w:rFonts w:hint="eastAsia" w:ascii="宋体" w:hAnsi="宋体" w:eastAsia="宋体" w:cs="宋体"/>
                <w:color w:val="auto"/>
                <w:sz w:val="22"/>
                <w:highlight w:val="none"/>
              </w:rPr>
              <w:t xml:space="preserve"> 便 </w:t>
            </w:r>
            <w:r>
              <w:rPr>
                <w:rFonts w:hint="eastAsia" w:ascii="宋体" w:hAnsi="宋体" w:eastAsia="宋体" w:cs="宋体"/>
                <w:color w:val="auto"/>
                <w:spacing w:val="1"/>
                <w:sz w:val="22"/>
                <w:highlight w:val="none"/>
              </w:rPr>
              <w:t>器</w:t>
            </w:r>
          </w:p>
        </w:tc>
        <w:tc>
          <w:tcPr>
            <w:tcW w:w="2149" w:type="dxa"/>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坐</w:t>
            </w:r>
            <w:r>
              <w:rPr>
                <w:rFonts w:hint="eastAsia" w:ascii="宋体" w:hAnsi="宋体" w:eastAsia="宋体" w:cs="宋体"/>
                <w:color w:val="auto"/>
                <w:spacing w:val="6"/>
                <w:sz w:val="22"/>
                <w:highlight w:val="none"/>
              </w:rPr>
              <w:t>便器</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tc>
        <w:tc>
          <w:tcPr>
            <w:tcW w:w="3814" w:type="dxa"/>
            <w:tcBorders>
              <w:tl2br w:val="nil"/>
              <w:tr2bl w:val="nil"/>
            </w:tcBorders>
          </w:tcPr>
          <w:p>
            <w:pPr>
              <w:spacing w:line="360" w:lineRule="exact"/>
              <w:ind w:hanging="4"/>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《坐便器水效限定值及水效等级》</w:t>
            </w:r>
            <w:r>
              <w:rPr>
                <w:rFonts w:hint="eastAsia" w:ascii="宋体" w:hAnsi="宋体" w:eastAsia="宋体" w:cs="宋体"/>
                <w:color w:val="auto"/>
                <w:sz w:val="22"/>
                <w:highlight w:val="none"/>
              </w:rPr>
              <w:t xml:space="preserve"> </w:t>
            </w:r>
            <w:r>
              <w:rPr>
                <w:rFonts w:hint="eastAsia" w:ascii="宋体" w:hAnsi="宋体" w:eastAsia="宋体" w:cs="宋体"/>
                <w:color w:val="auto"/>
                <w:spacing w:val="15"/>
                <w:sz w:val="22"/>
                <w:highlight w:val="none"/>
              </w:rPr>
              <w:t>(</w:t>
            </w:r>
            <w:r>
              <w:rPr>
                <w:rFonts w:hint="eastAsia" w:ascii="宋体" w:hAnsi="宋体" w:eastAsia="宋体" w:cs="宋体"/>
                <w:color w:val="auto"/>
                <w:sz w:val="22"/>
                <w:highlight w:val="none"/>
              </w:rPr>
              <w:t>GB</w:t>
            </w:r>
            <w:r>
              <w:rPr>
                <w:rFonts w:hint="eastAsia" w:ascii="宋体" w:hAnsi="宋体" w:eastAsia="宋体" w:cs="宋体"/>
                <w:color w:val="auto"/>
                <w:spacing w:val="15"/>
                <w:sz w:val="22"/>
                <w:highlight w:val="none"/>
              </w:rPr>
              <w:t xml:space="preserve"> 25502</w:t>
            </w:r>
            <w:r>
              <w:rPr>
                <w:rFonts w:hint="eastAsia" w:ascii="宋体" w:hAnsi="宋体" w:eastAsia="宋体" w:cs="宋体"/>
                <w:color w:val="auto"/>
                <w:spacing w:val="13"/>
                <w:sz w:val="22"/>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2149" w:type="dxa"/>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蹲便</w:t>
            </w:r>
            <w:r>
              <w:rPr>
                <w:rFonts w:hint="eastAsia" w:ascii="宋体" w:hAnsi="宋体" w:eastAsia="宋体" w:cs="宋体"/>
                <w:color w:val="auto"/>
                <w:spacing w:val="6"/>
                <w:sz w:val="22"/>
                <w:highlight w:val="none"/>
              </w:rPr>
              <w:t>器</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tc>
        <w:tc>
          <w:tcPr>
            <w:tcW w:w="3814"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蹲便器用水效率限定值及用水</w:t>
            </w:r>
            <w:r>
              <w:rPr>
                <w:rFonts w:hint="eastAsia" w:ascii="宋体" w:hAnsi="宋体" w:eastAsia="宋体" w:cs="宋体"/>
                <w:color w:val="auto"/>
                <w:sz w:val="22"/>
                <w:highlight w:val="none"/>
              </w:rPr>
              <w:t xml:space="preserve"> </w:t>
            </w:r>
            <w:r>
              <w:rPr>
                <w:rFonts w:hint="eastAsia" w:ascii="宋体" w:hAnsi="宋体" w:eastAsia="宋体" w:cs="宋体"/>
                <w:color w:val="auto"/>
                <w:spacing w:val="16"/>
                <w:sz w:val="22"/>
                <w:highlight w:val="none"/>
              </w:rPr>
              <w:t>效</w:t>
            </w:r>
            <w:r>
              <w:rPr>
                <w:rFonts w:hint="eastAsia" w:ascii="宋体" w:hAnsi="宋体" w:eastAsia="宋体" w:cs="宋体"/>
                <w:color w:val="auto"/>
                <w:spacing w:val="14"/>
                <w:sz w:val="22"/>
                <w:highlight w:val="none"/>
              </w:rPr>
              <w:t>率等级》(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2149" w:type="dxa"/>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5"/>
                <w:sz w:val="22"/>
                <w:highlight w:val="none"/>
              </w:rPr>
              <w:t>小便</w:t>
            </w:r>
            <w:r>
              <w:rPr>
                <w:rFonts w:hint="eastAsia" w:ascii="宋体" w:hAnsi="宋体" w:eastAsia="宋体" w:cs="宋体"/>
                <w:color w:val="auto"/>
                <w:spacing w:val="4"/>
                <w:sz w:val="22"/>
                <w:highlight w:val="none"/>
              </w:rPr>
              <w:t>器</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tc>
        <w:tc>
          <w:tcPr>
            <w:tcW w:w="3814"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小便器用水效率限定值及用水</w:t>
            </w:r>
            <w:r>
              <w:rPr>
                <w:rFonts w:hint="eastAsia" w:ascii="宋体" w:hAnsi="宋体" w:eastAsia="宋体" w:cs="宋体"/>
                <w:color w:val="auto"/>
                <w:sz w:val="22"/>
                <w:highlight w:val="none"/>
              </w:rPr>
              <w:t xml:space="preserve"> </w:t>
            </w:r>
            <w:r>
              <w:rPr>
                <w:rFonts w:hint="eastAsia" w:ascii="宋体" w:hAnsi="宋体" w:eastAsia="宋体" w:cs="宋体"/>
                <w:color w:val="auto"/>
                <w:spacing w:val="16"/>
                <w:sz w:val="22"/>
                <w:highlight w:val="none"/>
              </w:rPr>
              <w:t>效</w:t>
            </w:r>
            <w:r>
              <w:rPr>
                <w:rFonts w:hint="eastAsia" w:ascii="宋体" w:hAnsi="宋体" w:eastAsia="宋体" w:cs="宋体"/>
                <w:color w:val="auto"/>
                <w:spacing w:val="14"/>
                <w:sz w:val="22"/>
                <w:highlight w:val="none"/>
              </w:rPr>
              <w:t>率等级》(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28377)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1</w:t>
            </w:r>
            <w:r>
              <w:rPr>
                <w:rFonts w:hint="eastAsia" w:ascii="宋体" w:hAnsi="宋体" w:eastAsia="宋体" w:cs="宋体"/>
                <w:color w:val="auto"/>
                <w:spacing w:val="-6"/>
                <w:sz w:val="22"/>
                <w:highlight w:val="none"/>
              </w:rPr>
              <w:t>6</w:t>
            </w:r>
          </w:p>
        </w:tc>
        <w:tc>
          <w:tcPr>
            <w:tcW w:w="1166" w:type="dxa"/>
            <w:tcBorders>
              <w:tl2br w:val="nil"/>
              <w:tr2bl w:val="nil"/>
            </w:tcBorders>
          </w:tcPr>
          <w:p>
            <w:pPr>
              <w:spacing w:line="360" w:lineRule="exact"/>
              <w:ind w:hanging="4"/>
              <w:rPr>
                <w:rFonts w:hint="eastAsia" w:ascii="宋体" w:hAnsi="宋体" w:eastAsia="宋体" w:cs="宋体"/>
                <w:color w:val="auto"/>
                <w:sz w:val="22"/>
                <w:highlight w:val="none"/>
              </w:rPr>
            </w:pPr>
            <w:r>
              <w:rPr>
                <w:rFonts w:hint="eastAsia" w:ascii="宋体" w:hAnsi="宋体" w:eastAsia="宋体" w:cs="宋体"/>
                <w:color w:val="auto"/>
                <w:spacing w:val="-1"/>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060806</w:t>
            </w:r>
            <w:r>
              <w:rPr>
                <w:rFonts w:hint="eastAsia" w:ascii="宋体" w:hAnsi="宋体" w:eastAsia="宋体" w:cs="宋体"/>
                <w:color w:val="auto"/>
                <w:sz w:val="22"/>
                <w:highlight w:val="none"/>
              </w:rPr>
              <w:t xml:space="preserve"> 水嘴</w:t>
            </w:r>
          </w:p>
        </w:tc>
        <w:tc>
          <w:tcPr>
            <w:tcW w:w="2149" w:type="dxa"/>
            <w:tcBorders>
              <w:tl2br w:val="nil"/>
              <w:tr2bl w:val="nil"/>
            </w:tcBorders>
          </w:tcPr>
          <w:p>
            <w:pPr>
              <w:spacing w:line="360" w:lineRule="exact"/>
              <w:rPr>
                <w:rFonts w:hint="eastAsia" w:ascii="宋体" w:hAnsi="宋体" w:eastAsia="宋体" w:cs="宋体"/>
                <w:color w:val="auto"/>
                <w:sz w:val="22"/>
                <w:highlight w:val="none"/>
              </w:rPr>
            </w:pPr>
          </w:p>
        </w:tc>
        <w:tc>
          <w:tcPr>
            <w:tcW w:w="1602" w:type="dxa"/>
            <w:tcBorders>
              <w:tl2br w:val="nil"/>
              <w:tr2bl w:val="nil"/>
            </w:tcBorders>
          </w:tcPr>
          <w:p>
            <w:pPr>
              <w:spacing w:line="360" w:lineRule="exact"/>
              <w:rPr>
                <w:rFonts w:hint="eastAsia" w:ascii="宋体" w:hAnsi="宋体" w:eastAsia="宋体" w:cs="宋体"/>
                <w:color w:val="auto"/>
                <w:sz w:val="22"/>
                <w:highlight w:val="none"/>
              </w:rPr>
            </w:pPr>
          </w:p>
        </w:tc>
        <w:tc>
          <w:tcPr>
            <w:tcW w:w="3814" w:type="dxa"/>
            <w:tcBorders>
              <w:tl2br w:val="nil"/>
              <w:tr2bl w:val="nil"/>
            </w:tcBorders>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水嘴用水效率限定值及用水效</w:t>
            </w:r>
            <w:r>
              <w:rPr>
                <w:rFonts w:hint="eastAsia" w:ascii="宋体" w:hAnsi="宋体" w:eastAsia="宋体" w:cs="宋体"/>
                <w:color w:val="auto"/>
                <w:sz w:val="22"/>
                <w:highlight w:val="none"/>
              </w:rPr>
              <w:t xml:space="preserve"> </w:t>
            </w:r>
            <w:r>
              <w:rPr>
                <w:rFonts w:hint="eastAsia" w:ascii="宋体" w:hAnsi="宋体" w:eastAsia="宋体" w:cs="宋体"/>
                <w:color w:val="auto"/>
                <w:spacing w:val="23"/>
                <w:sz w:val="22"/>
                <w:highlight w:val="none"/>
              </w:rPr>
              <w:t>率</w:t>
            </w:r>
            <w:r>
              <w:rPr>
                <w:rFonts w:hint="eastAsia" w:ascii="宋体" w:hAnsi="宋体" w:eastAsia="宋体" w:cs="宋体"/>
                <w:color w:val="auto"/>
                <w:spacing w:val="14"/>
                <w:sz w:val="22"/>
                <w:highlight w:val="none"/>
              </w:rPr>
              <w:t>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25501)</w:t>
            </w:r>
          </w:p>
        </w:tc>
      </w:tr>
    </w:tbl>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注：</w:t>
      </w:r>
    </w:p>
    <w:p>
      <w:pPr>
        <w:numPr>
          <w:ilvl w:val="0"/>
          <w:numId w:val="4"/>
        </w:numPr>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节能产品认证应依据相关国家标准的最新版本，依据国家标准中二级能效（水效）指标。 </w:t>
      </w:r>
    </w:p>
    <w:p>
      <w:pPr>
        <w:numPr>
          <w:ilvl w:val="0"/>
          <w:numId w:val="4"/>
        </w:numPr>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以“★”标注的为政府强制采购产品。</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7.2.2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8" w:name="_Hlk107568539"/>
      <w:r>
        <w:rPr>
          <w:rFonts w:hint="eastAsia" w:ascii="宋体" w:hAnsi="宋体" w:eastAsia="宋体" w:cs="宋体"/>
          <w:color w:val="auto"/>
          <w:sz w:val="22"/>
          <w:highlight w:val="none"/>
        </w:rPr>
        <w:t>鼓励采购单位优先采购秸秆环保板材等资源综合利用产品。鼓励采购单位优先采购绿色物流配送服务、提供新能源交通工具的租赁服务。</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7.2.3 鼓励供应商在参加政府采购过程中开展绿色设计、选择绿色材料、打造绿色制造工艺、开展绿色运输、做好废弃产品回收处理，实现产品全周期的绿色环保。</w:t>
      </w:r>
      <w:bookmarkEnd w:id="8"/>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7.3支持中小企业发展</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7.3.1中小企业，是指在中华人民共和国境内依法设立，依据国务院批准的中小企业划分标准确定的中型企业、小型企业和微型企业，但与大企业的负责人为同一人，或者与大企业存在直接控股、管理关系的除外。</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符合中小企业划分标准的个体工商户，在政府采购活动中视同中小企业。</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bCs/>
          <w:color w:val="auto"/>
          <w:sz w:val="22"/>
          <w:highlight w:val="none"/>
        </w:rPr>
        <w:t>7.3.2</w:t>
      </w:r>
      <w:r>
        <w:rPr>
          <w:rFonts w:hint="eastAsia" w:ascii="宋体" w:hAnsi="宋体" w:eastAsia="宋体" w:cs="宋体"/>
          <w:color w:val="auto"/>
          <w:kern w:val="0"/>
          <w:sz w:val="22"/>
          <w:highlight w:val="none"/>
        </w:rPr>
        <w:t>在政府采购活动中，投标人提供的货物、工程或者服务符合下列情形的，享受中小企业扶持政策：</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7.3.2.1在货物采购项目中，货物由中小企业制造，即货物由中小企业生产且使用该中小企业商号或者注册商标；</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7.3.2.2在工程采购项目中，工程由中小企业承建，即工程施工单位为中小企业；</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7.3.2.3在服务采购项目中，服务由中小企业承接，即提供服务的人员为中小企业依照《中华人民共和国劳动合同法》订立劳动合同的从业人员。</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在货物采购项目中，投标人提供的货物既有中小企业制造货物，也有大型企业制造货物的，不享受中小企业扶持政策。</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以联合体形式参加政府采购活动，联合体各方均为中小企业的，联合体视同中小企业。其中，联合体各方均为小微企业的，联合体视同小微企业。</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7.3.3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7.3.4符合《关于促进残疾人就业政府采购政策的通知》（财库〔2017〕141号）规定的条件并提供《残疾人福利性单位声明函》（附件）的残疾人福利性单位视同小型、微型企业；</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7.3.5符合《关于政府采购支持监狱企业发展有关问题的通知》（财库[2014]68号）规定的监狱企业并提供由省级以上监狱管理局、戒毒管理局（含新疆生产建设兵团）出具的属于监狱企业证明文件的，视同为小型、微型企业。</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7.3.7中小企业享受扶持政策获得政府采购合同的，小微企业不得将合同分包给大中型企业，中型企业不得将合同分包给大型企业。</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7.4</w:t>
      </w:r>
      <w:r>
        <w:rPr>
          <w:rFonts w:hint="eastAsia" w:ascii="宋体" w:hAnsi="宋体" w:eastAsia="宋体" w:cs="宋体"/>
          <w:bCs/>
          <w:color w:val="auto"/>
          <w:sz w:val="22"/>
          <w:highlight w:val="none"/>
        </w:rPr>
        <w:t>支持创新发展</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7.4.1采购人优先采购被认定为首台套产品和“制造精品”的自主创新产品。</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7.4.2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7.5平等对待内外资企业和符合条件的破产重整企业</w:t>
      </w:r>
    </w:p>
    <w:p>
      <w:pPr>
        <w:snapToGrid w:val="0"/>
        <w:spacing w:line="360" w:lineRule="exact"/>
        <w:ind w:firstLine="442" w:firstLineChars="201"/>
        <w:rPr>
          <w:rFonts w:hint="eastAsia" w:ascii="宋体" w:hAnsi="宋体" w:eastAsia="宋体" w:cs="宋体"/>
          <w:color w:val="auto"/>
          <w:highlight w:val="none"/>
        </w:rPr>
      </w:pPr>
      <w:r>
        <w:rPr>
          <w:rFonts w:hint="eastAsia" w:ascii="宋体" w:hAnsi="宋体" w:eastAsia="宋体" w:cs="宋体"/>
          <w:color w:val="auto"/>
          <w:sz w:val="22"/>
          <w:highlight w:val="none"/>
        </w:rPr>
        <w:t>平等对待内外资企业和符合条件的破产重整企业，切实保障企业公平竞争，平等维护企业的合法利益。</w:t>
      </w:r>
    </w:p>
    <w:p>
      <w:pPr>
        <w:spacing w:line="400" w:lineRule="exact"/>
        <w:ind w:firstLine="522" w:firstLineChars="200"/>
        <w:jc w:val="center"/>
        <w:outlineLvl w:val="1"/>
        <w:rPr>
          <w:rFonts w:hint="eastAsia" w:ascii="宋体" w:hAnsi="宋体" w:eastAsia="宋体" w:cs="宋体"/>
          <w:b/>
          <w:color w:val="auto"/>
          <w:sz w:val="26"/>
          <w:highlight w:val="none"/>
        </w:rPr>
      </w:pPr>
      <w:bookmarkStart w:id="9" w:name="_Toc26092"/>
      <w:r>
        <w:rPr>
          <w:rFonts w:hint="eastAsia" w:ascii="宋体" w:hAnsi="宋体" w:eastAsia="宋体" w:cs="宋体"/>
          <w:b/>
          <w:color w:val="auto"/>
          <w:sz w:val="26"/>
          <w:highlight w:val="none"/>
        </w:rPr>
        <w:t>二、招标文件</w:t>
      </w:r>
      <w:bookmarkEnd w:id="9"/>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1.招标文件由招标文件目录所列内容及相关资料组成。</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2.质疑</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2.1投标人认为招标文件、采购过程、中标或者成交结果使自己的权益受到损害的，可以在知道或者应知其权益受到损害之日起7个工作日内，以书面形式向采购人、采购代理机构提出质疑。逾期提出的，采购组织机构将不予受理、答复。</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2.2投标人提出质疑应当提交质疑函和必要的证明材料，质疑函范本请到“浙江政府采购网下载专区”下载，质疑函应当包括下列内容：</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（一）投标人的姓名或者名称、地址、邮编、联系人及联系方式；</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（二）质疑项目的名称、编号；</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（三）具体、明确的质疑事项和与质疑事项相关的请求；</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（四）事实依据；</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（五）必要的法律依据；</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（六）提出质疑的日期。</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投标人为自然人的，应当由本人签字；投标人为法人或者其他组织的，应当由法定代表人、主要负责人，或者其授权代表签字或者盖章，并加盖电子签章。</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2.3提出质疑的投标人应当是参与本项目招标活动的投标人。</w:t>
      </w:r>
      <w:r>
        <w:rPr>
          <w:rFonts w:hint="eastAsia" w:ascii="宋体" w:hAnsi="宋体" w:eastAsia="宋体" w:cs="宋体"/>
          <w:b/>
          <w:bCs/>
          <w:color w:val="auto"/>
          <w:spacing w:val="6"/>
          <w:sz w:val="22"/>
          <w:highlight w:val="none"/>
        </w:rPr>
        <w:t>投标人在法定质疑期内一次性提出针对同一采购程序环节的质疑。</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2.4根据《政府采购质疑和投诉办法》第三十七条的规定，投诉人在全国范围12个月内三次以上投诉查无实据的，由财政部门列入不良行为记录名单。</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投诉人有下列行为之一的，属于虚假、恶意投诉，由财政部门列入不良行为记录名单，禁止其1至3年内参加政府采购活动：</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（一）捏造事实；</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（二）提供虚假材料；</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（三）以非法手段取得证明材料。证据来源的合法性存在明显疑问，投诉人无法证明其取得方式合法的，视为以非法手段取得证明材料。</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3.投诉</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质疑投标人对采购人、采购代理机构的答复不满意或者采购人、采购代理机构未在规定的时间内作出答复的，可以在答复期满后十五个工作日内向同级政府采购监督部门投诉。投诉书范本请到“浙江政府采购网下载专区”下载。</w:t>
      </w:r>
    </w:p>
    <w:p>
      <w:pPr>
        <w:adjustRightInd w:val="0"/>
        <w:spacing w:line="400" w:lineRule="exact"/>
        <w:ind w:firstLine="440" w:firstLineChars="200"/>
        <w:rPr>
          <w:rFonts w:hint="eastAsia" w:ascii="宋体" w:hAnsi="宋体" w:eastAsia="宋体" w:cs="宋体"/>
          <w:color w:val="auto"/>
          <w:highlight w:val="none"/>
        </w:rPr>
      </w:pPr>
      <w:r>
        <w:rPr>
          <w:rFonts w:hint="eastAsia" w:ascii="宋体" w:hAnsi="宋体" w:eastAsia="宋体" w:cs="宋体"/>
          <w:color w:val="auto"/>
          <w:sz w:val="22"/>
          <w:highlight w:val="none"/>
        </w:rPr>
        <w:t>以联合体形式参加政府采购活动的，其质疑或投诉应当由组成联合体的所有供应商共同提出。</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4.澄清或修改</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4.1采购人或者采购代理机构可以对已发出的招标文件进行必要的澄清或者修改。澄清或者修改</w:t>
      </w:r>
      <w:r>
        <w:rPr>
          <w:rStyle w:val="35"/>
          <w:rFonts w:hint="eastAsia" w:ascii="宋体" w:hAnsi="宋体" w:eastAsia="宋体" w:cs="宋体"/>
          <w:b w:val="0"/>
          <w:color w:val="auto"/>
          <w:sz w:val="22"/>
          <w:highlight w:val="none"/>
        </w:rPr>
        <w:t>在浙江政府采购网上发布公告，同时政采云系统会向所有已按招标文件规定方式获取招标文件的潜在投标人发送更正提醒信息，潜在投标人请自行到浙江省政府采购网上下载公告附件，潜在投标人在收到该公告附件后应于1日内，以书面或传真形式（签署意见并加盖公章）向采购代理机构回函给予确认。过期未回复的，视为默认接受。</w:t>
      </w:r>
      <w:r>
        <w:rPr>
          <w:rFonts w:hint="eastAsia" w:ascii="宋体" w:hAnsi="宋体" w:eastAsia="宋体" w:cs="宋体"/>
          <w:color w:val="auto"/>
          <w:spacing w:val="6"/>
          <w:sz w:val="22"/>
          <w:highlight w:val="none"/>
        </w:rPr>
        <w:t>澄清或者修改的内容为招标文件的组成部分。</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4.2澄清或者修改的内容可能影响投标文件编制的，采购人或者采购代理机构应当在投标文件提交截止时间至少15日前，以书面形式（</w:t>
      </w:r>
      <w:r>
        <w:rPr>
          <w:rStyle w:val="35"/>
          <w:rFonts w:hint="eastAsia" w:ascii="宋体" w:hAnsi="宋体" w:eastAsia="宋体" w:cs="宋体"/>
          <w:b w:val="0"/>
          <w:color w:val="auto"/>
          <w:sz w:val="22"/>
          <w:highlight w:val="none"/>
        </w:rPr>
        <w:t>在浙江政府采购网上发布公告</w:t>
      </w:r>
      <w:r>
        <w:rPr>
          <w:rFonts w:hint="eastAsia" w:ascii="宋体" w:hAnsi="宋体" w:eastAsia="宋体" w:cs="宋体"/>
          <w:color w:val="auto"/>
          <w:spacing w:val="6"/>
          <w:sz w:val="22"/>
          <w:highlight w:val="none"/>
        </w:rPr>
        <w:t>）通知所有获取招标文件的潜在投标人；不足15日的，采购人或者采购代理机构应当顺延提交投标文件的截止时间。</w:t>
      </w:r>
    </w:p>
    <w:p>
      <w:pPr>
        <w:spacing w:line="400" w:lineRule="exact"/>
        <w:ind w:firstLine="522" w:firstLineChars="200"/>
        <w:jc w:val="center"/>
        <w:rPr>
          <w:rFonts w:hint="eastAsia" w:ascii="宋体" w:hAnsi="宋体" w:eastAsia="宋体" w:cs="宋体"/>
          <w:b/>
          <w:color w:val="auto"/>
          <w:sz w:val="26"/>
          <w:highlight w:val="none"/>
        </w:rPr>
      </w:pPr>
    </w:p>
    <w:p>
      <w:pPr>
        <w:spacing w:line="400" w:lineRule="exact"/>
        <w:ind w:firstLine="522" w:firstLineChars="200"/>
        <w:jc w:val="center"/>
        <w:outlineLvl w:val="1"/>
        <w:rPr>
          <w:rFonts w:hint="eastAsia" w:ascii="宋体" w:hAnsi="宋体" w:eastAsia="宋体" w:cs="宋体"/>
          <w:color w:val="auto"/>
          <w:sz w:val="22"/>
          <w:highlight w:val="none"/>
        </w:rPr>
      </w:pPr>
      <w:bookmarkStart w:id="10" w:name="_Toc14601"/>
      <w:r>
        <w:rPr>
          <w:rFonts w:hint="eastAsia" w:ascii="宋体" w:hAnsi="宋体" w:eastAsia="宋体" w:cs="宋体"/>
          <w:b/>
          <w:color w:val="auto"/>
          <w:sz w:val="26"/>
          <w:highlight w:val="none"/>
        </w:rPr>
        <w:t>三、投标文件的编制</w:t>
      </w:r>
      <w:bookmarkEnd w:id="10"/>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1.投标文件的形式</w:t>
      </w:r>
    </w:p>
    <w:p>
      <w:pPr>
        <w:pStyle w:val="15"/>
        <w:snapToGrid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投标文件分为电子投标文件以及备份投标文件，备份文件为以介质存储的数据电文形式的备份投标文件。</w:t>
      </w:r>
    </w:p>
    <w:p>
      <w:pPr>
        <w:spacing w:line="360" w:lineRule="exact"/>
        <w:ind w:firstLine="442" w:firstLineChars="200"/>
        <w:rPr>
          <w:rFonts w:hint="eastAsia" w:ascii="宋体" w:hAnsi="宋体" w:eastAsia="宋体" w:cs="宋体"/>
          <w:color w:val="auto"/>
          <w:kern w:val="0"/>
          <w:sz w:val="22"/>
          <w:highlight w:val="none"/>
        </w:rPr>
      </w:pPr>
      <w:r>
        <w:rPr>
          <w:rFonts w:hint="eastAsia" w:ascii="宋体" w:hAnsi="宋体" w:eastAsia="宋体" w:cs="宋体"/>
          <w:b/>
          <w:bCs/>
          <w:color w:val="auto"/>
          <w:sz w:val="22"/>
          <w:highlight w:val="none"/>
        </w:rPr>
        <w:t>1.1电子投标文件，通过政采云电子交易客户端（政采云投标客户端）完成投标文件编制后生成并加密的数据电文形式的投标文件（文件扩展名为.jmbs）</w:t>
      </w:r>
      <w:r>
        <w:rPr>
          <w:rFonts w:hint="eastAsia" w:ascii="宋体" w:hAnsi="宋体" w:eastAsia="宋体" w:cs="宋体"/>
          <w:color w:val="auto"/>
          <w:kern w:val="0"/>
          <w:sz w:val="22"/>
          <w:highlight w:val="none"/>
        </w:rPr>
        <w:t>。</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1.2以介质存储的数据电文形式的备份投标文件：</w:t>
      </w:r>
      <w:r>
        <w:rPr>
          <w:rStyle w:val="35"/>
          <w:rFonts w:hint="eastAsia" w:ascii="宋体" w:hAnsi="宋体" w:eastAsia="宋体" w:cs="宋体"/>
          <w:bCs/>
          <w:color w:val="auto"/>
          <w:sz w:val="22"/>
          <w:highlight w:val="none"/>
        </w:rPr>
        <w:t>与“电子投标文件”同时生成的数据电文形式的备份投标文件</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zh-CN"/>
        </w:rPr>
        <w:t>文件扩展名为</w:t>
      </w:r>
      <w:r>
        <w:rPr>
          <w:rFonts w:hint="eastAsia" w:ascii="宋体" w:hAnsi="宋体" w:eastAsia="宋体" w:cs="宋体"/>
          <w:b/>
          <w:bCs/>
          <w:color w:val="auto"/>
          <w:sz w:val="22"/>
          <w:highlight w:val="none"/>
        </w:rPr>
        <w:t>.bfbs)，</w:t>
      </w:r>
      <w:r>
        <w:rPr>
          <w:rFonts w:hint="eastAsia" w:ascii="宋体" w:hAnsi="宋体" w:eastAsia="宋体" w:cs="宋体"/>
          <w:b/>
          <w:bCs/>
          <w:color w:val="auto"/>
          <w:sz w:val="22"/>
          <w:highlight w:val="none"/>
          <w:lang w:val="zh-CN"/>
        </w:rPr>
        <w:t>投标文件提交截止时间前以电子邮件方式传送至浙江乐诚工程咨询有限公司电子邮箱</w:t>
      </w:r>
      <w:r>
        <w:rPr>
          <w:rFonts w:hint="eastAsia" w:ascii="宋体" w:hAnsi="宋体" w:eastAsia="宋体" w:cs="宋体"/>
          <w:b/>
          <w:bCs/>
          <w:color w:val="auto"/>
          <w:sz w:val="22"/>
          <w:highlight w:val="none"/>
          <w:lang w:eastAsia="zh-CN"/>
        </w:rPr>
        <w:t>2812799762</w:t>
      </w:r>
      <w:r>
        <w:rPr>
          <w:rFonts w:hint="eastAsia" w:ascii="宋体" w:hAnsi="宋体" w:eastAsia="宋体" w:cs="宋体"/>
          <w:b/>
          <w:bCs/>
          <w:color w:val="auto"/>
          <w:sz w:val="22"/>
          <w:highlight w:val="none"/>
        </w:rPr>
        <w:t>@qq.com，</w:t>
      </w:r>
      <w:r>
        <w:rPr>
          <w:rFonts w:hint="eastAsia" w:ascii="宋体" w:hAnsi="宋体" w:eastAsia="宋体" w:cs="宋体"/>
          <w:b/>
          <w:bCs/>
          <w:color w:val="auto"/>
          <w:sz w:val="22"/>
          <w:highlight w:val="none"/>
          <w:lang w:val="zh-CN"/>
        </w:rPr>
        <w:t>递交</w:t>
      </w:r>
      <w:r>
        <w:rPr>
          <w:rFonts w:hint="eastAsia" w:ascii="宋体" w:hAnsi="宋体" w:eastAsia="宋体" w:cs="宋体"/>
          <w:b/>
          <w:bCs/>
          <w:color w:val="auto"/>
          <w:sz w:val="22"/>
          <w:highlight w:val="none"/>
        </w:rPr>
        <w:t>1</w:t>
      </w:r>
      <w:r>
        <w:rPr>
          <w:rFonts w:hint="eastAsia" w:ascii="宋体" w:hAnsi="宋体" w:eastAsia="宋体" w:cs="宋体"/>
          <w:b/>
          <w:bCs/>
          <w:color w:val="auto"/>
          <w:sz w:val="22"/>
          <w:highlight w:val="none"/>
          <w:lang w:val="zh-CN"/>
        </w:rPr>
        <w:t>份</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zh-CN"/>
        </w:rPr>
        <w:t>传送的备份投标文件需打包压缩并加密</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zh-CN"/>
        </w:rPr>
        <w:t>加密密码由投标人自行保管</w:t>
      </w:r>
      <w:r>
        <w:rPr>
          <w:rFonts w:hint="eastAsia" w:ascii="宋体" w:hAnsi="宋体" w:eastAsia="宋体" w:cs="宋体"/>
          <w:b/>
          <w:bCs/>
          <w:color w:val="auto"/>
          <w:sz w:val="22"/>
          <w:highlight w:val="none"/>
        </w:rPr>
        <w:t>，未加密导致投标信息泄露的风险由投标人自行承担</w:t>
      </w:r>
      <w:r>
        <w:rPr>
          <w:rStyle w:val="35"/>
          <w:rFonts w:hint="eastAsia" w:ascii="宋体" w:hAnsi="宋体" w:eastAsia="宋体" w:cs="宋体"/>
          <w:bCs/>
          <w:color w:val="auto"/>
          <w:sz w:val="22"/>
          <w:highlight w:val="none"/>
        </w:rPr>
        <w:t>。</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1.3 投标文件的效力</w:t>
      </w:r>
    </w:p>
    <w:p>
      <w:pPr>
        <w:spacing w:line="360" w:lineRule="exact"/>
        <w:ind w:firstLine="442" w:firstLineChars="200"/>
        <w:rPr>
          <w:rFonts w:hint="eastAsia" w:ascii="宋体" w:hAnsi="宋体" w:eastAsia="宋体" w:cs="宋体"/>
          <w:b/>
          <w:bCs/>
          <w:color w:val="auto"/>
          <w:sz w:val="22"/>
          <w:highlight w:val="none"/>
          <w:lang w:val="zh-CN"/>
        </w:rPr>
      </w:pPr>
      <w:r>
        <w:rPr>
          <w:rFonts w:hint="eastAsia" w:ascii="宋体" w:hAnsi="宋体" w:eastAsia="宋体" w:cs="宋体"/>
          <w:b/>
          <w:bCs/>
          <w:color w:val="auto"/>
          <w:sz w:val="22"/>
          <w:highlight w:val="none"/>
          <w:lang w:val="zh-CN"/>
        </w:rPr>
        <w:t>投标文件的启用，按先后顺位分别为电子投标文件、以介质存储的数据电文形式的备份投标文件。在下一顺位的投标文件启用时，前一顺位的投标文件自动失效。</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2.投标人应认真阅读招标文件中所有事项格式、条款和技术规范等。</w:t>
      </w:r>
      <w:r>
        <w:rPr>
          <w:rFonts w:hint="eastAsia" w:ascii="宋体" w:hAnsi="宋体" w:eastAsia="宋体" w:cs="宋体"/>
          <w:bCs/>
          <w:color w:val="auto"/>
          <w:sz w:val="22"/>
          <w:highlight w:val="none"/>
          <w:u w:val="single"/>
        </w:rPr>
        <w:t>▲</w:t>
      </w:r>
      <w:r>
        <w:rPr>
          <w:rFonts w:hint="eastAsia" w:ascii="宋体" w:hAnsi="宋体" w:eastAsia="宋体" w:cs="宋体"/>
          <w:color w:val="auto"/>
          <w:sz w:val="22"/>
          <w:highlight w:val="none"/>
          <w:u w:val="single"/>
        </w:rPr>
        <w:t>投标人没有对招标文件各个方面做出实质性响应，导致投标被拒绝的风险由投标人自行承担。</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3.</w:t>
      </w:r>
      <w:r>
        <w:rPr>
          <w:rFonts w:hint="eastAsia" w:ascii="宋体" w:hAnsi="宋体" w:eastAsia="宋体" w:cs="宋体"/>
          <w:bCs/>
          <w:color w:val="auto"/>
          <w:sz w:val="22"/>
          <w:highlight w:val="none"/>
          <w:u w:val="single"/>
        </w:rPr>
        <w:t>▲</w:t>
      </w:r>
      <w:r>
        <w:rPr>
          <w:rFonts w:hint="eastAsia" w:ascii="宋体" w:hAnsi="宋体" w:eastAsia="宋体" w:cs="宋体"/>
          <w:color w:val="auto"/>
          <w:sz w:val="22"/>
          <w:highlight w:val="none"/>
          <w:u w:val="single"/>
        </w:rPr>
        <w:t>投标人应保证所提供文件资料的真实性，所有文件资料必须是针对本次投标的。如发现投标人提供了虚假文件资料，其投标将被拒绝，并自行承担相应的法律责任。</w:t>
      </w:r>
    </w:p>
    <w:p>
      <w:pPr>
        <w:spacing w:line="360" w:lineRule="exact"/>
        <w:ind w:firstLine="440" w:firstLineChars="200"/>
        <w:rPr>
          <w:rFonts w:hint="eastAsia" w:ascii="宋体" w:hAnsi="宋体" w:eastAsia="宋体" w:cs="宋体"/>
          <w:b/>
          <w:color w:val="auto"/>
          <w:sz w:val="22"/>
          <w:highlight w:val="none"/>
        </w:rPr>
      </w:pPr>
      <w:r>
        <w:rPr>
          <w:rFonts w:hint="eastAsia" w:ascii="宋体" w:hAnsi="宋体" w:eastAsia="宋体" w:cs="宋体"/>
          <w:color w:val="auto"/>
          <w:sz w:val="22"/>
          <w:highlight w:val="none"/>
        </w:rPr>
        <w:t>4.投标文件的构成：</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投标文件由“报价文件”、“资格文件”和“商务和技术文件”三部分组成，以下的“附件”，指的是第四部分 附件中的表格，其中电子投标文件中所须加盖电子签章部分均采用CA签章。</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（1）报价文件</w:t>
      </w:r>
    </w:p>
    <w:p>
      <w:pPr>
        <w:tabs>
          <w:tab w:val="left" w:pos="535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1）开标一览表；（见附件1）</w:t>
      </w:r>
    </w:p>
    <w:p>
      <w:pPr>
        <w:tabs>
          <w:tab w:val="left" w:pos="535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2）投标报价明细表；（见附件2）</w:t>
      </w:r>
    </w:p>
    <w:p>
      <w:pPr>
        <w:tabs>
          <w:tab w:val="left" w:pos="535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）中小企业声明函（货物）</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（见</w:t>
      </w:r>
      <w:r>
        <w:rPr>
          <w:rFonts w:hint="eastAsia" w:ascii="宋体" w:hAnsi="宋体" w:eastAsia="宋体" w:cs="宋体"/>
          <w:color w:val="auto"/>
          <w:sz w:val="22"/>
          <w:highlight w:val="none"/>
          <w:lang w:eastAsia="zh-CN"/>
        </w:rPr>
        <w:t>附件3</w:t>
      </w:r>
      <w:r>
        <w:rPr>
          <w:rFonts w:hint="eastAsia" w:ascii="宋体" w:hAnsi="宋体" w:eastAsia="宋体" w:cs="宋体"/>
          <w:color w:val="auto"/>
          <w:sz w:val="22"/>
          <w:highlight w:val="none"/>
        </w:rPr>
        <w:t>）</w:t>
      </w:r>
    </w:p>
    <w:p>
      <w:pPr>
        <w:tabs>
          <w:tab w:val="left" w:pos="535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投标报价部分其他内容（如有，格式自拟）。</w:t>
      </w:r>
    </w:p>
    <w:p>
      <w:pPr>
        <w:tabs>
          <w:tab w:val="left" w:pos="5355"/>
        </w:tabs>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（2）资格文件：（见</w:t>
      </w:r>
      <w:r>
        <w:rPr>
          <w:rFonts w:hint="eastAsia" w:ascii="宋体" w:hAnsi="宋体" w:eastAsia="宋体" w:cs="宋体"/>
          <w:b/>
          <w:bCs/>
          <w:color w:val="auto"/>
          <w:sz w:val="22"/>
          <w:highlight w:val="none"/>
          <w:lang w:eastAsia="zh-CN"/>
        </w:rPr>
        <w:t>附件4</w:t>
      </w:r>
      <w:r>
        <w:rPr>
          <w:rFonts w:hint="eastAsia" w:ascii="宋体" w:hAnsi="宋体" w:eastAsia="宋体" w:cs="宋体"/>
          <w:b/>
          <w:bCs/>
          <w:color w:val="auto"/>
          <w:sz w:val="22"/>
          <w:highlight w:val="none"/>
        </w:rPr>
        <w:t>）</w:t>
      </w:r>
    </w:p>
    <w:p>
      <w:pPr>
        <w:autoSpaceDE w:val="0"/>
        <w:autoSpaceDN w:val="0"/>
        <w:adjustRightInd w:val="0"/>
        <w:snapToGrid w:val="0"/>
        <w:spacing w:line="360" w:lineRule="exact"/>
        <w:ind w:firstLine="416" w:firstLineChars="200"/>
        <w:textAlignment w:val="bottom"/>
        <w:rPr>
          <w:rFonts w:hint="eastAsia" w:ascii="宋体" w:hAnsi="宋体" w:eastAsia="宋体" w:cs="宋体"/>
          <w:b/>
          <w:bCs/>
          <w:snapToGrid w:val="0"/>
          <w:color w:val="auto"/>
          <w:sz w:val="22"/>
          <w:highlight w:val="none"/>
        </w:rPr>
      </w:pPr>
      <w:r>
        <w:rPr>
          <w:rFonts w:hint="eastAsia" w:ascii="宋体" w:hAnsi="宋体" w:eastAsia="宋体" w:cs="宋体"/>
          <w:color w:val="auto"/>
          <w:spacing w:val="-6"/>
          <w:sz w:val="22"/>
          <w:highlight w:val="none"/>
        </w:rPr>
        <w:t>1）</w:t>
      </w:r>
      <w:r>
        <w:rPr>
          <w:rFonts w:hint="eastAsia" w:ascii="宋体" w:hAnsi="宋体" w:eastAsia="宋体" w:cs="宋体"/>
          <w:snapToGrid w:val="0"/>
          <w:color w:val="auto"/>
          <w:sz w:val="22"/>
          <w:highlight w:val="none"/>
        </w:rPr>
        <w:t>有效的法人或者其他组织的营业执照等证明文件，自然人的身份证明（五选一）</w:t>
      </w:r>
      <w:r>
        <w:rPr>
          <w:rFonts w:hint="eastAsia" w:ascii="宋体" w:hAnsi="宋体" w:eastAsia="宋体" w:cs="宋体"/>
          <w:color w:val="auto"/>
          <w:sz w:val="22"/>
          <w:highlight w:val="none"/>
        </w:rPr>
        <w:t>（见</w:t>
      </w:r>
      <w:r>
        <w:rPr>
          <w:rFonts w:hint="eastAsia" w:ascii="宋体" w:hAnsi="宋体" w:eastAsia="宋体" w:cs="宋体"/>
          <w:color w:val="auto"/>
          <w:sz w:val="22"/>
          <w:highlight w:val="none"/>
          <w:lang w:eastAsia="zh-CN"/>
        </w:rPr>
        <w:t>附件4</w:t>
      </w:r>
      <w:r>
        <w:rPr>
          <w:rFonts w:hint="eastAsia" w:ascii="宋体" w:hAnsi="宋体" w:eastAsia="宋体" w:cs="宋体"/>
          <w:color w:val="auto"/>
          <w:sz w:val="22"/>
          <w:highlight w:val="none"/>
        </w:rPr>
        <w:t>-1）</w:t>
      </w:r>
      <w:r>
        <w:rPr>
          <w:rFonts w:hint="eastAsia" w:ascii="宋体" w:hAnsi="宋体" w:eastAsia="宋体" w:cs="宋体"/>
          <w:b/>
          <w:bCs/>
          <w:color w:val="auto"/>
          <w:sz w:val="22"/>
          <w:highlight w:val="none"/>
          <w:u w:val="single"/>
        </w:rPr>
        <w:t>（如为联合体投标，则联合体各方均须提供）</w:t>
      </w:r>
    </w:p>
    <w:p>
      <w:pPr>
        <w:tabs>
          <w:tab w:val="left" w:pos="0"/>
        </w:tabs>
        <w:adjustRightInd w:val="0"/>
        <w:snapToGrid w:val="0"/>
        <w:spacing w:line="360" w:lineRule="exact"/>
        <w:ind w:firstLine="416" w:firstLineChars="200"/>
        <w:rPr>
          <w:rFonts w:hint="eastAsia" w:ascii="宋体" w:hAnsi="宋体" w:eastAsia="宋体" w:cs="宋体"/>
          <w:color w:val="auto"/>
          <w:highlight w:val="none"/>
        </w:rPr>
      </w:pPr>
      <w:r>
        <w:rPr>
          <w:rFonts w:hint="eastAsia" w:ascii="宋体" w:hAnsi="宋体" w:eastAsia="宋体" w:cs="宋体"/>
          <w:color w:val="auto"/>
          <w:spacing w:val="-6"/>
          <w:sz w:val="22"/>
          <w:highlight w:val="none"/>
        </w:rPr>
        <w:t>2）</w:t>
      </w:r>
      <w:r>
        <w:rPr>
          <w:rFonts w:hint="eastAsia" w:ascii="宋体" w:hAnsi="宋体" w:eastAsia="宋体" w:cs="宋体"/>
          <w:snapToGrid w:val="0"/>
          <w:color w:val="auto"/>
          <w:sz w:val="22"/>
          <w:highlight w:val="none"/>
        </w:rPr>
        <w:t>关于符合《中华人民共和国政府采购法》第二十二条规定的承诺函</w:t>
      </w:r>
      <w:r>
        <w:rPr>
          <w:rFonts w:hint="eastAsia" w:ascii="宋体" w:hAnsi="宋体" w:eastAsia="宋体" w:cs="宋体"/>
          <w:color w:val="auto"/>
          <w:sz w:val="22"/>
          <w:highlight w:val="none"/>
        </w:rPr>
        <w:t>（见</w:t>
      </w:r>
      <w:r>
        <w:rPr>
          <w:rFonts w:hint="eastAsia" w:ascii="宋体" w:hAnsi="宋体" w:eastAsia="宋体" w:cs="宋体"/>
          <w:color w:val="auto"/>
          <w:sz w:val="22"/>
          <w:highlight w:val="none"/>
          <w:lang w:eastAsia="zh-CN"/>
        </w:rPr>
        <w:t>附件4</w:t>
      </w:r>
      <w:r>
        <w:rPr>
          <w:rFonts w:hint="eastAsia" w:ascii="宋体" w:hAnsi="宋体" w:eastAsia="宋体" w:cs="宋体"/>
          <w:color w:val="auto"/>
          <w:sz w:val="22"/>
          <w:highlight w:val="none"/>
        </w:rPr>
        <w:t>-2）</w:t>
      </w:r>
      <w:r>
        <w:rPr>
          <w:rFonts w:hint="eastAsia" w:ascii="宋体" w:hAnsi="宋体" w:eastAsia="宋体" w:cs="宋体"/>
          <w:b/>
          <w:bCs/>
          <w:color w:val="auto"/>
          <w:sz w:val="22"/>
          <w:highlight w:val="none"/>
          <w:u w:val="single"/>
        </w:rPr>
        <w:t>（如为联合体投标，则联合体各方均须提供，并各自加盖公章）</w:t>
      </w:r>
    </w:p>
    <w:p>
      <w:pPr>
        <w:autoSpaceDE w:val="0"/>
        <w:autoSpaceDN w:val="0"/>
        <w:adjustRightInd w:val="0"/>
        <w:snapToGrid w:val="0"/>
        <w:spacing w:line="360" w:lineRule="exact"/>
        <w:ind w:firstLine="440" w:firstLineChars="200"/>
        <w:textAlignment w:val="bottom"/>
        <w:rPr>
          <w:rFonts w:hint="eastAsia" w:ascii="宋体" w:hAnsi="宋体" w:eastAsia="宋体" w:cs="宋体"/>
          <w:b/>
          <w:bCs/>
          <w:color w:val="auto"/>
          <w:sz w:val="22"/>
          <w:highlight w:val="none"/>
          <w:u w:val="single"/>
        </w:rPr>
      </w:pPr>
      <w:r>
        <w:rPr>
          <w:rFonts w:hint="eastAsia" w:ascii="宋体" w:hAnsi="宋体" w:eastAsia="宋体" w:cs="宋体"/>
          <w:color w:val="auto"/>
          <w:sz w:val="22"/>
          <w:highlight w:val="none"/>
        </w:rPr>
        <w:t>3）联合体投标协议书</w:t>
      </w:r>
      <w:r>
        <w:rPr>
          <w:rFonts w:hint="eastAsia" w:ascii="宋体" w:hAnsi="宋体" w:eastAsia="宋体" w:cs="宋体"/>
          <w:snapToGrid w:val="0"/>
          <w:color w:val="auto"/>
          <w:sz w:val="22"/>
          <w:highlight w:val="none"/>
        </w:rPr>
        <w:t>（见</w:t>
      </w:r>
      <w:r>
        <w:rPr>
          <w:rFonts w:hint="eastAsia" w:ascii="宋体" w:hAnsi="宋体" w:eastAsia="宋体" w:cs="宋体"/>
          <w:snapToGrid w:val="0"/>
          <w:color w:val="auto"/>
          <w:sz w:val="22"/>
          <w:highlight w:val="none"/>
          <w:lang w:eastAsia="zh-CN"/>
        </w:rPr>
        <w:t>附件4-3</w:t>
      </w:r>
      <w:r>
        <w:rPr>
          <w:rFonts w:hint="eastAsia" w:ascii="宋体" w:hAnsi="宋体" w:eastAsia="宋体" w:cs="宋体"/>
          <w:snapToGrid w:val="0"/>
          <w:color w:val="auto"/>
          <w:sz w:val="22"/>
          <w:highlight w:val="none"/>
        </w:rPr>
        <w:t>）</w:t>
      </w:r>
      <w:r>
        <w:rPr>
          <w:rFonts w:hint="eastAsia" w:ascii="宋体" w:hAnsi="宋体" w:eastAsia="宋体" w:cs="宋体"/>
          <w:b/>
          <w:bCs/>
          <w:color w:val="auto"/>
          <w:sz w:val="22"/>
          <w:highlight w:val="none"/>
          <w:u w:val="single"/>
        </w:rPr>
        <w:t>(以联合体形式投标的提供联合投标协议，项目不接受联合体投标或投标人不以联合体形式投标的则不需要提供）</w:t>
      </w:r>
    </w:p>
    <w:p>
      <w:pPr>
        <w:pStyle w:val="3"/>
        <w:spacing w:line="360" w:lineRule="exact"/>
        <w:ind w:left="0" w:firstLine="442" w:firstLineChars="200"/>
        <w:rPr>
          <w:rFonts w:hint="eastAsia" w:ascii="宋体" w:hAnsi="宋体" w:eastAsia="宋体" w:cs="宋体"/>
          <w:color w:val="auto"/>
          <w:highlight w:val="none"/>
        </w:rPr>
      </w:pPr>
      <w:r>
        <w:rPr>
          <w:rFonts w:hint="eastAsia" w:ascii="宋体" w:hAnsi="宋体" w:eastAsia="宋体" w:cs="宋体"/>
          <w:b/>
          <w:bCs/>
          <w:color w:val="auto"/>
          <w:sz w:val="22"/>
          <w:highlight w:val="none"/>
          <w:lang w:val="en-US" w:eastAsia="zh-CN"/>
        </w:rPr>
        <w:t>4</w:t>
      </w:r>
      <w:r>
        <w:rPr>
          <w:rFonts w:hint="eastAsia" w:ascii="宋体" w:hAnsi="宋体" w:eastAsia="宋体" w:cs="宋体"/>
          <w:b/>
          <w:bCs/>
          <w:color w:val="auto"/>
          <w:sz w:val="22"/>
          <w:highlight w:val="none"/>
        </w:rPr>
        <w:t>）</w:t>
      </w:r>
      <w:r>
        <w:rPr>
          <w:rFonts w:hint="eastAsia" w:ascii="宋体" w:hAnsi="宋体" w:eastAsia="宋体" w:cs="宋体"/>
          <w:color w:val="auto"/>
          <w:sz w:val="22"/>
          <w:highlight w:val="none"/>
        </w:rPr>
        <w:t>分包意向协议（见</w:t>
      </w:r>
      <w:r>
        <w:rPr>
          <w:rFonts w:hint="eastAsia" w:ascii="宋体" w:hAnsi="宋体" w:eastAsia="宋体" w:cs="宋体"/>
          <w:color w:val="auto"/>
          <w:sz w:val="22"/>
          <w:highlight w:val="none"/>
          <w:lang w:eastAsia="zh-CN"/>
        </w:rPr>
        <w:t>附件4-4</w:t>
      </w:r>
      <w:r>
        <w:rPr>
          <w:rFonts w:hint="eastAsia" w:ascii="宋体" w:hAnsi="宋体" w:eastAsia="宋体" w:cs="宋体"/>
          <w:color w:val="auto"/>
          <w:sz w:val="22"/>
          <w:highlight w:val="none"/>
        </w:rPr>
        <w:t>）</w:t>
      </w:r>
      <w:r>
        <w:rPr>
          <w:rFonts w:hint="eastAsia" w:ascii="宋体" w:hAnsi="宋体" w:eastAsia="宋体" w:cs="宋体"/>
          <w:b/>
          <w:bCs/>
          <w:color w:val="auto"/>
          <w:sz w:val="22"/>
          <w:highlight w:val="none"/>
          <w:u w:val="single"/>
        </w:rPr>
        <w:t>(中标后以分包方式履行合同的提供分包意向协议，采购人不同意分包或中标后不以分包方式履行合同的则不需要提供）</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（3）商务和技术文件</w:t>
      </w:r>
    </w:p>
    <w:p>
      <w:pPr>
        <w:tabs>
          <w:tab w:val="left" w:pos="5355"/>
        </w:tabs>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1）评分索引表（见</w:t>
      </w:r>
      <w:r>
        <w:rPr>
          <w:rFonts w:hint="eastAsia" w:ascii="宋体" w:hAnsi="宋体" w:eastAsia="宋体" w:cs="宋体"/>
          <w:color w:val="auto"/>
          <w:sz w:val="22"/>
          <w:highlight w:val="none"/>
          <w:lang w:eastAsia="zh-CN"/>
        </w:rPr>
        <w:t>附件5</w:t>
      </w:r>
      <w:r>
        <w:rPr>
          <w:rFonts w:hint="eastAsia" w:ascii="宋体" w:hAnsi="宋体" w:eastAsia="宋体" w:cs="宋体"/>
          <w:color w:val="auto"/>
          <w:sz w:val="22"/>
          <w:highlight w:val="none"/>
        </w:rPr>
        <w:t>）</w:t>
      </w:r>
    </w:p>
    <w:p>
      <w:pPr>
        <w:tabs>
          <w:tab w:val="left" w:pos="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2）法定代表人资格证明书/法定代表人授权委托书；（见附</w:t>
      </w: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w:t>
      </w:r>
    </w:p>
    <w:p>
      <w:pPr>
        <w:tabs>
          <w:tab w:val="left" w:pos="535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3）投标函（见</w:t>
      </w:r>
      <w:r>
        <w:rPr>
          <w:rFonts w:hint="eastAsia" w:ascii="宋体" w:hAnsi="宋体" w:eastAsia="宋体" w:cs="宋体"/>
          <w:color w:val="auto"/>
          <w:sz w:val="22"/>
          <w:highlight w:val="none"/>
          <w:lang w:eastAsia="zh-CN"/>
        </w:rPr>
        <w:t>附件7</w:t>
      </w:r>
      <w:r>
        <w:rPr>
          <w:rFonts w:hint="eastAsia" w:ascii="宋体" w:hAnsi="宋体" w:eastAsia="宋体" w:cs="宋体"/>
          <w:color w:val="auto"/>
          <w:sz w:val="22"/>
          <w:highlight w:val="none"/>
        </w:rPr>
        <w:t>）</w:t>
      </w:r>
    </w:p>
    <w:p>
      <w:pPr>
        <w:tabs>
          <w:tab w:val="left" w:pos="535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4）投标声明书（见</w:t>
      </w:r>
      <w:r>
        <w:rPr>
          <w:rFonts w:hint="eastAsia" w:ascii="宋体" w:hAnsi="宋体" w:eastAsia="宋体" w:cs="宋体"/>
          <w:color w:val="auto"/>
          <w:sz w:val="22"/>
          <w:highlight w:val="none"/>
          <w:lang w:eastAsia="zh-CN"/>
        </w:rPr>
        <w:t>附件8</w:t>
      </w:r>
      <w:r>
        <w:rPr>
          <w:rFonts w:hint="eastAsia" w:ascii="宋体" w:hAnsi="宋体" w:eastAsia="宋体" w:cs="宋体"/>
          <w:color w:val="auto"/>
          <w:sz w:val="22"/>
          <w:highlight w:val="none"/>
        </w:rPr>
        <w:t xml:space="preserve">）  </w:t>
      </w:r>
    </w:p>
    <w:p>
      <w:pPr>
        <w:tabs>
          <w:tab w:val="left" w:pos="535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5）投标人基本情况表（见</w:t>
      </w:r>
      <w:r>
        <w:rPr>
          <w:rFonts w:hint="eastAsia" w:ascii="宋体" w:hAnsi="宋体" w:eastAsia="宋体" w:cs="宋体"/>
          <w:color w:val="auto"/>
          <w:sz w:val="22"/>
          <w:highlight w:val="none"/>
          <w:lang w:eastAsia="zh-CN"/>
        </w:rPr>
        <w:t>附件9</w:t>
      </w:r>
      <w:r>
        <w:rPr>
          <w:rFonts w:hint="eastAsia" w:ascii="宋体" w:hAnsi="宋体" w:eastAsia="宋体" w:cs="宋体"/>
          <w:color w:val="auto"/>
          <w:sz w:val="22"/>
          <w:highlight w:val="none"/>
        </w:rPr>
        <w:t xml:space="preserve">）                </w:t>
      </w:r>
    </w:p>
    <w:p>
      <w:pPr>
        <w:tabs>
          <w:tab w:val="left" w:pos="535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6）节能、环保产品证明材料（如有）（见</w:t>
      </w:r>
      <w:r>
        <w:rPr>
          <w:rFonts w:hint="eastAsia" w:ascii="宋体" w:hAnsi="宋体" w:eastAsia="宋体" w:cs="宋体"/>
          <w:color w:val="auto"/>
          <w:sz w:val="22"/>
          <w:highlight w:val="none"/>
          <w:lang w:eastAsia="zh-CN"/>
        </w:rPr>
        <w:t>附件10</w:t>
      </w:r>
      <w:r>
        <w:rPr>
          <w:rFonts w:hint="eastAsia" w:ascii="宋体" w:hAnsi="宋体" w:eastAsia="宋体" w:cs="宋体"/>
          <w:color w:val="auto"/>
          <w:sz w:val="22"/>
          <w:highlight w:val="none"/>
        </w:rPr>
        <w:t>）；</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7）投标人同类项目业绩一览表（如有）（见</w:t>
      </w:r>
      <w:r>
        <w:rPr>
          <w:rFonts w:hint="eastAsia" w:ascii="宋体" w:hAnsi="宋体" w:eastAsia="宋体" w:cs="宋体"/>
          <w:color w:val="auto"/>
          <w:sz w:val="22"/>
          <w:highlight w:val="none"/>
          <w:lang w:eastAsia="zh-CN"/>
        </w:rPr>
        <w:t>附件11</w:t>
      </w:r>
      <w:r>
        <w:rPr>
          <w:rFonts w:hint="eastAsia" w:ascii="宋体" w:hAnsi="宋体" w:eastAsia="宋体" w:cs="宋体"/>
          <w:color w:val="auto"/>
          <w:sz w:val="22"/>
          <w:highlight w:val="none"/>
        </w:rPr>
        <w:t>）；</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8）采购需求偏离表（见</w:t>
      </w:r>
      <w:r>
        <w:rPr>
          <w:rFonts w:hint="eastAsia" w:ascii="宋体" w:hAnsi="宋体" w:eastAsia="宋体" w:cs="宋体"/>
          <w:color w:val="auto"/>
          <w:sz w:val="22"/>
          <w:highlight w:val="none"/>
          <w:lang w:eastAsia="zh-CN"/>
        </w:rPr>
        <w:t>附件12</w:t>
      </w:r>
      <w:r>
        <w:rPr>
          <w:rFonts w:hint="eastAsia" w:ascii="宋体" w:hAnsi="宋体" w:eastAsia="宋体" w:cs="宋体"/>
          <w:color w:val="auto"/>
          <w:sz w:val="22"/>
          <w:highlight w:val="none"/>
        </w:rPr>
        <w:t>）；</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9）货物配置清单（见</w:t>
      </w:r>
      <w:r>
        <w:rPr>
          <w:rFonts w:hint="eastAsia" w:ascii="宋体" w:hAnsi="宋体" w:eastAsia="宋体" w:cs="宋体"/>
          <w:color w:val="auto"/>
          <w:sz w:val="22"/>
          <w:highlight w:val="none"/>
          <w:lang w:eastAsia="zh-CN"/>
        </w:rPr>
        <w:t>附件13</w:t>
      </w:r>
      <w:r>
        <w:rPr>
          <w:rFonts w:hint="eastAsia" w:ascii="宋体" w:hAnsi="宋体" w:eastAsia="宋体" w:cs="宋体"/>
          <w:color w:val="auto"/>
          <w:sz w:val="22"/>
          <w:highlight w:val="none"/>
        </w:rPr>
        <w:t>）；</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10）常用材料、零配件及备品备件报价清单（见</w:t>
      </w:r>
      <w:r>
        <w:rPr>
          <w:rFonts w:hint="eastAsia" w:ascii="宋体" w:hAnsi="宋体" w:eastAsia="宋体" w:cs="宋体"/>
          <w:color w:val="auto"/>
          <w:sz w:val="22"/>
          <w:highlight w:val="none"/>
          <w:lang w:eastAsia="zh-CN"/>
        </w:rPr>
        <w:t>附件14</w:t>
      </w:r>
      <w:r>
        <w:rPr>
          <w:rFonts w:hint="eastAsia" w:ascii="宋体" w:hAnsi="宋体" w:eastAsia="宋体" w:cs="宋体"/>
          <w:color w:val="auto"/>
          <w:sz w:val="22"/>
          <w:highlight w:val="none"/>
        </w:rPr>
        <w:t>）；</w:t>
      </w:r>
    </w:p>
    <w:p>
      <w:pPr>
        <w:spacing w:line="360" w:lineRule="exact"/>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t>11）</w:t>
      </w:r>
      <w:r>
        <w:rPr>
          <w:rFonts w:hint="eastAsia" w:ascii="宋体" w:hAnsi="宋体" w:eastAsia="宋体" w:cs="宋体"/>
          <w:color w:val="auto"/>
          <w:sz w:val="22"/>
          <w:highlight w:val="none"/>
          <w:lang w:val="en-US" w:eastAsia="zh-CN"/>
        </w:rPr>
        <w:t>承诺书</w:t>
      </w:r>
      <w:r>
        <w:rPr>
          <w:rFonts w:hint="eastAsia" w:ascii="宋体" w:hAnsi="宋体" w:eastAsia="宋体" w:cs="宋体"/>
          <w:color w:val="auto"/>
          <w:sz w:val="22"/>
          <w:highlight w:val="none"/>
        </w:rPr>
        <w:t>（见</w:t>
      </w:r>
      <w:r>
        <w:rPr>
          <w:rFonts w:hint="eastAsia" w:ascii="宋体" w:hAnsi="宋体" w:eastAsia="宋体" w:cs="宋体"/>
          <w:color w:val="auto"/>
          <w:sz w:val="22"/>
          <w:highlight w:val="none"/>
          <w:lang w:eastAsia="zh-CN"/>
        </w:rPr>
        <w:t>附件15</w:t>
      </w:r>
      <w:r>
        <w:rPr>
          <w:rFonts w:hint="eastAsia" w:ascii="宋体" w:hAnsi="宋体" w:eastAsia="宋体" w:cs="宋体"/>
          <w:color w:val="auto"/>
          <w:sz w:val="22"/>
          <w:highlight w:val="none"/>
        </w:rPr>
        <w:t>）；</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12）投标产品技术支持材料（见</w:t>
      </w:r>
      <w:r>
        <w:rPr>
          <w:rFonts w:hint="eastAsia" w:ascii="宋体" w:hAnsi="宋体" w:eastAsia="宋体" w:cs="宋体"/>
          <w:color w:val="auto"/>
          <w:sz w:val="22"/>
          <w:highlight w:val="none"/>
          <w:lang w:eastAsia="zh-CN"/>
        </w:rPr>
        <w:t>附件16</w:t>
      </w:r>
      <w:r>
        <w:rPr>
          <w:rFonts w:hint="eastAsia" w:ascii="宋体" w:hAnsi="宋体" w:eastAsia="宋体" w:cs="宋体"/>
          <w:color w:val="auto"/>
          <w:sz w:val="22"/>
          <w:highlight w:val="none"/>
        </w:rPr>
        <w:t>）；</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13）政府采购活动现场确认声明书（见</w:t>
      </w:r>
      <w:r>
        <w:rPr>
          <w:rFonts w:hint="eastAsia" w:ascii="宋体" w:hAnsi="宋体" w:eastAsia="宋体" w:cs="宋体"/>
          <w:color w:val="auto"/>
          <w:sz w:val="22"/>
          <w:highlight w:val="none"/>
          <w:lang w:eastAsia="zh-CN"/>
        </w:rPr>
        <w:t>附件17</w:t>
      </w:r>
      <w:r>
        <w:rPr>
          <w:rFonts w:hint="eastAsia" w:ascii="宋体" w:hAnsi="宋体" w:eastAsia="宋体" w:cs="宋体"/>
          <w:color w:val="auto"/>
          <w:sz w:val="22"/>
          <w:highlight w:val="none"/>
        </w:rPr>
        <w:t>）；</w:t>
      </w:r>
    </w:p>
    <w:p>
      <w:pPr>
        <w:spacing w:line="360" w:lineRule="exact"/>
        <w:ind w:firstLine="440" w:firstLineChars="200"/>
        <w:rPr>
          <w:rFonts w:hint="eastAsia" w:ascii="宋体" w:hAnsi="宋体" w:eastAsia="宋体" w:cs="宋体"/>
          <w:color w:val="auto"/>
          <w:highlight w:val="none"/>
        </w:rPr>
      </w:pPr>
      <w:r>
        <w:rPr>
          <w:rFonts w:hint="eastAsia" w:ascii="宋体" w:hAnsi="宋体" w:eastAsia="宋体" w:cs="宋体"/>
          <w:color w:val="auto"/>
          <w:sz w:val="22"/>
          <w:highlight w:val="none"/>
        </w:rPr>
        <w:t>14）</w:t>
      </w:r>
      <w:r>
        <w:rPr>
          <w:rFonts w:hint="eastAsia" w:ascii="宋体" w:hAnsi="宋体" w:eastAsia="宋体" w:cs="宋体"/>
          <w:color w:val="auto"/>
          <w:sz w:val="22"/>
          <w:highlight w:val="none"/>
          <w:lang w:eastAsia="zh-CN"/>
        </w:rPr>
        <w:t>质保期外年维保报价</w:t>
      </w:r>
      <w:r>
        <w:rPr>
          <w:rFonts w:hint="eastAsia" w:ascii="宋体" w:hAnsi="宋体" w:eastAsia="宋体" w:cs="宋体"/>
          <w:color w:val="auto"/>
          <w:sz w:val="22"/>
          <w:highlight w:val="none"/>
        </w:rPr>
        <w:t>（见</w:t>
      </w:r>
      <w:r>
        <w:rPr>
          <w:rFonts w:hint="eastAsia" w:ascii="宋体" w:hAnsi="宋体" w:eastAsia="宋体" w:cs="宋体"/>
          <w:color w:val="auto"/>
          <w:sz w:val="22"/>
          <w:highlight w:val="none"/>
          <w:lang w:eastAsia="zh-CN"/>
        </w:rPr>
        <w:t>附件18</w:t>
      </w:r>
      <w:r>
        <w:rPr>
          <w:rFonts w:hint="eastAsia" w:ascii="宋体" w:hAnsi="宋体" w:eastAsia="宋体" w:cs="宋体"/>
          <w:color w:val="auto"/>
          <w:sz w:val="22"/>
          <w:highlight w:val="none"/>
        </w:rPr>
        <w:t>）</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rPr>
        <w:t>）投标人需要说明的其他文件和说明（格式自拟）。</w:t>
      </w:r>
    </w:p>
    <w:p>
      <w:pPr>
        <w:spacing w:line="360" w:lineRule="exact"/>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以上内容按照招标文件第四部分附件所附格式填写，相关证书、报告等</w:t>
      </w:r>
      <w:r>
        <w:rPr>
          <w:rFonts w:hint="eastAsia" w:ascii="宋体" w:hAnsi="宋体" w:eastAsia="宋体" w:cs="宋体"/>
          <w:b/>
          <w:bCs/>
          <w:color w:val="auto"/>
          <w:spacing w:val="-6"/>
          <w:sz w:val="22"/>
          <w:highlight w:val="none"/>
        </w:rPr>
        <w:t>如遇年检或换证等特殊情况须按要求提供相应的证明材料</w:t>
      </w:r>
      <w:r>
        <w:rPr>
          <w:rFonts w:hint="eastAsia" w:ascii="宋体" w:hAnsi="宋体" w:eastAsia="宋体" w:cs="宋体"/>
          <w:b/>
          <w:bCs/>
          <w:color w:val="auto"/>
          <w:sz w:val="22"/>
          <w:highlight w:val="none"/>
        </w:rPr>
        <w:t>。没有提供格式的，投标人根据实际情况自行编制。</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投标人可在招标文件中对服务的技术规格和要求选用替代标准，但这些替代标准必须相等于或优于招标文件中提出的相应要求，并使采购人满意。同时在采购需求偏离表中作出详细说明。</w:t>
      </w:r>
    </w:p>
    <w:p>
      <w:pPr>
        <w:pStyle w:val="15"/>
        <w:spacing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5.投标文件格式</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5.1投标文件须包括本须知第4条中规定的全部内容，投标人不按招标文件的要求提供的投标文件和资料将视为没有对招标文件作实质性响应，其投标将被拒绝，其风险由投标人自行承担。</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5.2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pPr>
        <w:pStyle w:val="15"/>
        <w:spacing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6.投标文件编制要求</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6.1</w:t>
      </w:r>
      <w:r>
        <w:rPr>
          <w:rFonts w:hint="eastAsia" w:ascii="宋体" w:hAnsi="宋体" w:eastAsia="宋体" w:cs="宋体"/>
          <w:b/>
          <w:bCs/>
          <w:color w:val="auto"/>
          <w:sz w:val="22"/>
          <w:highlight w:val="none"/>
        </w:rPr>
        <w:t>投标人应根据电子投标操作指南按本招标文件规定的格式和顺序编制电子投标文件并进行关联定位</w:t>
      </w:r>
      <w:r>
        <w:rPr>
          <w:rFonts w:hint="eastAsia" w:ascii="宋体" w:hAnsi="宋体" w:eastAsia="宋体" w:cs="宋体"/>
          <w:color w:val="auto"/>
          <w:sz w:val="22"/>
          <w:highlight w:val="none"/>
        </w:rPr>
        <w:t>。</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6.2由于未按招标文件的规定要求编制投标文件，导致评审小组作出的对投标人的误判，责任由投标人自己承担。</w:t>
      </w:r>
    </w:p>
    <w:p>
      <w:pPr>
        <w:tabs>
          <w:tab w:val="left" w:pos="-180"/>
          <w:tab w:val="left" w:pos="180"/>
          <w:tab w:val="left" w:pos="360"/>
        </w:tabs>
        <w:spacing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7.投标报价</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7.1 投标总报价是指投标人在正确地完全履行合同义务后采购人应支付给投标人所有的货物价款，即货物及其附件的采购、制造、税金、安装费、检验费、质保期内维修保护费、售后服务费、采购代理服务费、政策性文件规定及合同包含的所有风险、责任等全部费用，实行固定费用总包干，投标人应根据上述因素自行考虑含入投标总价。</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7.2投标人须按第四部分附件的开标一览表（统一格式）、投标报价明细表（统一格式）的内容填写，并由法定代表人或授权代表签字或盖章。</w:t>
      </w:r>
    </w:p>
    <w:p>
      <w:pPr>
        <w:tabs>
          <w:tab w:val="left" w:pos="-180"/>
          <w:tab w:val="left" w:pos="180"/>
          <w:tab w:val="left" w:pos="360"/>
        </w:tabs>
        <w:spacing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7.3报价货币为人民币。</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▲7.4采购人不接受任何选择报价，本次投标每项货物只允许一个报价。</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7.5最低报价不能作为中标的保证。</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8.投标保证金：</w:t>
      </w:r>
      <w:r>
        <w:rPr>
          <w:rFonts w:hint="eastAsia" w:ascii="宋体" w:hAnsi="宋体" w:eastAsia="宋体" w:cs="宋体"/>
          <w:color w:val="auto"/>
          <w:spacing w:val="-6"/>
          <w:sz w:val="22"/>
          <w:highlight w:val="none"/>
          <w:lang w:val="zh-CN"/>
        </w:rPr>
        <w:t>本项目不收取投标保证金。</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9.投标有效期</w:t>
      </w:r>
    </w:p>
    <w:p>
      <w:pPr>
        <w:spacing w:line="360" w:lineRule="exact"/>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sz w:val="22"/>
          <w:highlight w:val="none"/>
        </w:rPr>
        <w:t>9.1</w:t>
      </w:r>
      <w:r>
        <w:rPr>
          <w:rFonts w:hint="eastAsia" w:ascii="宋体" w:hAnsi="宋体" w:eastAsia="宋体" w:cs="宋体"/>
          <w:b/>
          <w:bCs/>
          <w:color w:val="auto"/>
          <w:sz w:val="22"/>
          <w:highlight w:val="none"/>
        </w:rPr>
        <w:t>自提交投标文件的截止之日起</w:t>
      </w:r>
      <w:r>
        <w:rPr>
          <w:rFonts w:hint="eastAsia" w:ascii="宋体" w:hAnsi="宋体" w:eastAsia="宋体" w:cs="宋体"/>
          <w:b/>
          <w:bCs/>
          <w:color w:val="auto"/>
          <w:sz w:val="22"/>
          <w:highlight w:val="none"/>
          <w:u w:val="single"/>
        </w:rPr>
        <w:t>90</w:t>
      </w:r>
      <w:r>
        <w:rPr>
          <w:rFonts w:hint="eastAsia" w:ascii="宋体" w:hAnsi="宋体" w:eastAsia="宋体" w:cs="宋体"/>
          <w:b/>
          <w:bCs/>
          <w:color w:val="auto"/>
          <w:sz w:val="22"/>
          <w:highlight w:val="none"/>
        </w:rPr>
        <w:t>天内投标应保持有效。有效期不足的投标文件将被拒绝。</w:t>
      </w:r>
    </w:p>
    <w:p>
      <w:pPr>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9.2特殊情况下，在原投标有效期截止前，采购人可与投标人协商延长投标有效期，这种要求和答复均以书面形式进行。投标人可拒绝接受延期要求。同意延长投标有效期的投标人不得修改投标文件。</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10.投标文件的签署和规定</w:t>
      </w:r>
    </w:p>
    <w:p>
      <w:pPr>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10.1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cs="宋体"/>
          <w:b/>
          <w:bCs/>
          <w:color w:val="auto"/>
          <w:spacing w:val="-6"/>
          <w:sz w:val="22"/>
          <w:highlight w:val="none"/>
        </w:rPr>
        <w:t>其中资格文件、商务和技术文件中不得出现投标报价，如因投标人原因提前泄露投标报价，是投标人的责任。</w:t>
      </w:r>
    </w:p>
    <w:p>
      <w:pPr>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10.2投标文件须由投标人在规定位置加盖公章并由投标人代表签署，投标人应写全称。</w:t>
      </w:r>
    </w:p>
    <w:p>
      <w:pPr>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10.3投标文件不得涂改，若有修改错漏处，须由投标人代表签字并加盖公章。投标文件因字迹潦草或表达不清所引起的后果由投标人负责。</w:t>
      </w:r>
    </w:p>
    <w:p>
      <w:pPr>
        <w:spacing w:line="360" w:lineRule="exact"/>
        <w:ind w:firstLine="440" w:firstLineChars="200"/>
        <w:rPr>
          <w:rFonts w:hint="eastAsia" w:ascii="宋体" w:hAnsi="宋体" w:eastAsia="宋体" w:cs="宋体"/>
          <w:b/>
          <w:color w:val="auto"/>
          <w:sz w:val="26"/>
          <w:highlight w:val="none"/>
        </w:rPr>
      </w:pPr>
      <w:r>
        <w:rPr>
          <w:rFonts w:hint="eastAsia" w:ascii="宋体" w:hAnsi="宋体" w:eastAsia="宋体" w:cs="宋体"/>
          <w:color w:val="auto"/>
          <w:sz w:val="22"/>
          <w:highlight w:val="none"/>
        </w:rPr>
        <w:t>10.4</w:t>
      </w:r>
      <w:r>
        <w:rPr>
          <w:rFonts w:hint="eastAsia" w:ascii="宋体" w:hAnsi="宋体" w:eastAsia="宋体" w:cs="宋体"/>
          <w:b/>
          <w:bCs/>
          <w:color w:val="auto"/>
          <w:sz w:val="22"/>
          <w:highlight w:val="none"/>
        </w:rPr>
        <w:t>投标文件字迹模糊或在关键的技术、商务条款上表述不清楚，将可能导致其投标被拒绝。</w:t>
      </w:r>
    </w:p>
    <w:p>
      <w:pPr>
        <w:spacing w:line="360" w:lineRule="exact"/>
        <w:ind w:firstLine="522" w:firstLineChars="200"/>
        <w:jc w:val="center"/>
        <w:rPr>
          <w:rFonts w:hint="eastAsia" w:ascii="宋体" w:hAnsi="宋体" w:eastAsia="宋体" w:cs="宋体"/>
          <w:b/>
          <w:color w:val="auto"/>
          <w:sz w:val="26"/>
          <w:highlight w:val="none"/>
        </w:rPr>
      </w:pPr>
    </w:p>
    <w:p>
      <w:pPr>
        <w:spacing w:line="360" w:lineRule="exact"/>
        <w:ind w:firstLine="522" w:firstLineChars="200"/>
        <w:jc w:val="center"/>
        <w:outlineLvl w:val="1"/>
        <w:rPr>
          <w:rFonts w:hint="eastAsia" w:ascii="宋体" w:hAnsi="宋体" w:eastAsia="宋体" w:cs="宋体"/>
          <w:color w:val="auto"/>
          <w:sz w:val="22"/>
          <w:highlight w:val="none"/>
        </w:rPr>
      </w:pPr>
      <w:bookmarkStart w:id="11" w:name="_Toc12008"/>
      <w:r>
        <w:rPr>
          <w:rFonts w:hint="eastAsia" w:ascii="宋体" w:hAnsi="宋体" w:eastAsia="宋体" w:cs="宋体"/>
          <w:b/>
          <w:color w:val="auto"/>
          <w:sz w:val="26"/>
          <w:highlight w:val="none"/>
        </w:rPr>
        <w:t>四、投标文件的递交</w:t>
      </w:r>
      <w:bookmarkEnd w:id="11"/>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1.电子投标文件的加密、递交</w:t>
      </w:r>
    </w:p>
    <w:p>
      <w:pPr>
        <w:spacing w:line="360" w:lineRule="exact"/>
        <w:ind w:firstLine="440" w:firstLineChars="200"/>
        <w:rPr>
          <w:rFonts w:hint="eastAsia" w:ascii="宋体" w:hAnsi="宋体" w:eastAsia="宋体" w:cs="宋体"/>
          <w:b/>
          <w:bCs/>
          <w:color w:val="auto"/>
          <w:sz w:val="22"/>
          <w:highlight w:val="none"/>
        </w:rPr>
      </w:pPr>
      <w:r>
        <w:rPr>
          <w:rFonts w:hint="eastAsia" w:ascii="宋体" w:hAnsi="宋体" w:eastAsia="宋体" w:cs="宋体"/>
          <w:color w:val="auto"/>
          <w:kern w:val="0"/>
          <w:sz w:val="22"/>
          <w:highlight w:val="none"/>
        </w:rPr>
        <w:t>投标人</w:t>
      </w:r>
      <w:r>
        <w:rPr>
          <w:rFonts w:hint="eastAsia" w:ascii="宋体" w:hAnsi="宋体" w:eastAsia="宋体" w:cs="宋体"/>
          <w:color w:val="auto"/>
          <w:spacing w:val="-6"/>
          <w:sz w:val="22"/>
          <w:highlight w:val="none"/>
        </w:rPr>
        <w:t>于投标文件提交截止时间前按照电子投标要求将加密电子投标文件上传到“政采云”平台，逾期或未上传成功的将被政府采购云平台拒收</w:t>
      </w:r>
      <w:r>
        <w:rPr>
          <w:rFonts w:hint="eastAsia" w:ascii="宋体" w:hAnsi="宋体" w:eastAsia="宋体" w:cs="宋体"/>
          <w:color w:val="auto"/>
          <w:kern w:val="0"/>
          <w:sz w:val="22"/>
          <w:highlight w:val="none"/>
        </w:rPr>
        <w:t>。</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2.</w:t>
      </w:r>
      <w:r>
        <w:rPr>
          <w:rFonts w:hint="eastAsia" w:ascii="宋体" w:hAnsi="宋体" w:eastAsia="宋体" w:cs="宋体"/>
          <w:b/>
          <w:color w:val="auto"/>
          <w:sz w:val="22"/>
          <w:highlight w:val="none"/>
        </w:rPr>
        <w:t>备份投标文件的加密、递交（如有）</w:t>
      </w:r>
    </w:p>
    <w:p>
      <w:pPr>
        <w:spacing w:line="360" w:lineRule="exact"/>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sz w:val="22"/>
          <w:highlight w:val="none"/>
        </w:rPr>
        <w:t>为</w:t>
      </w:r>
      <w:r>
        <w:rPr>
          <w:rFonts w:hint="eastAsia" w:ascii="宋体" w:hAnsi="宋体" w:eastAsia="宋体" w:cs="宋体"/>
          <w:color w:val="auto"/>
          <w:kern w:val="0"/>
          <w:sz w:val="22"/>
          <w:highlight w:val="none"/>
        </w:rPr>
        <w:t>确保采购项目顺利实施，避免因政采云上电子投标文件解密失败导致投标人投标无效，</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13.1供应商在政府采购云平台完成加密电子响应文件的上传后将在政采云平台上最后生成的具备电子签章的备份加密响应文件(文件扩展名为.bfbs)打包压缩并加密后以电子邮件方式传送至浙江乐诚工程咨询有限公司电子邮箱（1322521566@qq.com），加密密码由供应商自行保管，"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 w:val="22"/>
          <w:highlight w:val="none"/>
        </w:rPr>
        <w:t>投标人在政府采购云平台完成加密电子投标文件的上传后投标文件提交截止时间前将</w:t>
      </w:r>
      <w:r>
        <w:rPr>
          <w:rFonts w:hint="eastAsia" w:ascii="宋体" w:hAnsi="宋体" w:eastAsia="宋体" w:cs="宋体"/>
          <w:b/>
          <w:bCs/>
          <w:color w:val="auto"/>
          <w:sz w:val="22"/>
          <w:highlight w:val="none"/>
        </w:rPr>
        <w:t>以介质存储的数据电文形式的备份投标文件按“</w:t>
      </w:r>
      <w:r>
        <w:rPr>
          <w:rFonts w:hint="eastAsia" w:ascii="宋体" w:hAnsi="宋体" w:eastAsia="宋体" w:cs="宋体"/>
          <w:b/>
          <w:bCs/>
          <w:color w:val="auto"/>
          <w:sz w:val="22"/>
          <w:highlight w:val="none"/>
          <w:lang w:val="zh-CN"/>
        </w:rPr>
        <w:t>投标人须知前附表</w:t>
      </w:r>
      <w:r>
        <w:rPr>
          <w:rFonts w:hint="eastAsia" w:ascii="宋体" w:hAnsi="宋体" w:eastAsia="宋体" w:cs="宋体"/>
          <w:b/>
          <w:bCs/>
          <w:color w:val="auto"/>
          <w:sz w:val="22"/>
          <w:highlight w:val="none"/>
        </w:rPr>
        <w:t>”要求</w:t>
      </w:r>
      <w:r>
        <w:rPr>
          <w:rFonts w:hint="eastAsia" w:ascii="宋体" w:hAnsi="宋体" w:eastAsia="宋体" w:cs="宋体"/>
          <w:b/>
          <w:bCs/>
          <w:color w:val="auto"/>
          <w:sz w:val="22"/>
          <w:highlight w:val="none"/>
        </w:rPr>
        <w:fldChar w:fldCharType="end"/>
      </w:r>
      <w:r>
        <w:rPr>
          <w:rFonts w:hint="eastAsia" w:ascii="宋体" w:hAnsi="宋体" w:eastAsia="宋体" w:cs="宋体"/>
          <w:color w:val="auto"/>
          <w:kern w:val="0"/>
          <w:sz w:val="22"/>
          <w:highlight w:val="none"/>
        </w:rPr>
        <w:t>加密、递交。</w:t>
      </w:r>
    </w:p>
    <w:p>
      <w:pPr>
        <w:pStyle w:val="15"/>
        <w:snapToGrid w:val="0"/>
        <w:spacing w:line="360" w:lineRule="exact"/>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本项目由采购代理机构做好“</w:t>
      </w:r>
      <w:r>
        <w:rPr>
          <w:rFonts w:hint="eastAsia" w:ascii="宋体" w:hAnsi="宋体" w:eastAsia="宋体" w:cs="宋体"/>
          <w:b/>
          <w:bCs/>
          <w:color w:val="auto"/>
          <w:sz w:val="22"/>
          <w:highlight w:val="none"/>
        </w:rPr>
        <w:t>介质存储的数据电文形式的备份投标文件</w:t>
      </w:r>
      <w:r>
        <w:rPr>
          <w:rFonts w:hint="eastAsia" w:ascii="宋体" w:hAnsi="宋体" w:eastAsia="宋体" w:cs="宋体"/>
          <w:color w:val="auto"/>
          <w:kern w:val="0"/>
          <w:sz w:val="22"/>
          <w:highlight w:val="none"/>
        </w:rPr>
        <w:t>”的签收工作后，与投标资料一并归档。投标人授权代表不参加现场开标活动，由相关人员进行现场监督。采购代理机构将记录所有投标文件的开封过程的有关内容，并由相关人员签字确认。</w:t>
      </w:r>
    </w:p>
    <w:p>
      <w:pPr>
        <w:snapToGrid w:val="0"/>
        <w:spacing w:line="360" w:lineRule="exact"/>
        <w:ind w:firstLine="440" w:firstLineChars="200"/>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▲投标人递交的介质存储的数据电文形式的备份投标文件时，如出现下列情况之一的，视为无效备份投标文件：</w:t>
      </w:r>
    </w:p>
    <w:p>
      <w:pPr>
        <w:snapToGrid w:val="0"/>
        <w:spacing w:line="360" w:lineRule="exact"/>
        <w:ind w:firstLine="440" w:firstLineChars="200"/>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（1）超过投标文件提交截止时间送达的；</w:t>
      </w:r>
    </w:p>
    <w:p>
      <w:pPr>
        <w:snapToGrid w:val="0"/>
        <w:spacing w:line="360" w:lineRule="exact"/>
        <w:ind w:firstLine="440" w:firstLineChars="200"/>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（2）未在政采云平台获取招标文件的。</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3.投标文件的修改、撤回和撤销</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投标人应当在投标文件提交截止时间前完成电子投标文件的传输递交，并可以补充、修改或者撤回电子投标文件。补充或者修改电子投标文件的，应当先行撤回原文件，补充、修改后重新传输递交。投标文件提交截止时间前未完成传输的，视为撤回投标文件。投标文件提交截止时间后送达的投标文件，将被政采云平台拒收。</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3.2在投标文件提交截止时间之后，投标人不得对其投标做任何修改。</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3.3</w:t>
      </w:r>
      <w:r>
        <w:rPr>
          <w:rFonts w:hint="eastAsia" w:ascii="宋体" w:hAnsi="宋体" w:eastAsia="宋体" w:cs="宋体"/>
          <w:color w:val="auto"/>
          <w:spacing w:val="-20"/>
          <w:kern w:val="0"/>
          <w:sz w:val="22"/>
          <w:highlight w:val="none"/>
        </w:rPr>
        <w:t>在投标(响应）截止时间起至投标（响应）有效期届满，投标人投标（响应）文件不可撤销。</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3.4投标人撤销（撤回）投标不得损害国家利益、社会公共利益、采购人利益、代理机构利益、其他投标人利益，否则，投标人撤销（撤回）投标无效。</w:t>
      </w:r>
    </w:p>
    <w:p>
      <w:pPr>
        <w:pStyle w:val="2"/>
        <w:rPr>
          <w:rFonts w:hint="eastAsia" w:ascii="宋体" w:hAnsi="宋体" w:eastAsia="宋体" w:cs="宋体"/>
          <w:color w:val="auto"/>
          <w:highlight w:val="none"/>
        </w:rPr>
      </w:pPr>
    </w:p>
    <w:p>
      <w:pPr>
        <w:tabs>
          <w:tab w:val="left" w:pos="360"/>
          <w:tab w:val="left" w:pos="540"/>
          <w:tab w:val="left" w:pos="1260"/>
        </w:tabs>
        <w:spacing w:line="400" w:lineRule="exact"/>
        <w:ind w:left="919" w:hanging="919" w:hangingChars="352"/>
        <w:jc w:val="center"/>
        <w:outlineLvl w:val="1"/>
        <w:rPr>
          <w:rFonts w:hint="eastAsia" w:ascii="宋体" w:hAnsi="宋体" w:eastAsia="宋体" w:cs="宋体"/>
          <w:b/>
          <w:color w:val="auto"/>
          <w:sz w:val="26"/>
          <w:highlight w:val="none"/>
        </w:rPr>
      </w:pPr>
      <w:bookmarkStart w:id="12" w:name="_Toc31830"/>
      <w:r>
        <w:rPr>
          <w:rFonts w:hint="eastAsia" w:ascii="宋体" w:hAnsi="宋体" w:eastAsia="宋体" w:cs="宋体"/>
          <w:b/>
          <w:color w:val="auto"/>
          <w:sz w:val="26"/>
          <w:highlight w:val="none"/>
        </w:rPr>
        <w:t>五、开标和评标</w:t>
      </w:r>
      <w:bookmarkEnd w:id="12"/>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1.评审小组</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采购人依法组建评审小组。评审小组的成员在评标过程中必须严格遵守《中华人民共和国政府采购法》等有关法律、法规的规定。</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2.评标过程的保密性</w:t>
      </w:r>
    </w:p>
    <w:p>
      <w:pPr>
        <w:spacing w:line="360" w:lineRule="exact"/>
        <w:ind w:firstLine="442" w:firstLineChars="200"/>
        <w:rPr>
          <w:rFonts w:hint="eastAsia" w:ascii="宋体" w:hAnsi="宋体" w:eastAsia="宋体" w:cs="宋体"/>
          <w:color w:val="auto"/>
          <w:sz w:val="22"/>
          <w:highlight w:val="none"/>
          <w:u w:val="single"/>
        </w:rPr>
      </w:pPr>
      <w:r>
        <w:rPr>
          <w:rFonts w:hint="eastAsia" w:ascii="宋体" w:hAnsi="宋体" w:eastAsia="宋体" w:cs="宋体"/>
          <w:b/>
          <w:color w:val="auto"/>
          <w:sz w:val="22"/>
          <w:highlight w:val="none"/>
          <w:u w:val="single"/>
        </w:rPr>
        <w:t>▲</w:t>
      </w:r>
      <w:r>
        <w:rPr>
          <w:rFonts w:hint="eastAsia" w:ascii="宋体" w:hAnsi="宋体" w:eastAsia="宋体" w:cs="宋体"/>
          <w:color w:val="auto"/>
          <w:sz w:val="22"/>
          <w:highlight w:val="none"/>
          <w:u w:val="single"/>
        </w:rPr>
        <w:t>2.1开标后直至向中标人授予合同时止，凡与评审有关的资料均不得向投标人及与评标无关人员透</w:t>
      </w:r>
      <w:r>
        <w:rPr>
          <w:rFonts w:hint="eastAsia" w:ascii="宋体" w:hAnsi="宋体" w:eastAsia="宋体" w:cs="宋体"/>
          <w:color w:val="auto"/>
          <w:sz w:val="22"/>
          <w:highlight w:val="none"/>
          <w:u w:val="single"/>
          <w:lang w:val="en-US" w:eastAsia="zh-CN"/>
        </w:rPr>
        <w:t>露</w:t>
      </w:r>
      <w:r>
        <w:rPr>
          <w:rFonts w:hint="eastAsia" w:ascii="宋体" w:hAnsi="宋体" w:eastAsia="宋体" w:cs="宋体"/>
          <w:color w:val="auto"/>
          <w:sz w:val="22"/>
          <w:highlight w:val="none"/>
          <w:u w:val="single"/>
        </w:rPr>
        <w:t>。如果投标人在评标过程中试图向采购人和采购人施加影响，其投标将被拒绝。</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3.开标</w:t>
      </w:r>
    </w:p>
    <w:p>
      <w:pPr>
        <w:pStyle w:val="48"/>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本项目实行电子开评标，投标人无需前往开评标现场，只需在规定时间内在“政采云”平台上上传电子投标文件。</w:t>
      </w:r>
    </w:p>
    <w:p>
      <w:pPr>
        <w:pStyle w:val="48"/>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3.1开标准备</w:t>
      </w:r>
    </w:p>
    <w:p>
      <w:pPr>
        <w:pStyle w:val="48"/>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3.1.1制订开标、评审工作的组织方案，落实工作场地、设施，检查录音录像采集设备运行情况。采用电子评审方式的，验证电子评审系统是否正常运行。</w:t>
      </w:r>
    </w:p>
    <w:p>
      <w:pPr>
        <w:pStyle w:val="48"/>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3.1.2通知或邀请相关单位和人员出席开标、评审活动（按规定由相关监管部门或其授权机构随机抽取、通知的政府采购评审专家除外）。</w:t>
      </w:r>
    </w:p>
    <w:p>
      <w:pPr>
        <w:pStyle w:val="48"/>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3.1.3准备政府采购项目的相关文件资料，如项目政府采购预算确认书（计划）、专家抽取有关凭证、项目书面说明、招标文件、补充文件及质疑答复情况、现场工作所需的相关登记表单、评审工作底稿等。</w:t>
      </w:r>
    </w:p>
    <w:p>
      <w:pPr>
        <w:pStyle w:val="48"/>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3.1.4其他应准备的事项。</w:t>
      </w:r>
    </w:p>
    <w:p>
      <w:pPr>
        <w:pStyle w:val="2"/>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3.2采购代理机构按照招标文件规定的时间、地点和程序组织开标，具体按以下程序进行：</w:t>
      </w:r>
    </w:p>
    <w:p>
      <w:pPr>
        <w:pStyle w:val="15"/>
        <w:adjustRightInd/>
        <w:spacing w:line="360" w:lineRule="exact"/>
        <w:ind w:firstLine="440"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3.2.1</w:t>
      </w:r>
      <w:r>
        <w:rPr>
          <w:rFonts w:hint="eastAsia" w:ascii="宋体" w:hAnsi="宋体" w:eastAsia="宋体" w:cs="宋体"/>
          <w:color w:val="auto"/>
          <w:spacing w:val="-6"/>
          <w:sz w:val="22"/>
          <w:highlight w:val="none"/>
        </w:rPr>
        <w:t>开启评审场地的录音录像采集设备，并确保其正常运行。</w:t>
      </w:r>
    </w:p>
    <w:p>
      <w:pPr>
        <w:pStyle w:val="28"/>
        <w:spacing w:before="0" w:beforeAutospacing="0" w:after="0" w:afterAutospacing="0" w:line="360" w:lineRule="exact"/>
        <w:ind w:firstLine="440" w:firstLineChars="200"/>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3.2.2解密</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投标文件提交截止时间止采购代理机构向各投标人发出电子投标文件开始解密通知，由投标人在</w:t>
      </w:r>
      <w:r>
        <w:rPr>
          <w:rFonts w:hint="eastAsia" w:ascii="宋体" w:hAnsi="宋体" w:eastAsia="宋体" w:cs="宋体"/>
          <w:b/>
          <w:bCs/>
          <w:snapToGrid w:val="0"/>
          <w:color w:val="auto"/>
          <w:sz w:val="22"/>
          <w:highlight w:val="none"/>
        </w:rPr>
        <w:t>政采云平台</w:t>
      </w:r>
      <w:r>
        <w:rPr>
          <w:rFonts w:hint="eastAsia" w:ascii="宋体" w:hAnsi="宋体" w:eastAsia="宋体" w:cs="宋体"/>
          <w:b/>
          <w:bCs/>
          <w:color w:val="auto"/>
          <w:sz w:val="22"/>
          <w:highlight w:val="none"/>
        </w:rPr>
        <w:t>规定时间（不少于30分钟）内自行进行投标文件解密（</w:t>
      </w:r>
      <w:r>
        <w:rPr>
          <w:rFonts w:hint="eastAsia" w:ascii="宋体" w:hAnsi="宋体" w:eastAsia="宋体" w:cs="宋体"/>
          <w:b/>
          <w:bCs/>
          <w:color w:val="auto"/>
          <w:kern w:val="0"/>
          <w:sz w:val="22"/>
          <w:highlight w:val="none"/>
        </w:rPr>
        <w:t>投标人无需在开标当天到达开标现场对电子投标进行解密，可在公司办公场地在</w:t>
      </w:r>
      <w:r>
        <w:rPr>
          <w:rFonts w:hint="eastAsia" w:ascii="宋体" w:hAnsi="宋体" w:eastAsia="宋体" w:cs="宋体"/>
          <w:b/>
          <w:bCs/>
          <w:snapToGrid w:val="0"/>
          <w:color w:val="auto"/>
          <w:sz w:val="22"/>
          <w:highlight w:val="none"/>
        </w:rPr>
        <w:t>政采云平台</w:t>
      </w:r>
      <w:r>
        <w:rPr>
          <w:rFonts w:hint="eastAsia" w:ascii="宋体" w:hAnsi="宋体" w:eastAsia="宋体" w:cs="宋体"/>
          <w:b/>
          <w:bCs/>
          <w:color w:val="auto"/>
          <w:kern w:val="0"/>
          <w:sz w:val="22"/>
          <w:highlight w:val="none"/>
        </w:rPr>
        <w:t>规定时间内</w:t>
      </w:r>
      <w:r>
        <w:rPr>
          <w:rFonts w:hint="eastAsia" w:ascii="宋体" w:hAnsi="宋体" w:eastAsia="宋体" w:cs="宋体"/>
          <w:b/>
          <w:bCs/>
          <w:color w:val="auto"/>
          <w:sz w:val="22"/>
          <w:highlight w:val="none"/>
        </w:rPr>
        <w:t>通过制作电子投标文件的CA锁用“项目采购-开标评标”功能</w:t>
      </w:r>
      <w:r>
        <w:rPr>
          <w:rFonts w:hint="eastAsia" w:ascii="宋体" w:hAnsi="宋体" w:eastAsia="宋体" w:cs="宋体"/>
          <w:b/>
          <w:bCs/>
          <w:color w:val="auto"/>
          <w:kern w:val="0"/>
          <w:sz w:val="22"/>
          <w:highlight w:val="none"/>
        </w:rPr>
        <w:t>对电子投标文件进行解密。</w:t>
      </w:r>
      <w:r>
        <w:rPr>
          <w:rFonts w:hint="eastAsia" w:ascii="宋体" w:hAnsi="宋体" w:eastAsia="宋体" w:cs="宋体"/>
          <w:b/>
          <w:bCs/>
          <w:color w:val="auto"/>
          <w:sz w:val="22"/>
          <w:highlight w:val="none"/>
        </w:rPr>
        <w:t>）。</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本项目原则上采用政采云电子招投标开标及评审程序，</w:t>
      </w:r>
      <w:r>
        <w:rPr>
          <w:rFonts w:hint="eastAsia" w:ascii="宋体" w:hAnsi="宋体" w:eastAsia="宋体" w:cs="宋体"/>
          <w:b/>
          <w:bCs/>
          <w:color w:val="auto"/>
          <w:sz w:val="22"/>
          <w:highlight w:val="none"/>
          <w:lang w:eastAsia="zh-CN"/>
        </w:rPr>
        <w:t>但有以下情形</w:t>
      </w:r>
      <w:r>
        <w:rPr>
          <w:rFonts w:hint="eastAsia" w:ascii="宋体" w:hAnsi="宋体" w:eastAsia="宋体" w:cs="宋体"/>
          <w:b/>
          <w:bCs/>
          <w:color w:val="auto"/>
          <w:sz w:val="22"/>
          <w:highlight w:val="none"/>
        </w:rPr>
        <w:t>的，按以下情况处理：</w:t>
      </w:r>
    </w:p>
    <w:p>
      <w:pPr>
        <w:pStyle w:val="15"/>
        <w:snapToGrid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人在政采云规定时间内无法解密或解密失败的，如已按规定递交以介质存储的数据电文形式的备份投标文件的，采购代理机构将按照投标人自身意愿确认是否同意提供加密密码解密传送至浙江乐诚工程咨询有限公司电子邮箱（</w:t>
      </w:r>
      <w:r>
        <w:rPr>
          <w:rFonts w:hint="eastAsia" w:ascii="宋体" w:hAnsi="宋体" w:eastAsia="宋体" w:cs="宋体"/>
          <w:b/>
          <w:bCs/>
          <w:color w:val="auto"/>
          <w:sz w:val="22"/>
          <w:highlight w:val="none"/>
          <w:lang w:eastAsia="zh-CN"/>
        </w:rPr>
        <w:t>2812799762</w:t>
      </w:r>
      <w:r>
        <w:rPr>
          <w:rFonts w:hint="eastAsia" w:ascii="宋体" w:hAnsi="宋体" w:eastAsia="宋体" w:cs="宋体"/>
          <w:b/>
          <w:bCs/>
          <w:color w:val="auto"/>
          <w:sz w:val="22"/>
          <w:highlight w:val="none"/>
        </w:rPr>
        <w:t>@qq.com）的以介质存储的数据电文形式的备份投标文件，并</w:t>
      </w:r>
      <w:r>
        <w:rPr>
          <w:rFonts w:hint="eastAsia" w:ascii="宋体" w:hAnsi="宋体" w:eastAsia="宋体" w:cs="宋体"/>
          <w:b/>
          <w:bCs/>
          <w:color w:val="auto"/>
          <w:sz w:val="22"/>
          <w:highlight w:val="none"/>
          <w:lang w:eastAsia="zh-CN"/>
        </w:rPr>
        <w:t>以</w:t>
      </w:r>
      <w:r>
        <w:rPr>
          <w:rFonts w:hint="eastAsia" w:ascii="宋体" w:hAnsi="宋体" w:eastAsia="宋体" w:cs="宋体"/>
          <w:b/>
          <w:bCs/>
          <w:color w:val="auto"/>
          <w:sz w:val="22"/>
          <w:highlight w:val="none"/>
        </w:rPr>
        <w:t>介质存储的数据电文形式的备份投标文件按政府采购云平台操作规范上传至政府采购云平台，上传成功后，电子加密投标文件自动失效，否则视为投标文件撤回。投标文件已按时解密的，以介质存储的数据电文形式的备份投标文件自动失效。</w:t>
      </w:r>
    </w:p>
    <w:p>
      <w:pPr>
        <w:pStyle w:val="15"/>
        <w:snapToGrid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请各投标人务必在规定时间内完成电子投标文件的解密工作，在电子开评标期间，投标人（授权代表）需确保在各自所在的区域具备上网的技术条件并保持网络及联系方式畅通，联系方式为获取招标文件时留的联系方式，无法保持联系方式畅通的一切后果由投标人自行承担，同时为避免出现意外，建议全程由一台电脑进行操作（包括标书制作、上传、解密等），中途不要更换电脑。投标人因未在线参加开标而导致投标文件无法按时解密等一切后果由投标人自行承担。</w:t>
      </w:r>
    </w:p>
    <w:p>
      <w:pPr>
        <w:pStyle w:val="15"/>
        <w:widowControl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投标人不足3家的，不得开标。</w:t>
      </w:r>
    </w:p>
    <w:p>
      <w:pPr>
        <w:pStyle w:val="15"/>
        <w:widowControl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3.2.3投标文件解密结束，组织投标人签署《政府采购活动现场确认声明书》，格式详见附件。</w:t>
      </w:r>
    </w:p>
    <w:p>
      <w:pPr>
        <w:pStyle w:val="15"/>
        <w:widowControl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3.2.4采购代理机构对资格进行审查。</w:t>
      </w:r>
    </w:p>
    <w:p>
      <w:pPr>
        <w:pStyle w:val="15"/>
        <w:widowControl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3.2.5评审小组对商务技术文件进行评审。</w:t>
      </w:r>
    </w:p>
    <w:p>
      <w:pPr>
        <w:pStyle w:val="15"/>
        <w:widowControl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3.2.6评审小组对报价情况进行评审。</w:t>
      </w:r>
    </w:p>
    <w:p>
      <w:pPr>
        <w:pStyle w:val="15"/>
        <w:widowControl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3.2.7在系统上公布评审结果。</w:t>
      </w:r>
    </w:p>
    <w:p>
      <w:pPr>
        <w:pStyle w:val="15"/>
        <w:widowControl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特别说明：政采云公司如对电子化开标及评审程序有调整的，按调整后的程序操作。</w:t>
      </w:r>
    </w:p>
    <w:p>
      <w:pPr>
        <w:spacing w:line="360" w:lineRule="exact"/>
        <w:ind w:firstLine="440" w:firstLineChars="200"/>
        <w:rPr>
          <w:rFonts w:hint="eastAsia" w:ascii="宋体" w:hAnsi="宋体" w:eastAsia="宋体" w:cs="宋体"/>
          <w:bCs/>
          <w:color w:val="auto"/>
          <w:sz w:val="22"/>
          <w:highlight w:val="none"/>
          <w:lang w:val="zh-CN"/>
        </w:rPr>
      </w:pPr>
      <w:r>
        <w:rPr>
          <w:rFonts w:hint="eastAsia" w:ascii="宋体" w:hAnsi="宋体" w:eastAsia="宋体" w:cs="宋体"/>
          <w:color w:val="auto"/>
          <w:sz w:val="22"/>
          <w:highlight w:val="none"/>
        </w:rPr>
        <w:t>4.评标</w:t>
      </w:r>
    </w:p>
    <w:p>
      <w:pPr>
        <w:pStyle w:val="15"/>
        <w:adjustRightInd/>
        <w:spacing w:line="360" w:lineRule="exact"/>
        <w:ind w:firstLine="416"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采购代理机构按照招标文件规定的时间、地点及程序组织评审。评审活动一般应按以下程序组织开展：</w:t>
      </w:r>
    </w:p>
    <w:p>
      <w:pPr>
        <w:pStyle w:val="15"/>
        <w:adjustRightInd/>
        <w:spacing w:line="360" w:lineRule="exact"/>
        <w:ind w:firstLine="440"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4.1</w:t>
      </w:r>
      <w:r>
        <w:rPr>
          <w:rFonts w:hint="eastAsia" w:ascii="宋体" w:hAnsi="宋体" w:eastAsia="宋体" w:cs="宋体"/>
          <w:color w:val="auto"/>
          <w:spacing w:val="-6"/>
          <w:sz w:val="22"/>
          <w:highlight w:val="none"/>
        </w:rPr>
        <w:t>开启评审场地的录音录像采集设备，并确保其正常运行。</w:t>
      </w:r>
    </w:p>
    <w:p>
      <w:pPr>
        <w:pStyle w:val="15"/>
        <w:adjustRightInd/>
        <w:spacing w:line="360" w:lineRule="exact"/>
        <w:ind w:firstLine="440"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4.2</w:t>
      </w:r>
      <w:r>
        <w:rPr>
          <w:rFonts w:hint="eastAsia" w:ascii="宋体" w:hAnsi="宋体" w:eastAsia="宋体" w:cs="宋体"/>
          <w:color w:val="auto"/>
          <w:spacing w:val="-6"/>
          <w:sz w:val="22"/>
          <w:highlight w:val="none"/>
        </w:rPr>
        <w:t>核验出席评审活动现场的评审小组各成员身份，并要求其分别登记、签到，按规定统一收缴、保存其通讯工具，无关人员一律拒绝其进入评审现场。</w:t>
      </w:r>
    </w:p>
    <w:p>
      <w:pPr>
        <w:pStyle w:val="15"/>
        <w:adjustRightInd/>
        <w:spacing w:line="360" w:lineRule="exact"/>
        <w:ind w:firstLine="416"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4.3介绍评审现场的人员情况，宣布评审工作纪律，告知评审小组应当回避情形；组织推选评审小组组长。</w:t>
      </w:r>
    </w:p>
    <w:p>
      <w:pPr>
        <w:pStyle w:val="15"/>
        <w:adjustRightInd/>
        <w:spacing w:line="360" w:lineRule="exact"/>
        <w:ind w:firstLine="440"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4.4宣布获取</w:t>
      </w:r>
      <w:r>
        <w:rPr>
          <w:rFonts w:hint="eastAsia" w:ascii="宋体" w:hAnsi="宋体" w:eastAsia="宋体" w:cs="宋体"/>
          <w:color w:val="auto"/>
          <w:spacing w:val="-6"/>
          <w:sz w:val="22"/>
          <w:highlight w:val="none"/>
        </w:rPr>
        <w:t>本项目采购的投标人名单，宣读最终提交投标文件且通过资格审查的投标人名单，组织评审小组各位成员签订《政府采购评审人员廉洁自律承诺书》。</w:t>
      </w:r>
    </w:p>
    <w:p>
      <w:pPr>
        <w:pStyle w:val="15"/>
        <w:adjustRightInd/>
        <w:spacing w:line="360" w:lineRule="exact"/>
        <w:ind w:firstLine="416"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4.5根据需要简要介绍招标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小组提出的有关招标文件、投标文件的问题进行必要的说明、解释或讨论。</w:t>
      </w:r>
      <w:r>
        <w:rPr>
          <w:rFonts w:hint="eastAsia" w:ascii="宋体" w:hAnsi="宋体" w:eastAsia="宋体" w:cs="宋体"/>
          <w:color w:val="auto"/>
          <w:kern w:val="0"/>
          <w:sz w:val="22"/>
          <w:highlight w:val="none"/>
        </w:rPr>
        <w:t>评审小组要求投标人澄清、说明或者补正，须通过政采云平台要求澄清、说明或者补正。</w:t>
      </w:r>
    </w:p>
    <w:p>
      <w:pPr>
        <w:pStyle w:val="48"/>
        <w:snapToGrid w:val="0"/>
        <w:spacing w:line="360" w:lineRule="exact"/>
        <w:ind w:firstLine="416"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4.6评审小组组长组织评审小组独立评审。评审小组对拟认定为投标文件无效的，应组织相关投标人代表进行陈述、澄清或申辩；评审小组组长对打分结果进行校对、核对并汇总统计；对明显畸高、畸低的评分（其总评分偏离平均分30%以上的），评审小组组长应提醒相关评审人员进行复核或书面说明理由，评审人员拒绝说明的，由现场监督员据实记录；评审人员的评审、修改记录应保留原件，随项目其他资料一并存档。</w:t>
      </w:r>
    </w:p>
    <w:p>
      <w:pPr>
        <w:pStyle w:val="15"/>
        <w:adjustRightInd/>
        <w:spacing w:line="360" w:lineRule="exact"/>
        <w:ind w:firstLine="416"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做好评审现场相关记录，做好评审报告起草、有关内容电脑文字录入等工作，并要求评审小组各成员签字确认。</w:t>
      </w:r>
    </w:p>
    <w:p>
      <w:pPr>
        <w:pStyle w:val="15"/>
        <w:adjustRightInd/>
        <w:spacing w:line="360" w:lineRule="exact"/>
        <w:ind w:firstLine="416" w:firstLineChars="200"/>
        <w:textAlignment w:val="auto"/>
        <w:rPr>
          <w:rFonts w:hint="eastAsia" w:ascii="宋体" w:hAnsi="宋体" w:eastAsia="宋体" w:cs="宋体"/>
          <w:b/>
          <w:bCs/>
          <w:color w:val="auto"/>
          <w:sz w:val="22"/>
          <w:highlight w:val="none"/>
        </w:rPr>
      </w:pPr>
      <w:r>
        <w:rPr>
          <w:rFonts w:hint="eastAsia" w:ascii="宋体" w:hAnsi="宋体" w:eastAsia="宋体" w:cs="宋体"/>
          <w:color w:val="auto"/>
          <w:spacing w:val="-6"/>
          <w:sz w:val="22"/>
          <w:highlight w:val="none"/>
        </w:rPr>
        <w:t>4.7评审结束后，采购代理机构交还评审人员及其他现场相关人员的通讯工具。</w:t>
      </w:r>
    </w:p>
    <w:p>
      <w:pPr>
        <w:spacing w:line="360" w:lineRule="exact"/>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5.投标无效的情形</w:t>
      </w:r>
    </w:p>
    <w:p>
      <w:pPr>
        <w:pStyle w:val="15"/>
        <w:adjustRightInd/>
        <w:spacing w:line="360" w:lineRule="exact"/>
        <w:ind w:firstLine="440" w:firstLineChars="200"/>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z w:val="22"/>
          <w:highlight w:val="none"/>
          <w:u w:val="single"/>
        </w:rPr>
        <w:t>▲</w:t>
      </w:r>
      <w:r>
        <w:rPr>
          <w:rFonts w:hint="eastAsia" w:ascii="宋体" w:hAnsi="宋体" w:eastAsia="宋体" w:cs="宋体"/>
          <w:color w:val="auto"/>
          <w:spacing w:val="-6"/>
          <w:sz w:val="22"/>
          <w:highlight w:val="none"/>
          <w:u w:val="single"/>
        </w:rPr>
        <w:t>5.1有下列情形之一的，将不予受理投标文件：</w:t>
      </w:r>
    </w:p>
    <w:p>
      <w:pPr>
        <w:pStyle w:val="15"/>
        <w:adjustRightInd/>
        <w:spacing w:line="360" w:lineRule="exact"/>
        <w:ind w:firstLine="416" w:firstLineChars="200"/>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pacing w:val="-6"/>
          <w:sz w:val="22"/>
          <w:highlight w:val="none"/>
          <w:u w:val="single"/>
        </w:rPr>
        <w:t>（1）逾期上传电子档投标文件至“政采云”平台的；</w:t>
      </w:r>
    </w:p>
    <w:p>
      <w:pPr>
        <w:pStyle w:val="15"/>
        <w:adjustRightInd/>
        <w:spacing w:line="360" w:lineRule="exact"/>
        <w:ind w:firstLine="416" w:firstLineChars="200"/>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pacing w:val="-6"/>
          <w:sz w:val="22"/>
          <w:highlight w:val="none"/>
          <w:u w:val="single"/>
        </w:rPr>
        <w:t>（2）仅递交备份电子投标文件的；</w:t>
      </w:r>
    </w:p>
    <w:p>
      <w:pPr>
        <w:pStyle w:val="15"/>
        <w:adjustRightInd/>
        <w:spacing w:line="360" w:lineRule="exact"/>
        <w:ind w:firstLine="416" w:firstLineChars="200"/>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pacing w:val="-6"/>
          <w:sz w:val="22"/>
          <w:highlight w:val="none"/>
          <w:u w:val="single"/>
        </w:rPr>
        <w:t>（3）投标文件只有商务技术文件或者商务技术文件与报价文件部分上传在一份文档中的；</w:t>
      </w:r>
    </w:p>
    <w:p>
      <w:pPr>
        <w:spacing w:line="360" w:lineRule="exact"/>
        <w:ind w:firstLine="416" w:firstLineChars="200"/>
        <w:rPr>
          <w:rFonts w:hint="eastAsia" w:ascii="宋体" w:hAnsi="宋体" w:eastAsia="宋体" w:cs="宋体"/>
          <w:color w:val="auto"/>
          <w:spacing w:val="-6"/>
          <w:sz w:val="22"/>
          <w:highlight w:val="none"/>
          <w:u w:val="single"/>
        </w:rPr>
      </w:pPr>
      <w:r>
        <w:rPr>
          <w:rFonts w:hint="eastAsia" w:ascii="宋体" w:hAnsi="宋体" w:eastAsia="宋体" w:cs="宋体"/>
          <w:color w:val="auto"/>
          <w:spacing w:val="-6"/>
          <w:sz w:val="22"/>
          <w:highlight w:val="none"/>
          <w:u w:val="single"/>
        </w:rPr>
        <w:t>（4）</w:t>
      </w:r>
      <w:r>
        <w:rPr>
          <w:rFonts w:hint="eastAsia" w:ascii="宋体" w:hAnsi="宋体" w:eastAsia="宋体" w:cs="宋体"/>
          <w:color w:val="auto"/>
          <w:sz w:val="22"/>
          <w:highlight w:val="none"/>
          <w:u w:val="single"/>
        </w:rPr>
        <w:t>电子投标文件解密失败的，且未在规定时间内提交备份投标文件的视为投标无效。</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▲5.2在资格审查时，如发现下列情形之一的，投标无效：</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（1）资格审查材料不全的，或者不符合招标文件要求的；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（2）“资格文件”未按招标文件要求签署、盖章的；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（3）经查询存在不良信用记录的。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▲5.3在符合性审查、商务和技术评审时，如发现下列情形之一的，投标无效：</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（1）“资格文件”或“商务和技术文件”未按招标文件要求签署、盖章的；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（2）未提供合法、有效法定代表人授权委托书；法定代表人或委托授权代表与投标文件所附身份证明不符；</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（3）采购人拟采购的产品属于政府强制采购的节能产品品目清单范围的，投标人相应的投标产品未获得国家确定的认证机构出具的、处于有效期之内的节能产品认证证书的；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（4）明显不符合招标文件实质性要求或者与招标文件中标“▲且加下划线”的内容发生实质性偏离的；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（5）未提供或未如实提供采购需求偏离表的；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（6）未提供或未如实提供货物的技术参数，或者投标文件标明的响应或偏离与事实不符或虚假投标的；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（7）投标有效期不能满足招标文件要求的；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（8）投标技术方案不明确，存在一个或一个以上备选（替代）投标方案的；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（9）投标文件含有采购人不能接受的附加条件的；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（10）在“资格文件”或“商务和技术文件”中出现投标报价的；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（11）法律、法规和招标文件中规定的其他无效情形的。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▲5.4在报价评审时，如发现下列情形之一的，投标无效：</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（1）报价文件未按招标文件要求签署、盖章的；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（2）未按照招标文件标明的币种报价的；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（3）报价超出招标文件中规定的预算金额或者最高限价的；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（4）投标报价具有选择性，或者开标价格与投标文件承诺的优惠（折扣）价格不一致的；</w:t>
      </w:r>
    </w:p>
    <w:p>
      <w:pPr>
        <w:spacing w:line="360" w:lineRule="exact"/>
        <w:ind w:firstLine="440" w:firstLineChars="200"/>
        <w:rPr>
          <w:rFonts w:hint="eastAsia" w:ascii="宋体" w:hAnsi="宋体" w:eastAsia="宋体" w:cs="宋体"/>
          <w:color w:val="auto"/>
          <w:kern w:val="0"/>
          <w:sz w:val="24"/>
          <w:highlight w:val="none"/>
        </w:rPr>
      </w:pPr>
      <w:r>
        <w:rPr>
          <w:rFonts w:hint="eastAsia" w:ascii="宋体" w:hAnsi="宋体" w:eastAsia="宋体" w:cs="宋体"/>
          <w:color w:val="auto"/>
          <w:sz w:val="22"/>
          <w:highlight w:val="none"/>
          <w:u w:val="single"/>
        </w:rPr>
        <w:t>（5）</w:t>
      </w:r>
      <w:r>
        <w:rPr>
          <w:rFonts w:hint="eastAsia" w:ascii="宋体" w:hAnsi="宋体" w:eastAsia="宋体" w:cs="宋体"/>
          <w:color w:val="auto"/>
          <w:kern w:val="0"/>
          <w:sz w:val="22"/>
          <w:highlight w:val="none"/>
          <w:u w:val="single"/>
        </w:rPr>
        <w:t>投标人对根据修正原则修正后的报价不确认的；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6）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w:t>
      </w:r>
    </w:p>
    <w:p>
      <w:pPr>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rPr>
        <w:t>▲5.5</w:t>
      </w:r>
      <w:r>
        <w:rPr>
          <w:rFonts w:hint="eastAsia" w:ascii="宋体" w:hAnsi="宋体" w:eastAsia="宋体" w:cs="宋体"/>
          <w:color w:val="auto"/>
          <w:sz w:val="22"/>
          <w:highlight w:val="none"/>
          <w:u w:val="single"/>
          <w:lang w:val="zh-CN"/>
        </w:rPr>
        <w:t>有下列情形之一的，视为投标人串通投标，</w:t>
      </w:r>
      <w:r>
        <w:rPr>
          <w:rFonts w:hint="eastAsia" w:ascii="宋体" w:hAnsi="宋体" w:eastAsia="宋体" w:cs="宋体"/>
          <w:color w:val="auto"/>
          <w:sz w:val="22"/>
          <w:highlight w:val="none"/>
          <w:u w:val="single"/>
        </w:rPr>
        <w:t>投标无效</w:t>
      </w:r>
      <w:r>
        <w:rPr>
          <w:rFonts w:hint="eastAsia" w:ascii="宋体" w:hAnsi="宋体" w:eastAsia="宋体" w:cs="宋体"/>
          <w:color w:val="auto"/>
          <w:sz w:val="22"/>
          <w:highlight w:val="none"/>
          <w:u w:val="single"/>
          <w:lang w:val="zh-CN"/>
        </w:rPr>
        <w:t>，由采购人或采购代理机构上报政府采购监督管理部门，视情列入不良行为记录名单，在一至三年内禁止参加政府采购活动：</w:t>
      </w:r>
    </w:p>
    <w:p>
      <w:pPr>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1</w:t>
      </w:r>
      <w:r>
        <w:rPr>
          <w:rFonts w:hint="eastAsia" w:ascii="宋体" w:hAnsi="宋体" w:eastAsia="宋体" w:cs="宋体"/>
          <w:color w:val="auto"/>
          <w:sz w:val="22"/>
          <w:highlight w:val="none"/>
          <w:u w:val="single"/>
          <w:lang w:val="zh-CN"/>
        </w:rPr>
        <w:t>）不同投标人的投标文件由同一单位或者个人编制；</w:t>
      </w:r>
    </w:p>
    <w:p>
      <w:pPr>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2</w:t>
      </w:r>
      <w:r>
        <w:rPr>
          <w:rFonts w:hint="eastAsia" w:ascii="宋体" w:hAnsi="宋体" w:eastAsia="宋体" w:cs="宋体"/>
          <w:color w:val="auto"/>
          <w:sz w:val="22"/>
          <w:highlight w:val="none"/>
          <w:u w:val="single"/>
          <w:lang w:val="zh-CN"/>
        </w:rPr>
        <w:t>）不同投标人委托同一单位或者个人办理投标事宜；</w:t>
      </w:r>
    </w:p>
    <w:p>
      <w:pPr>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3</w:t>
      </w:r>
      <w:r>
        <w:rPr>
          <w:rFonts w:hint="eastAsia" w:ascii="宋体" w:hAnsi="宋体" w:eastAsia="宋体" w:cs="宋体"/>
          <w:color w:val="auto"/>
          <w:sz w:val="22"/>
          <w:highlight w:val="none"/>
          <w:u w:val="single"/>
          <w:lang w:val="zh-CN"/>
        </w:rPr>
        <w:t>）不同投标人的投标文件载明的项目管理成员或者联系人员为同一人；</w:t>
      </w:r>
    </w:p>
    <w:p>
      <w:pPr>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4</w:t>
      </w:r>
      <w:r>
        <w:rPr>
          <w:rFonts w:hint="eastAsia" w:ascii="宋体" w:hAnsi="宋体" w:eastAsia="宋体" w:cs="宋体"/>
          <w:color w:val="auto"/>
          <w:sz w:val="22"/>
          <w:highlight w:val="none"/>
          <w:u w:val="single"/>
          <w:lang w:val="zh-CN"/>
        </w:rPr>
        <w:t>）不同投标人的投标文件异常一致或者投标报价呈规律性差异；</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5</w:t>
      </w:r>
      <w:r>
        <w:rPr>
          <w:rFonts w:hint="eastAsia" w:ascii="宋体" w:hAnsi="宋体" w:eastAsia="宋体" w:cs="宋体"/>
          <w:color w:val="auto"/>
          <w:sz w:val="22"/>
          <w:highlight w:val="none"/>
          <w:u w:val="single"/>
          <w:lang w:val="zh-CN"/>
        </w:rPr>
        <w:t>）不同投标人的投标文件相互混装。</w:t>
      </w:r>
    </w:p>
    <w:p>
      <w:pPr>
        <w:pStyle w:val="15"/>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6.错误修正</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投标文件报价出现前后不一致的，除招标文件另有规定外，按照下列规定修正：</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6.1投标文件中开标一览表（报价表）内容与投标文件中相应内容不一致的，以开标一览表（报价表）为准；</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6.2大写金额和小写金额不一致的，以大写金额为准；</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6.3单价金额小数点或者百分比有明显错位的，以开标一览表的总价为准，并修改单价；</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6.4总价金额与按单价汇总金额不一致的，以单价金额计算结果为准。</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6.5对不同文字文本投标文件的解释发生异义的，以中文文本为准</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6.6客户端填写的报价与以pdf格式上传文件中的报价不一致的，应以Pdf格式上传文件中的报价为准。</w:t>
      </w:r>
    </w:p>
    <w:p>
      <w:pPr>
        <w:pStyle w:val="15"/>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同时出现两种以上不一致的，按照前款规定的顺序修正。修正后的报价按照本招标文件“7.投标文件的澄清”规定经投标人确认后产生约束力，投标人不确认的，其投标无效。</w:t>
      </w:r>
    </w:p>
    <w:p>
      <w:pPr>
        <w:pStyle w:val="15"/>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7.投标文件的澄清</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7.1为有助于投标文件的审查、评价，评审小组可以在“政采云”平台在线询标或其他有效形式要求投标人对同一份投标文件含义不明确或同类问题表述不一致的内容（招标文件</w:t>
      </w:r>
      <w:r>
        <w:rPr>
          <w:rFonts w:hint="eastAsia" w:ascii="宋体" w:hAnsi="宋体" w:eastAsia="宋体" w:cs="宋体"/>
          <w:b/>
          <w:bCs/>
          <w:color w:val="auto"/>
          <w:sz w:val="22"/>
          <w:highlight w:val="none"/>
          <w:lang w:eastAsia="zh-CN"/>
        </w:rPr>
        <w:t>其他</w:t>
      </w:r>
      <w:r>
        <w:rPr>
          <w:rFonts w:hint="eastAsia" w:ascii="宋体" w:hAnsi="宋体" w:eastAsia="宋体" w:cs="宋体"/>
          <w:b/>
          <w:bCs/>
          <w:color w:val="auto"/>
          <w:sz w:val="22"/>
          <w:highlight w:val="none"/>
        </w:rPr>
        <w:t>地方有规定处理方法的除外）作必要的澄清或说明，投标人应采用在线回复或其他有效形式在询标规定时间内进行澄清或说明（需盖电子签章或实体公章），但不得超出投标文件的范围或改变投标文件的实质性内容。根据上述第6条规定，凡属于评审小组在评标中发现的计算错误并进行核实的修改不在此列。</w:t>
      </w:r>
    </w:p>
    <w:p>
      <w:pPr>
        <w:pStyle w:val="15"/>
        <w:tabs>
          <w:tab w:val="left" w:pos="0"/>
        </w:tabs>
        <w:spacing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bCs/>
          <w:color w:val="auto"/>
          <w:sz w:val="22"/>
          <w:highlight w:val="none"/>
        </w:rPr>
        <w:t>7.2如果投标人代表拒绝按评审小组要求在“政采云”平台作出在线回复且无其他有效回复方式的，评审小组可以对其作出投标无效处理。</w:t>
      </w:r>
    </w:p>
    <w:p>
      <w:pPr>
        <w:tabs>
          <w:tab w:val="left" w:pos="1365"/>
        </w:tabs>
        <w:spacing w:line="360" w:lineRule="exact"/>
        <w:ind w:firstLine="442" w:firstLineChars="200"/>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rPr>
        <w:t>▲</w:t>
      </w:r>
      <w:r>
        <w:rPr>
          <w:rFonts w:hint="eastAsia" w:ascii="宋体" w:hAnsi="宋体" w:eastAsia="宋体" w:cs="宋体"/>
          <w:color w:val="auto"/>
          <w:sz w:val="22"/>
          <w:highlight w:val="none"/>
          <w:u w:val="single"/>
        </w:rPr>
        <w:t>7.3经澄清后，若偏差仍存在，且不可接受，投标人则被认为是“没有实质性响应招标文件要求”，其投标不进入下一步评审。</w:t>
      </w:r>
    </w:p>
    <w:p>
      <w:pPr>
        <w:pStyle w:val="15"/>
        <w:tabs>
          <w:tab w:val="left" w:pos="630"/>
        </w:tabs>
        <w:adjustRightInd/>
        <w:snapToGrid w:val="0"/>
        <w:spacing w:line="360" w:lineRule="exact"/>
        <w:ind w:firstLine="433" w:firstLineChars="196"/>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8.评标原则和评标办法</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8.1评审小组成员应当按照客观、公正、审慎的原则，根据招标文件规定的评标程序、评标方法和评标标准进行独立评审。招标文件内容违反国家有关强制性规定的，评审小组应当停止评标并向采购人或者采购代理机构说明情况。</w:t>
      </w:r>
    </w:p>
    <w:p>
      <w:pPr>
        <w:pStyle w:val="28"/>
        <w:spacing w:before="0" w:beforeAutospacing="0" w:after="0" w:afterAutospacing="0" w:line="360" w:lineRule="exact"/>
        <w:ind w:firstLine="440" w:firstLineChars="200"/>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8.2评标中因评审小组成员缺席、回避或者健康等特殊原因导致评审小组组成不符合规定的，依法补足后继续评标。被更换的评审小组成员所作出的评标意见无效。</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8.3评审小组成员对需要共同认定的事项存在争议的，应当按照少数服从多数的原则作出结论。持不同意见的评审小组成员应当在评标报告上签署不同意见及理由，否则视为同意评标报告。</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8.4评标办法。本项目评标办法是综合评分法，具体评标内容及评分标准等详见第六部分“评标原则及方法”。</w:t>
      </w:r>
    </w:p>
    <w:p>
      <w:pPr>
        <w:pStyle w:val="15"/>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8.5评标过程中遇到特殊情况，由评审小组遵循公开、公正原则，采取投票方式按照少数服从多数原则决定。</w:t>
      </w:r>
    </w:p>
    <w:p>
      <w:pPr>
        <w:pStyle w:val="15"/>
        <w:adjustRightInd/>
        <w:snapToGrid w:val="0"/>
        <w:spacing w:line="360" w:lineRule="exact"/>
        <w:ind w:firstLine="440" w:firstLineChars="200"/>
        <w:textAlignment w:val="auto"/>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8.6</w:t>
      </w:r>
      <w:r>
        <w:rPr>
          <w:rFonts w:hint="eastAsia" w:ascii="宋体" w:hAnsi="宋体" w:eastAsia="宋体" w:cs="宋体"/>
          <w:b/>
          <w:bCs/>
          <w:color w:val="auto"/>
          <w:sz w:val="22"/>
          <w:highlight w:val="none"/>
        </w:rPr>
        <w:t>《中华人民共和国政府采购法》第三十六条在招标采购中，出现下列情形之一的，应予废标：</w:t>
      </w:r>
    </w:p>
    <w:p>
      <w:pPr>
        <w:pStyle w:val="15"/>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8.6.1符合专业条件的供应商或者对招标文件作实质响应的供应商不足三家的；</w:t>
      </w:r>
    </w:p>
    <w:p>
      <w:pPr>
        <w:pStyle w:val="15"/>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8.6.2出现影响采购公正的违法、违规行为的；</w:t>
      </w:r>
    </w:p>
    <w:p>
      <w:pPr>
        <w:pStyle w:val="15"/>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8.6.3投标人的报价均超过了采购预算，采购人不能支付的；</w:t>
      </w:r>
    </w:p>
    <w:p>
      <w:pPr>
        <w:pStyle w:val="15"/>
        <w:adjustRightInd/>
        <w:snapToGrid w:val="0"/>
        <w:spacing w:line="360" w:lineRule="exact"/>
        <w:ind w:firstLine="442" w:firstLineChars="200"/>
        <w:textAlignment w:val="auto"/>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8.6.4因重大变故，采购任务取消的。</w:t>
      </w:r>
    </w:p>
    <w:p>
      <w:pPr>
        <w:tabs>
          <w:tab w:val="left" w:pos="136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9.确定中标候选人</w:t>
      </w:r>
    </w:p>
    <w:p>
      <w:pPr>
        <w:tabs>
          <w:tab w:val="left" w:pos="136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9.1本次招标由评审小组确定中标候选人（招标文件另有规定的除外）。</w:t>
      </w:r>
    </w:p>
    <w:p>
      <w:pPr>
        <w:tabs>
          <w:tab w:val="left" w:pos="136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9.2本项目评标结果按评审后得分由高到低顺序排列推荐不少于2名中标候选人，并编写评审报告。采用综合评分法的，评标结果按评审后得分由高到低顺序排列。得分相同的，按投标报价由低到高顺序排列。得分且投标报价相同的，按照评审因素的量化指标评审得分最高的投标人为排名第一的中标候选人。</w:t>
      </w:r>
    </w:p>
    <w:p>
      <w:pPr>
        <w:widowControl/>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9.3排名第一的中标候选人放弃中标；因不可抗力提出不能履行合同；或者招标文件规定应当提交履约保证金而在规定的期限内未能提交的；或未能在规定时间内与采购人签订合同的；或者经质疑，采购人审查后，确因排名第一的候选人在本次采购活动中存在违法违规行为或其他原因使质疑成立的，采购人可以直接确定排名第二的中标候选人为中标人，也可重新组织采购。</w:t>
      </w:r>
    </w:p>
    <w:p>
      <w:pPr>
        <w:tabs>
          <w:tab w:val="left" w:pos="1365"/>
        </w:tabs>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9.4采购人根据招标文件、中标人的投标文件、合同等材料及时组织验收，并严把质量关。</w:t>
      </w:r>
    </w:p>
    <w:p>
      <w:pPr>
        <w:tabs>
          <w:tab w:val="left" w:pos="1365"/>
        </w:tabs>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9.5采购代理机构对决标结果不做任何解释，也不保证最低价中标。</w:t>
      </w:r>
    </w:p>
    <w:p>
      <w:pPr>
        <w:pStyle w:val="15"/>
        <w:snapToGrid w:val="0"/>
        <w:spacing w:line="360" w:lineRule="exact"/>
        <w:ind w:firstLine="433" w:firstLineChars="196"/>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10.定标</w:t>
      </w:r>
    </w:p>
    <w:p>
      <w:pPr>
        <w:pStyle w:val="15"/>
        <w:snapToGrid w:val="0"/>
        <w:spacing w:line="360" w:lineRule="exact"/>
        <w:ind w:firstLine="433" w:firstLineChars="196"/>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（一）确定中标人。本项目由采购人确定中标人。</w:t>
      </w:r>
    </w:p>
    <w:p>
      <w:pPr>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10.1.采购代理机构自评审结束之日起2个工作日内将评审报告送交采购人。采购人收到评审报告之日起5个工作日内在评审报告推荐的中标候选人中按照排序由高到低的原则确定中标人，也可以书面授权评审小组直接确定中标人。采购人逾期未确定中标人且不提出异议的，视为确定评审报告提出的排序第一的投标人为中标人。在采购结果确认环节，中标候选人撤销文件不能成为采购人不确认采购结果的正当理由。</w:t>
      </w:r>
    </w:p>
    <w:p>
      <w:pPr>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10.2.采购代理机构自中标人确定之日起2个工作日内，在省级以上财政部门指定的政府采购信息发布媒体上公告中标结果，同时向中标人发出中标通知书。</w:t>
      </w:r>
    </w:p>
    <w:p>
      <w:pPr>
        <w:spacing w:line="400" w:lineRule="exact"/>
        <w:jc w:val="center"/>
        <w:rPr>
          <w:rFonts w:hint="eastAsia" w:ascii="宋体" w:hAnsi="宋体" w:eastAsia="宋体" w:cs="宋体"/>
          <w:b/>
          <w:color w:val="auto"/>
          <w:sz w:val="26"/>
          <w:highlight w:val="none"/>
        </w:rPr>
      </w:pPr>
    </w:p>
    <w:p>
      <w:pPr>
        <w:spacing w:line="400" w:lineRule="exact"/>
        <w:jc w:val="center"/>
        <w:outlineLvl w:val="1"/>
        <w:rPr>
          <w:rFonts w:hint="eastAsia" w:ascii="宋体" w:hAnsi="宋体" w:eastAsia="宋体" w:cs="宋体"/>
          <w:b/>
          <w:color w:val="auto"/>
          <w:sz w:val="26"/>
          <w:highlight w:val="none"/>
        </w:rPr>
      </w:pPr>
      <w:bookmarkStart w:id="13" w:name="_Toc20701"/>
      <w:r>
        <w:rPr>
          <w:rFonts w:hint="eastAsia" w:ascii="宋体" w:hAnsi="宋体" w:eastAsia="宋体" w:cs="宋体"/>
          <w:b/>
          <w:color w:val="auto"/>
          <w:sz w:val="26"/>
          <w:highlight w:val="none"/>
        </w:rPr>
        <w:t>六、授予合同</w:t>
      </w:r>
      <w:bookmarkEnd w:id="13"/>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中标后无正当理由拒不与采购人签订政府采购合同，将取消中标资格，并处以采购金额千分之五以上千分之十以下的罚款，由政府采购监督管理部门列入不良行为记录名单，在一至三年内禁止参加政府采购活动，有违法所得的，并处没收违法所得。</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3.投标人在政府采购活动中违反政府采购相关规定给采购组织机构造成损失的，投标人承担赔偿责任；中标供应商放弃中标资格导致重新采购的，应当承担支付采购代理服务费和专家评审费等费用在内的赔偿责任。</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4.采购人不得向供应商索要或者接受其给予的赠品、回扣或者与采购无关的其他商品、服务。采购过程（采购文件）中应明确以下要求：</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4.1不得明示或暗示供应商提供赠品、回扣、采购预算中本身不包含的其他商品或服务；</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4.2供应商承诺提供赠品、回扣、采购预算中本身不包含的其他商品或服务，视作无效承诺；不得因无效承诺对供应商实行差别待遇或者歧视待遇；</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4.3合同总价不为零，报价明细表中部分产品、服务单价为零的，视作已包含在总价中（采购文件中明确）；</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4.4不得将供应商提供赠品、回扣、采购预算中本身不包含的其他商品或服务作为中标（成交）条件或者合同签订条件；</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4.5合同签订后，不得接受供应商无效承诺的赠品、回扣、采购预算中本身不包含的其他商品或服务；</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4.6合同签订后，不得向供应商索要赠品、回扣、采购预算中本身不包含的其他商品或服务；</w:t>
      </w:r>
    </w:p>
    <w:p>
      <w:pPr>
        <w:spacing w:line="360" w:lineRule="exact"/>
        <w:ind w:firstLine="464" w:firstLineChars="200"/>
        <w:rPr>
          <w:rFonts w:hint="eastAsia" w:ascii="宋体" w:hAnsi="宋体" w:eastAsia="宋体" w:cs="宋体"/>
          <w:color w:val="auto"/>
          <w:highlight w:val="none"/>
        </w:rPr>
      </w:pPr>
      <w:r>
        <w:rPr>
          <w:rFonts w:hint="eastAsia" w:ascii="宋体" w:hAnsi="宋体" w:eastAsia="宋体" w:cs="宋体"/>
          <w:color w:val="auto"/>
          <w:spacing w:val="6"/>
          <w:sz w:val="22"/>
          <w:highlight w:val="none"/>
        </w:rPr>
        <w:t>4.7履约验收环节，不得因供应商提供赠品、回扣、采购预算中本身不包含的其他商品或服务减免供应商违约责任。</w:t>
      </w:r>
    </w:p>
    <w:p>
      <w:pPr>
        <w:spacing w:line="360" w:lineRule="exact"/>
        <w:jc w:val="center"/>
        <w:rPr>
          <w:rFonts w:hint="eastAsia" w:ascii="宋体" w:hAnsi="宋体" w:eastAsia="宋体" w:cs="宋体"/>
          <w:b/>
          <w:color w:val="auto"/>
          <w:sz w:val="26"/>
          <w:highlight w:val="none"/>
        </w:rPr>
      </w:pPr>
    </w:p>
    <w:p>
      <w:pPr>
        <w:spacing w:line="360" w:lineRule="exact"/>
        <w:jc w:val="center"/>
        <w:outlineLvl w:val="1"/>
        <w:rPr>
          <w:rFonts w:hint="eastAsia" w:ascii="宋体" w:hAnsi="宋体" w:eastAsia="宋体" w:cs="宋体"/>
          <w:b/>
          <w:color w:val="auto"/>
          <w:sz w:val="28"/>
          <w:szCs w:val="28"/>
          <w:highlight w:val="none"/>
        </w:rPr>
      </w:pPr>
      <w:bookmarkStart w:id="14" w:name="_Toc32512"/>
      <w:r>
        <w:rPr>
          <w:rFonts w:hint="eastAsia" w:ascii="宋体" w:hAnsi="宋体" w:eastAsia="宋体" w:cs="宋体"/>
          <w:b/>
          <w:color w:val="auto"/>
          <w:sz w:val="26"/>
          <w:highlight w:val="none"/>
        </w:rPr>
        <w:t>七、</w:t>
      </w:r>
      <w:r>
        <w:rPr>
          <w:rFonts w:hint="eastAsia" w:ascii="宋体" w:hAnsi="宋体" w:eastAsia="宋体" w:cs="宋体"/>
          <w:b/>
          <w:color w:val="auto"/>
          <w:sz w:val="28"/>
          <w:szCs w:val="28"/>
          <w:highlight w:val="none"/>
        </w:rPr>
        <w:t>可中止电子交易活动的情形</w:t>
      </w:r>
      <w:bookmarkEnd w:id="14"/>
    </w:p>
    <w:p>
      <w:pPr>
        <w:spacing w:line="360" w:lineRule="exact"/>
        <w:ind w:firstLine="464" w:firstLineChars="200"/>
        <w:rPr>
          <w:rFonts w:hint="eastAsia" w:ascii="宋体" w:hAnsi="宋体" w:eastAsia="宋体" w:cs="宋体"/>
          <w:color w:val="auto"/>
          <w:spacing w:val="6"/>
          <w:sz w:val="22"/>
          <w:highlight w:val="none"/>
          <w:lang w:val="zh-CN"/>
        </w:rPr>
      </w:pPr>
      <w:r>
        <w:rPr>
          <w:rFonts w:hint="eastAsia" w:ascii="宋体" w:hAnsi="宋体" w:eastAsia="宋体" w:cs="宋体"/>
          <w:color w:val="auto"/>
          <w:spacing w:val="6"/>
          <w:sz w:val="22"/>
          <w:highlight w:val="none"/>
        </w:rPr>
        <w:t>1.</w:t>
      </w:r>
      <w:r>
        <w:rPr>
          <w:rFonts w:hint="eastAsia" w:ascii="宋体" w:hAnsi="宋体" w:eastAsia="宋体" w:cs="宋体"/>
          <w:color w:val="auto"/>
          <w:spacing w:val="6"/>
          <w:sz w:val="22"/>
          <w:highlight w:val="none"/>
          <w:lang w:val="zh-CN"/>
        </w:rPr>
        <w:t>采购过程中出现以下情形，导致电子交易平台无法正常运行，或者无法保证电子交易的公平、公正和安全时，采购组织机构可中止电子交易活动：</w:t>
      </w:r>
    </w:p>
    <w:p>
      <w:pPr>
        <w:spacing w:line="360" w:lineRule="exact"/>
        <w:ind w:firstLine="464" w:firstLineChars="200"/>
        <w:rPr>
          <w:rFonts w:hint="eastAsia" w:ascii="宋体" w:hAnsi="宋体" w:eastAsia="宋体" w:cs="宋体"/>
          <w:color w:val="auto"/>
          <w:spacing w:val="6"/>
          <w:sz w:val="22"/>
          <w:highlight w:val="none"/>
          <w:lang w:val="zh-CN"/>
        </w:rPr>
      </w:pPr>
      <w:r>
        <w:rPr>
          <w:rFonts w:hint="eastAsia" w:ascii="宋体" w:hAnsi="宋体" w:eastAsia="宋体" w:cs="宋体"/>
          <w:color w:val="auto"/>
          <w:spacing w:val="6"/>
          <w:sz w:val="22"/>
          <w:highlight w:val="none"/>
        </w:rPr>
        <w:t>1.1</w:t>
      </w:r>
      <w:r>
        <w:rPr>
          <w:rFonts w:hint="eastAsia" w:ascii="宋体" w:hAnsi="宋体" w:eastAsia="宋体" w:cs="宋体"/>
          <w:color w:val="auto"/>
          <w:spacing w:val="6"/>
          <w:sz w:val="22"/>
          <w:highlight w:val="none"/>
          <w:lang w:val="zh-CN"/>
        </w:rPr>
        <w:t>电子交易平台发生故障而无法登录访问的； </w:t>
      </w:r>
    </w:p>
    <w:p>
      <w:pPr>
        <w:spacing w:line="360" w:lineRule="exact"/>
        <w:ind w:firstLine="464" w:firstLineChars="200"/>
        <w:rPr>
          <w:rFonts w:hint="eastAsia" w:ascii="宋体" w:hAnsi="宋体" w:eastAsia="宋体" w:cs="宋体"/>
          <w:color w:val="auto"/>
          <w:spacing w:val="6"/>
          <w:sz w:val="22"/>
          <w:highlight w:val="none"/>
          <w:lang w:val="zh-CN"/>
        </w:rPr>
      </w:pPr>
      <w:r>
        <w:rPr>
          <w:rFonts w:hint="eastAsia" w:ascii="宋体" w:hAnsi="宋体" w:eastAsia="宋体" w:cs="宋体"/>
          <w:color w:val="auto"/>
          <w:spacing w:val="6"/>
          <w:sz w:val="22"/>
          <w:highlight w:val="none"/>
        </w:rPr>
        <w:t>1.2</w:t>
      </w:r>
      <w:r>
        <w:rPr>
          <w:rFonts w:hint="eastAsia" w:ascii="宋体" w:hAnsi="宋体" w:eastAsia="宋体" w:cs="宋体"/>
          <w:color w:val="auto"/>
          <w:spacing w:val="6"/>
          <w:sz w:val="22"/>
          <w:highlight w:val="none"/>
          <w:lang w:val="zh-CN"/>
        </w:rPr>
        <w:t>电子交易平台应用或数据库出现错误，不能进行正常操作的；</w:t>
      </w:r>
    </w:p>
    <w:p>
      <w:pPr>
        <w:spacing w:line="360" w:lineRule="exact"/>
        <w:ind w:firstLine="464" w:firstLineChars="200"/>
        <w:rPr>
          <w:rFonts w:hint="eastAsia" w:ascii="宋体" w:hAnsi="宋体" w:eastAsia="宋体" w:cs="宋体"/>
          <w:color w:val="auto"/>
          <w:spacing w:val="6"/>
          <w:sz w:val="22"/>
          <w:highlight w:val="none"/>
          <w:lang w:val="zh-CN"/>
        </w:rPr>
      </w:pPr>
      <w:r>
        <w:rPr>
          <w:rFonts w:hint="eastAsia" w:ascii="宋体" w:hAnsi="宋体" w:eastAsia="宋体" w:cs="宋体"/>
          <w:color w:val="auto"/>
          <w:spacing w:val="6"/>
          <w:sz w:val="22"/>
          <w:highlight w:val="none"/>
        </w:rPr>
        <w:t>1.3</w:t>
      </w:r>
      <w:r>
        <w:rPr>
          <w:rFonts w:hint="eastAsia" w:ascii="宋体" w:hAnsi="宋体" w:eastAsia="宋体" w:cs="宋体"/>
          <w:color w:val="auto"/>
          <w:spacing w:val="6"/>
          <w:sz w:val="22"/>
          <w:highlight w:val="none"/>
          <w:lang w:val="zh-CN"/>
        </w:rPr>
        <w:t>电子交易平台发现严重安全漏洞，有潜在泄密危险的；</w:t>
      </w:r>
    </w:p>
    <w:p>
      <w:pPr>
        <w:spacing w:line="360" w:lineRule="exact"/>
        <w:ind w:firstLine="464" w:firstLineChars="200"/>
        <w:rPr>
          <w:rFonts w:hint="eastAsia" w:ascii="宋体" w:hAnsi="宋体" w:eastAsia="宋体" w:cs="宋体"/>
          <w:color w:val="auto"/>
          <w:spacing w:val="6"/>
          <w:sz w:val="22"/>
          <w:highlight w:val="none"/>
          <w:lang w:val="zh-CN"/>
        </w:rPr>
      </w:pPr>
      <w:r>
        <w:rPr>
          <w:rFonts w:hint="eastAsia" w:ascii="宋体" w:hAnsi="宋体" w:eastAsia="宋体" w:cs="宋体"/>
          <w:color w:val="auto"/>
          <w:spacing w:val="6"/>
          <w:sz w:val="22"/>
          <w:highlight w:val="none"/>
        </w:rPr>
        <w:t>1.4</w:t>
      </w:r>
      <w:r>
        <w:rPr>
          <w:rFonts w:hint="eastAsia" w:ascii="宋体" w:hAnsi="宋体" w:eastAsia="宋体" w:cs="宋体"/>
          <w:color w:val="auto"/>
          <w:spacing w:val="6"/>
          <w:sz w:val="22"/>
          <w:highlight w:val="none"/>
          <w:lang w:val="zh-CN"/>
        </w:rPr>
        <w:t>病毒发作导致不能进行正常操作的； </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1.5其他无法保证电子交易的公平、公正和安全的情况。</w:t>
      </w:r>
    </w:p>
    <w:p>
      <w:pPr>
        <w:spacing w:line="360" w:lineRule="exact"/>
        <w:ind w:firstLine="464" w:firstLineChars="200"/>
        <w:rPr>
          <w:rFonts w:hint="eastAsia" w:ascii="宋体" w:hAnsi="宋体" w:eastAsia="宋体" w:cs="宋体"/>
          <w:b/>
          <w:color w:val="auto"/>
          <w:sz w:val="32"/>
          <w:highlight w:val="none"/>
        </w:rPr>
      </w:pPr>
      <w:r>
        <w:rPr>
          <w:rFonts w:hint="eastAsia" w:ascii="宋体" w:hAnsi="宋体" w:eastAsia="宋体" w:cs="宋体"/>
          <w:color w:val="auto"/>
          <w:spacing w:val="6"/>
          <w:sz w:val="22"/>
          <w:highlight w:val="none"/>
        </w:rPr>
        <w:t>出现前款规定情形，不影响采购公平、公正性的，采购代理机构可以待上述情形消除后继续组织电子交易活动，也可以决定某些环节以纸质形式进行；影响或可能影响采购公平、公正性的，重新采购。</w:t>
      </w:r>
      <w:bookmarkStart w:id="15" w:name="_Toc2785"/>
    </w:p>
    <w:p>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pPr>
        <w:spacing w:line="360" w:lineRule="exact"/>
        <w:jc w:val="center"/>
        <w:outlineLvl w:val="0"/>
        <w:rPr>
          <w:rFonts w:hint="eastAsia" w:ascii="宋体" w:hAnsi="宋体" w:eastAsia="宋体" w:cs="宋体"/>
          <w:b/>
          <w:bCs/>
          <w:color w:val="auto"/>
          <w:szCs w:val="21"/>
          <w:highlight w:val="none"/>
        </w:rPr>
      </w:pPr>
      <w:r>
        <w:rPr>
          <w:rFonts w:hint="eastAsia" w:ascii="宋体" w:hAnsi="宋体" w:eastAsia="宋体" w:cs="宋体"/>
          <w:b/>
          <w:color w:val="auto"/>
          <w:sz w:val="32"/>
          <w:highlight w:val="none"/>
        </w:rPr>
        <w:t xml:space="preserve">第三部分 </w:t>
      </w:r>
      <w:r>
        <w:rPr>
          <w:rFonts w:hint="eastAsia" w:ascii="宋体" w:hAnsi="宋体" w:eastAsia="宋体" w:cs="宋体"/>
          <w:b/>
          <w:bCs/>
          <w:color w:val="auto"/>
          <w:sz w:val="32"/>
          <w:szCs w:val="32"/>
          <w:highlight w:val="none"/>
        </w:rPr>
        <w:t>拟签订的合同文本</w:t>
      </w:r>
      <w:bookmarkEnd w:id="15"/>
    </w:p>
    <w:p>
      <w:pPr>
        <w:spacing w:line="350" w:lineRule="exact"/>
        <w:jc w:val="center"/>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（本合同为样稿，最终稿由甲乙双方协商后确定）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eastAsia="宋体" w:cs="宋体"/>
          <w:color w:val="auto"/>
          <w:sz w:val="22"/>
          <w:szCs w:val="22"/>
          <w:highlight w:val="none"/>
          <w:u w:val="single"/>
          <w:lang w:val="en-US"/>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______年_______月_______日在</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的_______项目采购中，</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接受</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对本次设备的投标，</w:t>
      </w:r>
      <w:r>
        <w:rPr>
          <w:rFonts w:hint="eastAsia" w:ascii="宋体" w:hAnsi="宋体" w:eastAsia="宋体" w:cs="宋体"/>
          <w:color w:val="auto"/>
          <w:sz w:val="22"/>
          <w:szCs w:val="22"/>
          <w:highlight w:val="none"/>
          <w:lang w:eastAsia="zh-CN"/>
        </w:rPr>
        <w:t>甲乙</w:t>
      </w:r>
      <w:r>
        <w:rPr>
          <w:rFonts w:hint="eastAsia" w:ascii="宋体" w:hAnsi="宋体" w:eastAsia="宋体" w:cs="宋体"/>
          <w:color w:val="auto"/>
          <w:sz w:val="22"/>
          <w:szCs w:val="22"/>
          <w:highlight w:val="none"/>
        </w:rPr>
        <w:t>双方根据《中华人民共和国民法典》等法规和本合同的</w:t>
      </w:r>
      <w:r>
        <w:rPr>
          <w:rFonts w:hint="eastAsia" w:ascii="宋体" w:hAnsi="宋体" w:eastAsia="宋体" w:cs="宋体"/>
          <w:color w:val="auto"/>
          <w:sz w:val="22"/>
          <w:szCs w:val="22"/>
          <w:highlight w:val="none"/>
          <w:lang w:eastAsia="zh-CN"/>
        </w:rPr>
        <w:t>招标文件</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投标文件</w:t>
      </w:r>
      <w:r>
        <w:rPr>
          <w:rFonts w:hint="eastAsia" w:ascii="宋体" w:hAnsi="宋体" w:eastAsia="宋体" w:cs="宋体"/>
          <w:color w:val="auto"/>
          <w:sz w:val="22"/>
          <w:szCs w:val="22"/>
          <w:highlight w:val="none"/>
        </w:rPr>
        <w:t>及其投标中的承诺，经双方协商，同意签订本合同，共同遵守。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color w:val="auto"/>
          <w:sz w:val="22"/>
          <w:szCs w:val="22"/>
          <w:highlight w:val="none"/>
          <w:u w:val="single"/>
        </w:rPr>
      </w:pPr>
      <w:bookmarkStart w:id="16" w:name="_Toc32108"/>
      <w:bookmarkStart w:id="17" w:name="_Toc8075"/>
      <w:bookmarkStart w:id="18" w:name="_Toc31804"/>
      <w:r>
        <w:rPr>
          <w:rFonts w:hint="eastAsia" w:ascii="宋体" w:hAnsi="宋体" w:eastAsia="宋体" w:cs="宋体"/>
          <w:color w:val="auto"/>
          <w:sz w:val="22"/>
          <w:szCs w:val="22"/>
          <w:highlight w:val="none"/>
        </w:rPr>
        <w:t>1、采购设备内容及价格（详细清单可附后）单位：</w:t>
      </w:r>
      <w:r>
        <w:rPr>
          <w:rFonts w:hint="eastAsia" w:ascii="宋体" w:hAnsi="宋体" w:eastAsia="宋体" w:cs="宋体"/>
          <w:color w:val="auto"/>
          <w:sz w:val="22"/>
          <w:szCs w:val="22"/>
          <w:highlight w:val="none"/>
          <w:u w:val="single"/>
        </w:rPr>
        <w:t>元</w:t>
      </w:r>
      <w:bookmarkEnd w:id="16"/>
      <w:bookmarkEnd w:id="17"/>
      <w:bookmarkEnd w:id="18"/>
    </w:p>
    <w:tbl>
      <w:tblPr>
        <w:tblStyle w:val="32"/>
        <w:tblW w:w="0" w:type="auto"/>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567"/>
        <w:gridCol w:w="1266"/>
        <w:gridCol w:w="2367"/>
        <w:gridCol w:w="867"/>
        <w:gridCol w:w="883"/>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8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设备名称</w:t>
            </w:r>
          </w:p>
        </w:tc>
        <w:tc>
          <w:tcPr>
            <w:tcW w:w="12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品牌</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型号规格和主要配置</w:t>
            </w: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单价</w:t>
            </w:r>
          </w:p>
        </w:tc>
        <w:tc>
          <w:tcPr>
            <w:tcW w:w="11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12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11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00"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合计：（大写）元整小写：￥</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2、本合同总价为</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在正确地完全履行合同义务后</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应支付给</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所有的货物价款，即货物的采购、材料、尺寸量丈费用、不合体修改费用、供货、设备安装、税金、运输、装卸、验收（含第三方验收）、技术服务、售后服务等全部费用，实行固定费用总包干。除发生下列因素可调整合同价外，不得以任何其他理由调整任何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19" w:name="_Toc18104"/>
      <w:bookmarkStart w:id="20" w:name="_Toc20933"/>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标准</w:t>
      </w:r>
      <w:bookmarkEnd w:id="19"/>
      <w:bookmarkEnd w:id="20"/>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3.1</w:t>
      </w:r>
      <w:r>
        <w:rPr>
          <w:rFonts w:hint="eastAsia" w:ascii="宋体" w:hAnsi="宋体" w:eastAsia="宋体" w:cs="宋体"/>
          <w:color w:val="auto"/>
          <w:sz w:val="22"/>
          <w:szCs w:val="22"/>
          <w:highlight w:val="none"/>
        </w:rPr>
        <w:t>本合同项下交付的货物应符合技术规格所述的标准。如在</w:t>
      </w:r>
      <w:r>
        <w:rPr>
          <w:rFonts w:hint="eastAsia" w:ascii="宋体" w:hAnsi="宋体" w:eastAsia="宋体" w:cs="宋体"/>
          <w:color w:val="auto"/>
          <w:sz w:val="22"/>
          <w:szCs w:val="22"/>
          <w:highlight w:val="none"/>
          <w:lang w:eastAsia="zh-CN"/>
        </w:rPr>
        <w:t>招标文件</w:t>
      </w:r>
      <w:r>
        <w:rPr>
          <w:rFonts w:hint="eastAsia" w:ascii="宋体" w:hAnsi="宋体" w:eastAsia="宋体" w:cs="宋体"/>
          <w:color w:val="auto"/>
          <w:sz w:val="22"/>
          <w:szCs w:val="22"/>
          <w:highlight w:val="none"/>
        </w:rPr>
        <w:t>中无相应说明，则以国家颁布的最新版本标准或行业（部）标准或相应的国际标准执行，没有国家或行业（部）标准的则按企业标准执行。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3.2</w:t>
      </w:r>
      <w:r>
        <w:rPr>
          <w:rFonts w:hint="eastAsia" w:ascii="宋体" w:hAnsi="宋体" w:eastAsia="宋体" w:cs="宋体"/>
          <w:color w:val="auto"/>
          <w:sz w:val="22"/>
          <w:szCs w:val="22"/>
          <w:highlight w:val="none"/>
        </w:rPr>
        <w:t>除非技术规格中另有规定，计量单位均采用中华人民共和国法定计量单位。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21" w:name="_Toc11117"/>
      <w:bookmarkStart w:id="22" w:name="_Toc17453"/>
      <w:r>
        <w:rPr>
          <w:rFonts w:hint="eastAsia" w:ascii="宋体" w:hAnsi="宋体" w:eastAsia="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专利权</w:t>
      </w:r>
      <w:bookmarkEnd w:id="21"/>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应保证，</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在使用该货物或货物的任何一部分时，免受第三方提出的侵犯其专利权、商标权、著作权或其它知识产权的起诉。</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应承担由此可能产生的一切法律责任和费用。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23" w:name="_Toc26256"/>
      <w:bookmarkStart w:id="24" w:name="_Toc4030"/>
      <w:r>
        <w:rPr>
          <w:rFonts w:hint="eastAsia" w:ascii="宋体" w:hAnsi="宋体" w:eastAsia="宋体" w:cs="宋体"/>
          <w:b/>
          <w:bCs/>
          <w:color w:val="auto"/>
          <w:sz w:val="22"/>
          <w:szCs w:val="22"/>
          <w:highlight w:val="none"/>
          <w:lang w:val="en-US" w:eastAsia="zh-CN"/>
        </w:rPr>
        <w:t>5</w:t>
      </w:r>
      <w:r>
        <w:rPr>
          <w:rFonts w:hint="eastAsia" w:ascii="宋体" w:hAnsi="宋体" w:eastAsia="宋体" w:cs="宋体"/>
          <w:b/>
          <w:bCs/>
          <w:color w:val="auto"/>
          <w:sz w:val="22"/>
          <w:szCs w:val="22"/>
          <w:highlight w:val="none"/>
        </w:rPr>
        <w:t>、设备、材料供应</w:t>
      </w:r>
      <w:bookmarkEnd w:id="23"/>
      <w:bookmarkEnd w:id="24"/>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本合同范围所需的设备均由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提供。采购供应的材料、设备均须有合格证、质保书等相关技术资料。如发现不合格的设备材料，由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承担全部的经济损失和责任。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25" w:name="_Toc20143"/>
      <w:bookmarkStart w:id="26" w:name="_Toc31425"/>
      <w:r>
        <w:rPr>
          <w:rFonts w:hint="eastAsia" w:ascii="宋体" w:hAnsi="宋体" w:eastAsia="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、产品包装</w:t>
      </w:r>
      <w:bookmarkEnd w:id="25"/>
      <w:bookmarkEnd w:id="26"/>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w:t>
      </w:r>
      <w:r>
        <w:rPr>
          <w:rFonts w:hint="eastAsia" w:ascii="宋体" w:hAnsi="宋体" w:eastAsia="宋体" w:cs="宋体"/>
          <w:color w:val="auto"/>
          <w:spacing w:val="-2"/>
          <w:sz w:val="22"/>
          <w:szCs w:val="22"/>
          <w:highlight w:val="none"/>
        </w:rPr>
        <w:t>除合同另有规定外，</w:t>
      </w:r>
      <w:r>
        <w:rPr>
          <w:rFonts w:hint="eastAsia" w:ascii="宋体" w:hAnsi="宋体" w:eastAsia="宋体" w:cs="宋体"/>
          <w:color w:val="auto"/>
          <w:spacing w:val="-2"/>
          <w:sz w:val="22"/>
          <w:szCs w:val="22"/>
          <w:highlight w:val="none"/>
          <w:lang w:eastAsia="zh-CN"/>
        </w:rPr>
        <w:t>乙方</w:t>
      </w:r>
      <w:r>
        <w:rPr>
          <w:rFonts w:hint="eastAsia" w:ascii="宋体" w:hAnsi="宋体" w:eastAsia="宋体" w:cs="宋体"/>
          <w:color w:val="auto"/>
          <w:spacing w:val="-2"/>
          <w:sz w:val="22"/>
          <w:szCs w:val="22"/>
          <w:highlight w:val="none"/>
        </w:rPr>
        <w:t>应提供货物运至合同规定的最终目的地所需要的包装，以防止货物在转运中损坏或变质。这类包装应采取防霉、防潮、防晒、防腐蚀、防震动及防止其他损坏的必要保护措施，从而保护货物能够经受多次搬运、装卸储存等并充分考虑到运输途中的各种复杂情况（例如恶劣天气）和温州地区气候特点、以及露天存放问题。</w:t>
      </w:r>
      <w:r>
        <w:rPr>
          <w:rFonts w:hint="eastAsia" w:ascii="宋体" w:hAnsi="宋体" w:eastAsia="宋体" w:cs="宋体"/>
          <w:color w:val="auto"/>
          <w:spacing w:val="-2"/>
          <w:sz w:val="22"/>
          <w:szCs w:val="22"/>
          <w:highlight w:val="none"/>
          <w:lang w:eastAsia="zh-CN"/>
        </w:rPr>
        <w:t>乙方</w:t>
      </w:r>
      <w:r>
        <w:rPr>
          <w:rFonts w:hint="eastAsia" w:ascii="宋体" w:hAnsi="宋体" w:eastAsia="宋体" w:cs="宋体"/>
          <w:color w:val="auto"/>
          <w:spacing w:val="-2"/>
          <w:sz w:val="22"/>
          <w:szCs w:val="22"/>
          <w:highlight w:val="none"/>
        </w:rPr>
        <w:t>应承担由于其包装或其防护措施不妥而引起货物破损和丢失的任何损失的责任或费用。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.2每一包装箱内必须附有装箱清单。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27" w:name="_Toc9378"/>
      <w:bookmarkStart w:id="28" w:name="_Toc21390"/>
      <w:r>
        <w:rPr>
          <w:rFonts w:hint="eastAsia" w:ascii="宋体" w:hAnsi="宋体" w:eastAsia="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装运标记</w:t>
      </w:r>
      <w:bookmarkEnd w:id="27"/>
      <w:bookmarkEnd w:id="28"/>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根据货物的特点和运输的不同要求，</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还应清楚地标注“小心轻放”、“防潮”、“此端向上”、“请勿倒置”“保持干燥”等字样和其他国际贸易中使用的适当标志。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29" w:name="_Toc12987"/>
      <w:bookmarkStart w:id="30" w:name="_Toc10018"/>
      <w:r>
        <w:rPr>
          <w:rFonts w:hint="eastAsia" w:ascii="宋体" w:hAnsi="宋体" w:eastAsia="宋体" w:cs="宋体"/>
          <w:b/>
          <w:bCs/>
          <w:color w:val="auto"/>
          <w:sz w:val="22"/>
          <w:szCs w:val="22"/>
          <w:highlight w:val="none"/>
          <w:lang w:val="en-US" w:eastAsia="zh-CN"/>
        </w:rPr>
        <w:t>8、</w:t>
      </w:r>
      <w:r>
        <w:rPr>
          <w:rFonts w:hint="eastAsia" w:ascii="宋体" w:hAnsi="宋体" w:eastAsia="宋体" w:cs="宋体"/>
          <w:b/>
          <w:bCs/>
          <w:color w:val="auto"/>
          <w:sz w:val="22"/>
          <w:szCs w:val="22"/>
          <w:highlight w:val="none"/>
        </w:rPr>
        <w:t>交货方式：</w:t>
      </w:r>
      <w:bookmarkEnd w:id="29"/>
      <w:bookmarkEnd w:id="30"/>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8.1</w:t>
      </w:r>
      <w:r>
        <w:rPr>
          <w:rFonts w:hint="eastAsia" w:ascii="宋体" w:hAnsi="宋体" w:eastAsia="宋体" w:cs="宋体"/>
          <w:color w:val="auto"/>
          <w:sz w:val="22"/>
          <w:szCs w:val="22"/>
          <w:highlight w:val="none"/>
        </w:rPr>
        <w:t>现场交货：</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负责办理运输和保险，将货物运抵</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指定的现场并落地安装就位。有关运输和保险的一切费用由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承担。所有货物运抵现场安装完毕的日期为交货日期。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8.2</w:t>
      </w:r>
      <w:r>
        <w:rPr>
          <w:rFonts w:hint="eastAsia" w:ascii="宋体" w:hAnsi="宋体" w:eastAsia="宋体" w:cs="宋体"/>
          <w:color w:val="auto"/>
          <w:sz w:val="22"/>
          <w:szCs w:val="22"/>
          <w:highlight w:val="none"/>
        </w:rPr>
        <w:t>在现场交货条件下，</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在货物发运前15天，将要发运货物的名称、规格、数量、尺寸、重量和货物的卸车，贮存的特殊要求以及运输工具名称以及启运日期，通知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8.3</w:t>
      </w:r>
      <w:r>
        <w:rPr>
          <w:rFonts w:hint="eastAsia" w:ascii="宋体" w:hAnsi="宋体" w:eastAsia="宋体" w:cs="宋体"/>
          <w:color w:val="auto"/>
          <w:sz w:val="22"/>
          <w:szCs w:val="22"/>
          <w:highlight w:val="none"/>
        </w:rPr>
        <w:t>如因</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延误将上述内容通知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，由此引起的一切损失应由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8.4</w:t>
      </w:r>
      <w:r>
        <w:rPr>
          <w:rFonts w:hint="eastAsia" w:ascii="宋体" w:hAnsi="宋体" w:eastAsia="宋体" w:cs="宋体"/>
          <w:color w:val="auto"/>
          <w:sz w:val="22"/>
          <w:szCs w:val="22"/>
          <w:highlight w:val="none"/>
        </w:rPr>
        <w:t>交付使用时间：_____________，交货地点：</w:t>
      </w:r>
      <w:r>
        <w:rPr>
          <w:rFonts w:hint="eastAsia" w:ascii="宋体" w:hAnsi="宋体" w:eastAsia="宋体" w:cs="宋体"/>
          <w:color w:val="auto"/>
          <w:sz w:val="22"/>
          <w:szCs w:val="22"/>
          <w:highlight w:val="none"/>
          <w:u w:val="single"/>
          <w:lang w:eastAsia="zh-CN"/>
        </w:rPr>
        <w:t>甲方</w:t>
      </w:r>
      <w:r>
        <w:rPr>
          <w:rFonts w:hint="eastAsia" w:ascii="宋体" w:hAnsi="宋体" w:eastAsia="宋体" w:cs="宋体"/>
          <w:color w:val="auto"/>
          <w:sz w:val="22"/>
          <w:szCs w:val="22"/>
          <w:highlight w:val="none"/>
          <w:u w:val="single"/>
        </w:rPr>
        <w:t>指定地点</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b/>
          <w:bCs/>
          <w:color w:val="auto"/>
          <w:sz w:val="22"/>
          <w:szCs w:val="22"/>
          <w:highlight w:val="none"/>
        </w:rPr>
      </w:pPr>
      <w:bookmarkStart w:id="31" w:name="_Toc7016"/>
      <w:bookmarkStart w:id="32" w:name="_Toc7302"/>
      <w:r>
        <w:rPr>
          <w:rFonts w:hint="eastAsia" w:ascii="宋体" w:hAnsi="宋体" w:eastAsia="宋体" w:cs="宋体"/>
          <w:b/>
          <w:bCs/>
          <w:color w:val="auto"/>
          <w:sz w:val="22"/>
          <w:szCs w:val="22"/>
          <w:highlight w:val="none"/>
          <w:lang w:val="en-US" w:eastAsia="zh-CN"/>
        </w:rPr>
        <w:t>9、</w:t>
      </w:r>
      <w:bookmarkStart w:id="33" w:name="_Toc26182"/>
      <w:bookmarkStart w:id="34" w:name="_Toc19074"/>
      <w:bookmarkStart w:id="35" w:name="_Toc30272"/>
      <w:r>
        <w:rPr>
          <w:rFonts w:hint="eastAsia" w:ascii="宋体" w:hAnsi="宋体" w:eastAsia="宋体" w:cs="宋体"/>
          <w:b/>
          <w:bCs/>
          <w:color w:val="auto"/>
          <w:sz w:val="22"/>
          <w:szCs w:val="22"/>
          <w:highlight w:val="none"/>
        </w:rPr>
        <w:t>履约检查和问题反馈</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bookmarkStart w:id="36" w:name="_Ref467379657"/>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.1</w:t>
      </w:r>
      <w:bookmarkEnd w:id="36"/>
      <w:bookmarkStart w:id="37" w:name="_Toc186431854"/>
      <w:bookmarkStart w:id="38" w:name="_Ref467379793"/>
      <w:bookmarkStart w:id="39" w:name="_Toc279701247"/>
      <w:bookmarkStart w:id="40" w:name="_Toc259093676"/>
      <w:bookmarkStart w:id="41" w:name="_Toc487900357"/>
      <w:bookmarkStart w:id="42" w:name="_Ref467379807"/>
      <w:r>
        <w:rPr>
          <w:rFonts w:hint="eastAsia" w:ascii="宋体" w:hAnsi="宋体" w:eastAsia="宋体" w:cs="宋体"/>
          <w:color w:val="auto"/>
          <w:sz w:val="22"/>
          <w:szCs w:val="22"/>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.2 合同履行期间，甲方有权将履行过程中出现的问题反馈给乙方，双方当事人应以书面形式约定需要完善和改进的内容</w:t>
      </w:r>
      <w:bookmarkEnd w:id="37"/>
      <w:bookmarkStart w:id="43" w:name="_Toc186431855"/>
      <w:r>
        <w:rPr>
          <w:rFonts w:hint="eastAsia" w:ascii="宋体" w:hAnsi="宋体" w:eastAsia="宋体" w:cs="宋体"/>
          <w:color w:val="auto"/>
          <w:sz w:val="22"/>
          <w:szCs w:val="22"/>
          <w:highlight w:val="none"/>
        </w:rPr>
        <w:t>。</w:t>
      </w:r>
      <w:bookmarkEnd w:id="38"/>
      <w:bookmarkEnd w:id="39"/>
      <w:bookmarkEnd w:id="40"/>
      <w:bookmarkEnd w:id="41"/>
      <w:bookmarkEnd w:id="42"/>
      <w:bookmarkEnd w:id="43"/>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技术文件</w:t>
      </w:r>
      <w:bookmarkEnd w:id="31"/>
      <w:bookmarkEnd w:id="32"/>
      <w:r>
        <w:rPr>
          <w:rFonts w:hint="eastAsia" w:ascii="宋体" w:hAnsi="宋体" w:eastAsia="宋体" w:cs="宋体"/>
          <w:b/>
          <w:bCs/>
          <w:color w:val="auto"/>
          <w:sz w:val="22"/>
          <w:szCs w:val="22"/>
          <w:highlight w:val="none"/>
        </w:rPr>
        <w:t>和保密义务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.1 乙方有权依据合同约定和项目需要，向甲方了解有关情况，调阅有关资料等，甲方应予积极配合；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.2 乙方有义务妥善保管和保护由甲方提供的前款信息和资料等；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44" w:name="_Toc26592"/>
      <w:bookmarkStart w:id="45" w:name="_Toc17909"/>
      <w:r>
        <w:rPr>
          <w:rFonts w:hint="eastAsia" w:ascii="宋体" w:hAnsi="宋体" w:eastAsia="宋体" w:cs="宋体"/>
          <w:b/>
          <w:bCs/>
          <w:color w:val="auto"/>
          <w:sz w:val="22"/>
          <w:szCs w:val="22"/>
          <w:highlight w:val="none"/>
          <w:lang w:val="en-US" w:eastAsia="zh-CN"/>
        </w:rPr>
        <w:t>11</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质量保证</w:t>
      </w:r>
      <w:bookmarkEnd w:id="44"/>
      <w:bookmarkEnd w:id="45"/>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所提供的货物应保证是企业原厂生产的，而不是其他地方生产的、全新的、未使用过的，是用一流的工艺和最佳材料制造而成的，并完全符合合同规定的质量、规格和尺寸要求。在货物质量保证期内，</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应对由于设计、工艺、材料和配套件的缺陷所产生的任何不足或故障负责。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.2根据</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按检验标准检验的结果或当地质检部门检验的结果，或者在质量保证期内，如果货物的数量、质量或规格与合同不符，或证实货物是有缺陷的，包括潜在的缺陷或使用不符合要求的面料等，</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应尽快以书面形式通知</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，提出索赔。</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在收到通知后，应在规定期限内，更换有缺陷的或不符合要求的规格和尺寸，同时相应延长质量保证期。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.3如在使用过程中发生质量问题，乙方在接到甲方通知后在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小时内到达甲方现场。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lang w:val="en-US" w:eastAsia="zh-CN"/>
        </w:rPr>
        <w:t>11.4</w:t>
      </w:r>
      <w:r>
        <w:rPr>
          <w:rFonts w:hint="eastAsia" w:ascii="宋体" w:hAnsi="宋体" w:eastAsia="宋体" w:cs="宋体"/>
          <w:color w:val="auto"/>
          <w:sz w:val="22"/>
          <w:szCs w:val="22"/>
          <w:highlight w:val="none"/>
        </w:rPr>
        <w:t>本合同项下所有产品应提供自货物验收合格并交付使用后</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年的现场免费质保期，如厂商本身承诺的产品质保期高于此要求的则按照厂商承诺执行。在质量保证期内，</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对由于产品设计、工艺、材料、配套件的缺陷而造成的任何产品质量问题或故障负责。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lang w:val="en-US" w:eastAsia="zh-CN"/>
        </w:rPr>
      </w:pPr>
      <w:bookmarkStart w:id="46" w:name="_Toc23724"/>
      <w:bookmarkStart w:id="47" w:name="_Toc29443"/>
      <w:r>
        <w:rPr>
          <w:rFonts w:hint="eastAsia" w:ascii="宋体" w:hAnsi="宋体" w:eastAsia="宋体" w:cs="宋体"/>
          <w:b/>
          <w:bCs/>
          <w:color w:val="auto"/>
          <w:sz w:val="22"/>
          <w:szCs w:val="22"/>
          <w:highlight w:val="none"/>
          <w:lang w:val="en-US" w:eastAsia="zh-CN"/>
        </w:rPr>
        <w:t>12、履约保证金及支付方式</w:t>
      </w:r>
      <w:bookmarkEnd w:id="46"/>
      <w:bookmarkEnd w:id="47"/>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12.1履约保证金</w:t>
      </w:r>
    </w:p>
    <w:p>
      <w:pPr>
        <w:pStyle w:val="99"/>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firstLine="480"/>
        <w:textAlignment w:val="auto"/>
        <w:rPr>
          <w:rFonts w:hint="eastAsia" w:ascii="宋体" w:hAnsi="宋体" w:eastAsia="宋体" w:cs="宋体"/>
          <w:color w:val="auto"/>
          <w:sz w:val="22"/>
          <w:szCs w:val="22"/>
          <w:highlight w:val="none"/>
        </w:rPr>
      </w:pPr>
      <w:bookmarkStart w:id="48" w:name="_Toc10340"/>
      <w:bookmarkStart w:id="49" w:name="_Toc1814"/>
      <w:bookmarkStart w:id="50" w:name="_Toc22618"/>
      <w:r>
        <w:rPr>
          <w:rFonts w:hint="eastAsia" w:ascii="宋体" w:hAnsi="宋体" w:eastAsia="宋体" w:cs="宋体"/>
          <w:color w:val="auto"/>
          <w:sz w:val="22"/>
          <w:szCs w:val="22"/>
          <w:highlight w:val="none"/>
        </w:rPr>
        <w:t>乙方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是</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（是/否）需要支付履约保证金。若需要支付履约保证金的，则：</w:t>
      </w:r>
    </w:p>
    <w:p>
      <w:pPr>
        <w:pStyle w:val="99"/>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firstLine="48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12.1.</w:t>
      </w:r>
      <w:r>
        <w:rPr>
          <w:rFonts w:hint="eastAsia" w:ascii="宋体" w:hAnsi="宋体" w:eastAsia="宋体" w:cs="宋体"/>
          <w:color w:val="auto"/>
          <w:kern w:val="0"/>
          <w:sz w:val="22"/>
          <w:szCs w:val="22"/>
          <w:highlight w:val="none"/>
        </w:rPr>
        <w:t>1履约保证金的比例为合同金额的</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1</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pPr>
        <w:pStyle w:val="99"/>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firstLine="48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12.1</w:t>
      </w:r>
      <w:r>
        <w:rPr>
          <w:rFonts w:hint="eastAsia" w:ascii="宋体" w:hAnsi="宋体" w:eastAsia="宋体" w:cs="宋体"/>
          <w:color w:val="auto"/>
          <w:kern w:val="0"/>
          <w:sz w:val="22"/>
          <w:szCs w:val="22"/>
          <w:highlight w:val="none"/>
        </w:rPr>
        <w:t>.2履约保证金支付方式</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spacing w:val="-6"/>
          <w:kern w:val="0"/>
          <w:sz w:val="22"/>
          <w:szCs w:val="22"/>
          <w:highlight w:val="none"/>
          <w:u w:val="single"/>
          <w:lang w:bidi="ar"/>
        </w:rPr>
        <w:t>合同签订</w:t>
      </w:r>
      <w:r>
        <w:rPr>
          <w:rFonts w:hint="eastAsia" w:ascii="宋体" w:hAnsi="宋体" w:cs="宋体"/>
          <w:color w:val="auto"/>
          <w:spacing w:val="-6"/>
          <w:kern w:val="0"/>
          <w:sz w:val="22"/>
          <w:szCs w:val="22"/>
          <w:highlight w:val="none"/>
          <w:u w:val="single"/>
          <w:lang w:val="en-US" w:eastAsia="zh-CN" w:bidi="ar"/>
        </w:rPr>
        <w:t>后5个工作日内</w:t>
      </w:r>
      <w:r>
        <w:rPr>
          <w:rFonts w:hint="eastAsia" w:ascii="宋体" w:hAnsi="宋体" w:eastAsia="宋体" w:cs="宋体"/>
          <w:color w:val="auto"/>
          <w:spacing w:val="-6"/>
          <w:kern w:val="0"/>
          <w:sz w:val="22"/>
          <w:szCs w:val="22"/>
          <w:highlight w:val="none"/>
          <w:u w:val="single"/>
          <w:lang w:bidi="ar"/>
        </w:rPr>
        <w:t>，</w:t>
      </w:r>
      <w:r>
        <w:rPr>
          <w:rFonts w:hint="eastAsia" w:ascii="宋体" w:hAnsi="宋体" w:eastAsia="宋体" w:cs="宋体"/>
          <w:color w:val="auto"/>
          <w:sz w:val="22"/>
          <w:szCs w:val="22"/>
          <w:highlight w:val="none"/>
          <w:u w:val="single"/>
          <w:lang w:val="en-US" w:eastAsia="zh-CN"/>
        </w:rPr>
        <w:t>以支票、汇票、本票或者金融机构、担保机构出具的保函等非现金形式</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pPr>
        <w:pStyle w:val="99"/>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firstLine="480"/>
        <w:textAlignment w:val="auto"/>
        <w:rPr>
          <w:rFonts w:hint="eastAsia" w:ascii="宋体" w:hAnsi="宋体" w:eastAsia="宋体" w:cs="宋体"/>
          <w:b w:val="0"/>
          <w:bCs w:val="0"/>
          <w:color w:val="auto"/>
          <w:kern w:val="0"/>
          <w:sz w:val="22"/>
          <w:szCs w:val="22"/>
          <w:highlight w:val="none"/>
          <w:lang w:val="en-US"/>
        </w:rPr>
      </w:pPr>
      <w:r>
        <w:rPr>
          <w:rFonts w:hint="eastAsia" w:ascii="宋体" w:hAnsi="宋体" w:eastAsia="宋体" w:cs="宋体"/>
          <w:b w:val="0"/>
          <w:bCs w:val="0"/>
          <w:color w:val="auto"/>
          <w:kern w:val="0"/>
          <w:sz w:val="22"/>
          <w:szCs w:val="22"/>
          <w:highlight w:val="none"/>
          <w:lang w:val="en-US"/>
        </w:rPr>
        <w:t>1</w:t>
      </w:r>
      <w:r>
        <w:rPr>
          <w:rFonts w:hint="eastAsia" w:ascii="宋体" w:hAnsi="宋体" w:eastAsia="宋体" w:cs="宋体"/>
          <w:b w:val="0"/>
          <w:bCs w:val="0"/>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b w:val="0"/>
          <w:bCs w:val="0"/>
          <w:color w:val="auto"/>
          <w:kern w:val="0"/>
          <w:sz w:val="22"/>
          <w:szCs w:val="22"/>
          <w:highlight w:val="none"/>
          <w:lang w:val="en-US"/>
        </w:rPr>
        <w:t>.3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99"/>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lang w:val="en-US" w:eastAsia="zh-CN"/>
        </w:rPr>
        <w:t>2.1</w:t>
      </w:r>
      <w:r>
        <w:rPr>
          <w:rFonts w:hint="eastAsia" w:ascii="宋体" w:hAnsi="宋体" w:eastAsia="宋体" w:cs="宋体"/>
          <w:color w:val="auto"/>
          <w:kern w:val="0"/>
          <w:sz w:val="22"/>
          <w:szCs w:val="22"/>
          <w:highlight w:val="none"/>
        </w:rPr>
        <w:t>.4 甲方在项目验收结束后及时退还履约保证金。甲方在项目通过验收之日起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7</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个工作日内将履约保证金无息退还乙方，逾期退还的，乙方可要求甲方支付违约金，违约金按每迟延退还一日的应退还而未退还金额的</w:t>
      </w:r>
      <w:r>
        <w:rPr>
          <w:rFonts w:hint="eastAsia" w:ascii="宋体" w:hAnsi="宋体" w:eastAsia="宋体" w:cs="宋体"/>
          <w:color w:val="auto"/>
          <w:kern w:val="0"/>
          <w:sz w:val="22"/>
          <w:szCs w:val="22"/>
          <w:highlight w:val="none"/>
          <w:u w:val="single"/>
        </w:rPr>
        <w:t xml:space="preserve">  0.05（可根据情况修改）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%计算，最高限额为本合同履约保证金的</w:t>
      </w:r>
      <w:r>
        <w:rPr>
          <w:rFonts w:hint="eastAsia" w:ascii="宋体" w:hAnsi="宋体" w:eastAsia="宋体" w:cs="宋体"/>
          <w:color w:val="auto"/>
          <w:kern w:val="0"/>
          <w:sz w:val="22"/>
          <w:szCs w:val="22"/>
          <w:highlight w:val="none"/>
          <w:u w:val="single"/>
        </w:rPr>
        <w:t xml:space="preserve">  20  </w:t>
      </w:r>
      <w:r>
        <w:rPr>
          <w:rFonts w:hint="eastAsia" w:ascii="宋体" w:hAnsi="宋体" w:eastAsia="宋体" w:cs="宋体"/>
          <w:color w:val="auto"/>
          <w:kern w:val="0"/>
          <w:sz w:val="22"/>
          <w:szCs w:val="22"/>
          <w:highlight w:val="none"/>
        </w:rPr>
        <w:t xml:space="preserve"> %。</w:t>
      </w:r>
    </w:p>
    <w:bookmarkEnd w:id="48"/>
    <w:bookmarkEnd w:id="49"/>
    <w:bookmarkEnd w:id="50"/>
    <w:p>
      <w:pPr>
        <w:keepNext w:val="0"/>
        <w:keepLines w:val="0"/>
        <w:pageBreakBefore w:val="0"/>
        <w:kinsoku/>
        <w:wordWrap/>
        <w:overflowPunct/>
        <w:topLinePunct w:val="0"/>
        <w:autoSpaceDE/>
        <w:autoSpaceDN/>
        <w:bidi w:val="0"/>
        <w:adjustRightInd/>
        <w:snapToGrid/>
        <w:spacing w:line="400" w:lineRule="exact"/>
        <w:ind w:left="0" w:leftChars="0" w:right="0" w:rightChars="0"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 xml:space="preserve">12.2资金支付 </w:t>
      </w:r>
    </w:p>
    <w:p>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left="0" w:leftChars="0" w:right="0" w:rightChars="0" w:firstLine="416" w:firstLineChars="200"/>
        <w:jc w:val="left"/>
        <w:textAlignment w:val="auto"/>
        <w:rPr>
          <w:rFonts w:hint="eastAsia" w:ascii="宋体" w:hAnsi="宋体" w:eastAsia="宋体" w:cs="宋体"/>
          <w:color w:val="auto"/>
          <w:spacing w:val="-6"/>
          <w:kern w:val="0"/>
          <w:sz w:val="22"/>
          <w:szCs w:val="22"/>
          <w:highlight w:val="none"/>
          <w:u w:val="none"/>
          <w:lang w:val="en-US" w:bidi="ar"/>
        </w:rPr>
      </w:pPr>
      <w:r>
        <w:rPr>
          <w:rFonts w:hint="eastAsia" w:ascii="宋体" w:hAnsi="宋体" w:eastAsia="宋体" w:cs="宋体"/>
          <w:color w:val="auto"/>
          <w:spacing w:val="-6"/>
          <w:kern w:val="0"/>
          <w:sz w:val="22"/>
          <w:szCs w:val="22"/>
          <w:highlight w:val="none"/>
          <w:u w:val="none"/>
          <w:lang w:bidi="ar"/>
        </w:rPr>
        <w:t xml:space="preserve"> 合同生效以及具备实施条件后7个工作日内，且</w:t>
      </w:r>
      <w:r>
        <w:rPr>
          <w:rFonts w:hint="eastAsia" w:ascii="宋体" w:hAnsi="宋体" w:eastAsia="宋体" w:cs="宋体"/>
          <w:color w:val="auto"/>
          <w:spacing w:val="-6"/>
          <w:kern w:val="0"/>
          <w:sz w:val="22"/>
          <w:szCs w:val="22"/>
          <w:highlight w:val="none"/>
          <w:u w:val="none"/>
          <w:lang w:val="en-US" w:eastAsia="zh-CN" w:bidi="ar"/>
        </w:rPr>
        <w:t>乙方</w:t>
      </w:r>
      <w:r>
        <w:rPr>
          <w:rFonts w:hint="eastAsia" w:ascii="宋体" w:hAnsi="宋体" w:eastAsia="宋体" w:cs="宋体"/>
          <w:color w:val="auto"/>
          <w:spacing w:val="-6"/>
          <w:kern w:val="0"/>
          <w:sz w:val="22"/>
          <w:szCs w:val="22"/>
          <w:highlight w:val="none"/>
          <w:u w:val="none"/>
          <w:lang w:bidi="ar"/>
        </w:rPr>
        <w:t>已向</w:t>
      </w:r>
      <w:r>
        <w:rPr>
          <w:rFonts w:hint="eastAsia" w:ascii="宋体" w:hAnsi="宋体" w:eastAsia="宋体" w:cs="宋体"/>
          <w:color w:val="auto"/>
          <w:spacing w:val="-6"/>
          <w:kern w:val="0"/>
          <w:sz w:val="22"/>
          <w:szCs w:val="22"/>
          <w:highlight w:val="none"/>
          <w:u w:val="none"/>
          <w:lang w:val="en-US" w:eastAsia="zh-CN" w:bidi="ar"/>
        </w:rPr>
        <w:t>甲方</w:t>
      </w:r>
      <w:r>
        <w:rPr>
          <w:rFonts w:hint="eastAsia" w:ascii="宋体" w:hAnsi="宋体" w:eastAsia="宋体" w:cs="宋体"/>
          <w:color w:val="auto"/>
          <w:spacing w:val="-6"/>
          <w:kern w:val="0"/>
          <w:sz w:val="22"/>
          <w:szCs w:val="22"/>
          <w:highlight w:val="none"/>
          <w:u w:val="none"/>
          <w:lang w:bidi="ar"/>
        </w:rPr>
        <w:t>提交银行、保险公司等金融机构出具的预付款保函的，</w:t>
      </w:r>
      <w:r>
        <w:rPr>
          <w:rFonts w:hint="eastAsia" w:ascii="宋体" w:hAnsi="宋体" w:eastAsia="宋体" w:cs="宋体"/>
          <w:color w:val="auto"/>
          <w:spacing w:val="-6"/>
          <w:kern w:val="0"/>
          <w:sz w:val="22"/>
          <w:szCs w:val="22"/>
          <w:highlight w:val="none"/>
          <w:u w:val="none"/>
          <w:lang w:val="en-US" w:eastAsia="zh-CN" w:bidi="ar"/>
        </w:rPr>
        <w:t>甲方</w:t>
      </w:r>
      <w:r>
        <w:rPr>
          <w:rFonts w:hint="eastAsia" w:ascii="宋体" w:hAnsi="宋体" w:eastAsia="宋体" w:cs="宋体"/>
          <w:color w:val="auto"/>
          <w:spacing w:val="-6"/>
          <w:kern w:val="0"/>
          <w:sz w:val="22"/>
          <w:szCs w:val="22"/>
          <w:highlight w:val="none"/>
          <w:u w:val="none"/>
          <w:lang w:bidi="ar"/>
        </w:rPr>
        <w:t>向</w:t>
      </w:r>
      <w:r>
        <w:rPr>
          <w:rFonts w:hint="eastAsia" w:ascii="宋体" w:hAnsi="宋体" w:eastAsia="宋体" w:cs="宋体"/>
          <w:color w:val="auto"/>
          <w:spacing w:val="-6"/>
          <w:kern w:val="0"/>
          <w:sz w:val="22"/>
          <w:szCs w:val="22"/>
          <w:highlight w:val="none"/>
          <w:u w:val="none"/>
          <w:lang w:val="en-US" w:eastAsia="zh-CN" w:bidi="ar"/>
        </w:rPr>
        <w:t>乙方</w:t>
      </w:r>
      <w:r>
        <w:rPr>
          <w:rFonts w:hint="eastAsia" w:ascii="宋体" w:hAnsi="宋体" w:eastAsia="宋体" w:cs="宋体"/>
          <w:color w:val="auto"/>
          <w:spacing w:val="-6"/>
          <w:kern w:val="0"/>
          <w:sz w:val="22"/>
          <w:szCs w:val="22"/>
          <w:highlight w:val="none"/>
          <w:u w:val="none"/>
          <w:lang w:bidi="ar"/>
        </w:rPr>
        <w:t>支付合同总价40%的预付款，</w:t>
      </w:r>
      <w:r>
        <w:rPr>
          <w:rFonts w:hint="eastAsia" w:ascii="宋体" w:hAnsi="宋体" w:eastAsia="宋体" w:cs="宋体"/>
          <w:color w:val="auto"/>
          <w:spacing w:val="-6"/>
          <w:kern w:val="0"/>
          <w:sz w:val="22"/>
          <w:szCs w:val="22"/>
          <w:highlight w:val="none"/>
          <w:u w:val="none"/>
          <w:lang w:val="en-US" w:eastAsia="zh-CN" w:bidi="ar"/>
        </w:rPr>
        <w:t>甲方</w:t>
      </w:r>
      <w:r>
        <w:rPr>
          <w:rFonts w:hint="eastAsia" w:ascii="宋体" w:hAnsi="宋体" w:eastAsia="宋体" w:cs="宋体"/>
          <w:color w:val="auto"/>
          <w:spacing w:val="-6"/>
          <w:kern w:val="0"/>
          <w:sz w:val="22"/>
          <w:szCs w:val="22"/>
          <w:highlight w:val="none"/>
          <w:u w:val="none"/>
          <w:lang w:bidi="ar"/>
        </w:rPr>
        <w:t>在项目</w:t>
      </w:r>
      <w:r>
        <w:rPr>
          <w:rFonts w:hint="eastAsia" w:ascii="宋体" w:hAnsi="宋体" w:eastAsia="宋体" w:cs="宋体"/>
          <w:color w:val="auto"/>
          <w:spacing w:val="-6"/>
          <w:kern w:val="0"/>
          <w:sz w:val="22"/>
          <w:szCs w:val="22"/>
          <w:highlight w:val="none"/>
          <w:u w:val="none"/>
          <w:lang w:val="en-US" w:eastAsia="zh-CN" w:bidi="ar"/>
        </w:rPr>
        <w:t>验收</w:t>
      </w:r>
      <w:r>
        <w:rPr>
          <w:rFonts w:hint="eastAsia" w:ascii="宋体" w:hAnsi="宋体" w:eastAsia="宋体" w:cs="宋体"/>
          <w:color w:val="auto"/>
          <w:spacing w:val="-6"/>
          <w:kern w:val="0"/>
          <w:sz w:val="22"/>
          <w:szCs w:val="22"/>
          <w:highlight w:val="none"/>
          <w:u w:val="none"/>
          <w:lang w:bidi="ar"/>
        </w:rPr>
        <w:t>合格后向</w:t>
      </w:r>
      <w:r>
        <w:rPr>
          <w:rFonts w:hint="eastAsia" w:ascii="宋体" w:hAnsi="宋体" w:eastAsia="宋体" w:cs="宋体"/>
          <w:color w:val="auto"/>
          <w:spacing w:val="-6"/>
          <w:kern w:val="0"/>
          <w:sz w:val="22"/>
          <w:szCs w:val="22"/>
          <w:highlight w:val="none"/>
          <w:u w:val="none"/>
          <w:lang w:val="en-US" w:eastAsia="zh-CN" w:bidi="ar"/>
        </w:rPr>
        <w:t>乙方</w:t>
      </w:r>
      <w:r>
        <w:rPr>
          <w:rFonts w:hint="eastAsia" w:ascii="宋体" w:hAnsi="宋体" w:eastAsia="宋体" w:cs="宋体"/>
          <w:color w:val="auto"/>
          <w:spacing w:val="-6"/>
          <w:kern w:val="0"/>
          <w:sz w:val="22"/>
          <w:szCs w:val="22"/>
          <w:highlight w:val="none"/>
          <w:u w:val="none"/>
          <w:lang w:bidi="ar"/>
        </w:rPr>
        <w:t>支付</w:t>
      </w:r>
      <w:r>
        <w:rPr>
          <w:rFonts w:hint="eastAsia" w:ascii="宋体" w:hAnsi="宋体" w:eastAsia="宋体" w:cs="宋体"/>
          <w:color w:val="auto"/>
          <w:spacing w:val="-6"/>
          <w:kern w:val="0"/>
          <w:sz w:val="22"/>
          <w:szCs w:val="22"/>
          <w:highlight w:val="none"/>
          <w:u w:val="none"/>
          <w:lang w:val="en-US" w:eastAsia="zh-CN" w:bidi="ar"/>
        </w:rPr>
        <w:t>合同尾款</w:t>
      </w:r>
      <w:r>
        <w:rPr>
          <w:rFonts w:hint="eastAsia" w:ascii="宋体" w:hAnsi="宋体" w:eastAsia="宋体" w:cs="宋体"/>
          <w:color w:val="auto"/>
          <w:spacing w:val="-6"/>
          <w:kern w:val="0"/>
          <w:sz w:val="22"/>
          <w:szCs w:val="22"/>
          <w:highlight w:val="none"/>
          <w:u w:val="none"/>
          <w:lang w:val="zh-CN" w:bidi="ar"/>
        </w:rPr>
        <w:t>。</w:t>
      </w:r>
    </w:p>
    <w:p>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left="0" w:leftChars="0" w:right="0" w:rightChars="0" w:firstLine="416" w:firstLineChars="200"/>
        <w:jc w:val="left"/>
        <w:textAlignment w:val="auto"/>
        <w:rPr>
          <w:rFonts w:hint="eastAsia" w:ascii="宋体" w:hAnsi="宋体" w:eastAsia="宋体" w:cs="宋体"/>
          <w:color w:val="auto"/>
          <w:spacing w:val="-6"/>
          <w:kern w:val="0"/>
          <w:sz w:val="22"/>
          <w:szCs w:val="22"/>
          <w:highlight w:val="none"/>
          <w:u w:val="none"/>
          <w:lang w:bidi="ar"/>
        </w:rPr>
      </w:pPr>
      <w:r>
        <w:rPr>
          <w:rFonts w:hint="eastAsia" w:ascii="宋体" w:hAnsi="宋体" w:eastAsia="宋体" w:cs="宋体"/>
          <w:color w:val="auto"/>
          <w:spacing w:val="-6"/>
          <w:kern w:val="0"/>
          <w:sz w:val="22"/>
          <w:szCs w:val="22"/>
          <w:highlight w:val="none"/>
          <w:u w:val="none"/>
          <w:lang w:val="en-US" w:eastAsia="zh-CN" w:bidi="ar"/>
        </w:rPr>
        <w:t>注：在合同签订时，乙方明确表示无需预付款或者主动要求降低预付款比例的，按实际比例计</w:t>
      </w:r>
      <w:r>
        <w:rPr>
          <w:rFonts w:hint="eastAsia" w:ascii="宋体" w:hAnsi="宋体" w:eastAsia="宋体" w:cs="宋体"/>
          <w:color w:val="auto"/>
          <w:spacing w:val="-6"/>
          <w:kern w:val="0"/>
          <w:sz w:val="22"/>
          <w:szCs w:val="22"/>
          <w:highlight w:val="none"/>
          <w:u w:val="none"/>
          <w:lang w:bidi="ar"/>
        </w:rPr>
        <w:t>（预付款保函同步调整）</w:t>
      </w:r>
      <w:r>
        <w:rPr>
          <w:rFonts w:hint="eastAsia" w:ascii="宋体" w:hAnsi="宋体" w:eastAsia="宋体" w:cs="宋体"/>
          <w:color w:val="auto"/>
          <w:spacing w:val="-6"/>
          <w:kern w:val="0"/>
          <w:sz w:val="22"/>
          <w:szCs w:val="22"/>
          <w:highlight w:val="none"/>
          <w:u w:val="none"/>
          <w:lang w:val="en-US" w:eastAsia="zh-CN" w:bidi="ar"/>
        </w:rPr>
        <w:t>。甲方对于满足合同约定支付条件的，自收到发票后7个工作日内将资金支付到合同约定的乙方账户。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color w:val="auto"/>
          <w:sz w:val="22"/>
          <w:szCs w:val="22"/>
          <w:highlight w:val="none"/>
        </w:rPr>
      </w:pPr>
      <w:bookmarkStart w:id="51" w:name="_Toc11628"/>
      <w:bookmarkStart w:id="52" w:name="_Toc5740"/>
      <w:r>
        <w:rPr>
          <w:rFonts w:hint="eastAsia" w:ascii="宋体" w:hAnsi="宋体" w:eastAsia="宋体" w:cs="宋体"/>
          <w:b/>
          <w:bCs/>
          <w:color w:val="auto"/>
          <w:sz w:val="22"/>
          <w:szCs w:val="22"/>
          <w:highlight w:val="none"/>
        </w:rPr>
        <w:t>1</w:t>
      </w: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双方责任</w:t>
      </w:r>
      <w:bookmarkEnd w:id="51"/>
      <w:bookmarkEnd w:id="52"/>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甲方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按合同规定向</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支付货款。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组织对货物的验收。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.2 </w:t>
      </w:r>
      <w:r>
        <w:rPr>
          <w:rFonts w:hint="eastAsia" w:ascii="宋体" w:hAnsi="宋体" w:eastAsia="宋体" w:cs="宋体"/>
          <w:color w:val="auto"/>
          <w:sz w:val="22"/>
          <w:szCs w:val="22"/>
          <w:highlight w:val="none"/>
          <w:lang w:eastAsia="zh-CN"/>
        </w:rPr>
        <w:t>乙方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按合同要求提供货物和服务。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对所提供的货物和服务质量问题无条件负责处理。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53" w:name="_Toc23143"/>
      <w:bookmarkStart w:id="54" w:name="_Toc21167"/>
      <w:r>
        <w:rPr>
          <w:rFonts w:hint="eastAsia" w:ascii="宋体" w:hAnsi="宋体" w:eastAsia="宋体" w:cs="宋体"/>
          <w:b/>
          <w:bCs/>
          <w:color w:val="auto"/>
          <w:sz w:val="22"/>
          <w:szCs w:val="22"/>
          <w:highlight w:val="none"/>
          <w:lang w:val="en-US" w:eastAsia="zh-CN"/>
        </w:rPr>
        <w:t>14、</w:t>
      </w:r>
      <w:r>
        <w:rPr>
          <w:rFonts w:hint="eastAsia" w:ascii="宋体" w:hAnsi="宋体" w:eastAsia="宋体" w:cs="宋体"/>
          <w:b/>
          <w:bCs/>
          <w:color w:val="auto"/>
          <w:sz w:val="22"/>
          <w:szCs w:val="22"/>
          <w:highlight w:val="none"/>
        </w:rPr>
        <w:t>违约责任</w:t>
      </w:r>
      <w:bookmarkEnd w:id="53"/>
      <w:bookmarkEnd w:id="54"/>
    </w:p>
    <w:p>
      <w:pPr>
        <w:keepNext w:val="0"/>
        <w:keepLines w:val="0"/>
        <w:pageBreakBefore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2"/>
          <w:szCs w:val="22"/>
          <w:highlight w:val="none"/>
          <w:u w:val="single"/>
        </w:rPr>
        <w:t xml:space="preserve">  0.05</w:t>
      </w:r>
      <w:r>
        <w:rPr>
          <w:rFonts w:hint="eastAsia" w:ascii="宋体" w:hAnsi="宋体" w:eastAsia="宋体" w:cs="宋体"/>
          <w:color w:val="auto"/>
          <w:kern w:val="0"/>
          <w:sz w:val="22"/>
          <w:szCs w:val="22"/>
          <w:highlight w:val="none"/>
          <w:u w:val="single"/>
        </w:rPr>
        <w:t>（可根据情况修改）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%计算，最高限额为本合同总价的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%；迟延交付货物的违约金计算数额达到前述最高限额之日起，甲方有权在要求乙方支付违约金的同时，书面通知乙方解除本合同；</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2"/>
          <w:szCs w:val="22"/>
          <w:highlight w:val="none"/>
          <w:u w:val="single"/>
        </w:rPr>
        <w:t xml:space="preserve"> 0.05</w:t>
      </w:r>
      <w:r>
        <w:rPr>
          <w:rFonts w:hint="eastAsia" w:ascii="宋体" w:hAnsi="宋体" w:eastAsia="宋体" w:cs="宋体"/>
          <w:color w:val="auto"/>
          <w:kern w:val="0"/>
          <w:sz w:val="22"/>
          <w:szCs w:val="22"/>
          <w:highlight w:val="none"/>
          <w:u w:val="single"/>
        </w:rPr>
        <w:t>（可根据情况修改）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%计算，最高限额为本合同总价的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%；迟延付款的违约金计算数额达到前述最高限额之日起，乙方有权在要求甲方支付违约金的同时，书面通知甲方解除本合同；</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rPr>
        <w:t>.5如果出现政府采购监督管理部门在处理投诉事项期间，书面通知甲方暂停采购活动的情形，或者询问或质疑事项可能影响中标或者成交结果的，导致甲方中止履行合同的情形，均不视为甲方违约。</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lang w:val="en-US" w:eastAsia="zh-CN"/>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实际损失情况要求违约方赔偿损失；且守约方行使的任何权利救济方式均不视为其放弃了其他法定或者约定的权利救济方式；</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14.7</w:t>
      </w:r>
      <w:r>
        <w:rPr>
          <w:rFonts w:hint="eastAsia" w:ascii="宋体" w:hAnsi="宋体" w:eastAsia="宋体" w:cs="宋体"/>
          <w:color w:val="auto"/>
          <w:sz w:val="22"/>
          <w:szCs w:val="22"/>
          <w:highlight w:val="none"/>
        </w:rPr>
        <w:t>如产品质量未达到投标承诺技术要求的；</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将退货处理，乙方退回所有价款并承担</w:t>
      </w:r>
      <w:r>
        <w:rPr>
          <w:rFonts w:hint="eastAsia" w:ascii="宋体" w:hAnsi="宋体" w:eastAsia="宋体" w:cs="宋体"/>
          <w:color w:val="auto"/>
          <w:sz w:val="22"/>
          <w:szCs w:val="22"/>
          <w:highlight w:val="none"/>
          <w:lang w:val="en-US" w:eastAsia="zh-CN"/>
        </w:rPr>
        <w:t>合同总</w:t>
      </w:r>
      <w:r>
        <w:rPr>
          <w:rFonts w:hint="eastAsia" w:ascii="宋体" w:hAnsi="宋体" w:eastAsia="宋体" w:cs="宋体"/>
          <w:color w:val="auto"/>
          <w:sz w:val="22"/>
          <w:szCs w:val="22"/>
          <w:highlight w:val="none"/>
        </w:rPr>
        <w:t>金额的</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%作为违约金。</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14.8其他</w:t>
      </w:r>
      <w:r>
        <w:rPr>
          <w:rFonts w:hint="eastAsia" w:ascii="宋体" w:hAnsi="宋体" w:eastAsia="宋体" w:cs="宋体"/>
          <w:color w:val="auto"/>
          <w:sz w:val="22"/>
          <w:szCs w:val="22"/>
          <w:highlight w:val="none"/>
        </w:rPr>
        <w:t>违约责任</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b/>
          <w:bCs/>
          <w:color w:val="auto"/>
          <w:sz w:val="22"/>
          <w:szCs w:val="22"/>
          <w:highlight w:val="none"/>
        </w:rPr>
      </w:pPr>
      <w:bookmarkStart w:id="55" w:name="_Toc13836"/>
      <w:bookmarkStart w:id="56" w:name="_Toc2867"/>
      <w:r>
        <w:rPr>
          <w:rFonts w:hint="eastAsia" w:ascii="宋体" w:hAnsi="宋体" w:eastAsia="宋体" w:cs="宋体"/>
          <w:b/>
          <w:bCs/>
          <w:color w:val="auto"/>
          <w:sz w:val="22"/>
          <w:szCs w:val="22"/>
          <w:highlight w:val="none"/>
          <w:lang w:val="en-US" w:eastAsia="zh-CN"/>
        </w:rPr>
        <w:t>15、</w:t>
      </w:r>
      <w:r>
        <w:rPr>
          <w:rFonts w:hint="eastAsia" w:ascii="宋体" w:hAnsi="宋体" w:eastAsia="宋体" w:cs="宋体"/>
          <w:b/>
          <w:bCs/>
          <w:color w:val="auto"/>
          <w:sz w:val="22"/>
          <w:szCs w:val="22"/>
          <w:highlight w:val="none"/>
        </w:rPr>
        <w:t>延迟交货</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b/>
          <w:bCs/>
          <w:color w:val="auto"/>
          <w:sz w:val="22"/>
          <w:szCs w:val="22"/>
          <w:highlight w:val="none"/>
        </w:rPr>
      </w:pPr>
      <w:bookmarkStart w:id="57" w:name="_Toc259093687"/>
      <w:bookmarkStart w:id="58" w:name="_Toc279701258"/>
      <w:bookmarkStart w:id="59" w:name="_Toc16959"/>
      <w:bookmarkStart w:id="60" w:name="_Toc7102"/>
      <w:bookmarkStart w:id="61" w:name="_Toc487900368"/>
      <w:bookmarkStart w:id="62" w:name="_Toc8298"/>
      <w:r>
        <w:rPr>
          <w:rFonts w:hint="eastAsia" w:ascii="宋体" w:hAnsi="宋体" w:eastAsia="宋体" w:cs="宋体"/>
          <w:b/>
          <w:bCs/>
          <w:color w:val="auto"/>
          <w:sz w:val="22"/>
          <w:szCs w:val="22"/>
          <w:highlight w:val="none"/>
          <w:lang w:val="en-US" w:eastAsia="zh-CN"/>
        </w:rPr>
        <w:t>16、</w:t>
      </w:r>
      <w:r>
        <w:rPr>
          <w:rFonts w:hint="eastAsia" w:ascii="宋体" w:hAnsi="宋体" w:eastAsia="宋体" w:cs="宋体"/>
          <w:b/>
          <w:bCs/>
          <w:color w:val="auto"/>
          <w:sz w:val="22"/>
          <w:szCs w:val="22"/>
          <w:highlight w:val="none"/>
        </w:rPr>
        <w:t>乙方破产</w:t>
      </w:r>
      <w:bookmarkEnd w:id="57"/>
      <w:bookmarkEnd w:id="58"/>
      <w:bookmarkEnd w:id="59"/>
      <w:bookmarkEnd w:id="60"/>
      <w:bookmarkEnd w:id="61"/>
      <w:bookmarkEnd w:id="62"/>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b/>
          <w:bCs/>
          <w:color w:val="auto"/>
          <w:sz w:val="22"/>
          <w:szCs w:val="22"/>
          <w:highlight w:val="none"/>
        </w:rPr>
      </w:pPr>
      <w:bookmarkStart w:id="63" w:name="_Toc15387"/>
      <w:bookmarkStart w:id="64" w:name="_Toc29333"/>
      <w:bookmarkStart w:id="65" w:name="_Toc6134"/>
      <w:r>
        <w:rPr>
          <w:rFonts w:hint="eastAsia" w:ascii="宋体" w:hAnsi="宋体" w:eastAsia="宋体" w:cs="宋体"/>
          <w:b/>
          <w:bCs/>
          <w:color w:val="auto"/>
          <w:sz w:val="22"/>
          <w:szCs w:val="22"/>
          <w:highlight w:val="none"/>
          <w:lang w:val="en-US" w:eastAsia="zh-CN"/>
        </w:rPr>
        <w:t>17、</w:t>
      </w:r>
      <w:r>
        <w:rPr>
          <w:rFonts w:hint="eastAsia" w:ascii="宋体" w:hAnsi="宋体" w:eastAsia="宋体" w:cs="宋体"/>
          <w:b/>
          <w:bCs/>
          <w:color w:val="auto"/>
          <w:sz w:val="22"/>
          <w:szCs w:val="22"/>
          <w:highlight w:val="none"/>
        </w:rPr>
        <w:t>合同中止、终止</w:t>
      </w:r>
      <w:bookmarkEnd w:id="63"/>
      <w:bookmarkEnd w:id="64"/>
      <w:bookmarkEnd w:id="65"/>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17</w:t>
      </w:r>
      <w:r>
        <w:rPr>
          <w:rFonts w:hint="eastAsia" w:ascii="宋体" w:hAnsi="宋体" w:eastAsia="宋体" w:cs="宋体"/>
          <w:color w:val="auto"/>
          <w:sz w:val="22"/>
          <w:szCs w:val="22"/>
          <w:highlight w:val="none"/>
        </w:rPr>
        <w:t>.1 双方当事人不得擅自中止或者终止合同；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17</w:t>
      </w:r>
      <w:r>
        <w:rPr>
          <w:rFonts w:hint="eastAsia" w:ascii="宋体" w:hAnsi="宋体" w:eastAsia="宋体" w:cs="宋体"/>
          <w:color w:val="auto"/>
          <w:sz w:val="22"/>
          <w:szCs w:val="22"/>
          <w:highlight w:val="none"/>
        </w:rPr>
        <w:t>.2合同继续履行将损害国家利益和社会公共利益的，双方当事人应当中止或者终止合同。有过错的一方应当承担赔偿责任，双方当事人都有过错的，各自承担相应的责任。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b/>
          <w:bCs/>
          <w:color w:val="auto"/>
          <w:sz w:val="22"/>
          <w:szCs w:val="22"/>
          <w:highlight w:val="none"/>
        </w:rPr>
      </w:pPr>
      <w:bookmarkStart w:id="66" w:name="_Toc6596"/>
      <w:bookmarkStart w:id="67" w:name="_Toc1125"/>
      <w:bookmarkStart w:id="68" w:name="_Toc14563"/>
      <w:bookmarkStart w:id="69" w:name="_Toc487900371"/>
      <w:bookmarkStart w:id="70" w:name="_Toc259093690"/>
      <w:bookmarkStart w:id="71" w:name="_Toc279701261"/>
      <w:bookmarkStart w:id="72" w:name="_Toc19604"/>
      <w:bookmarkStart w:id="73" w:name="_Toc25182"/>
      <w:bookmarkStart w:id="74" w:name="_Toc11284"/>
      <w:r>
        <w:rPr>
          <w:rFonts w:hint="eastAsia" w:ascii="宋体" w:hAnsi="宋体" w:eastAsia="宋体" w:cs="宋体"/>
          <w:b/>
          <w:bCs/>
          <w:color w:val="auto"/>
          <w:sz w:val="22"/>
          <w:szCs w:val="22"/>
          <w:highlight w:val="none"/>
          <w:lang w:val="en-US" w:eastAsia="zh-CN"/>
        </w:rPr>
        <w:t>18、</w:t>
      </w:r>
      <w:bookmarkEnd w:id="66"/>
      <w:bookmarkEnd w:id="67"/>
      <w:bookmarkEnd w:id="68"/>
      <w:r>
        <w:rPr>
          <w:rFonts w:hint="eastAsia" w:ascii="宋体" w:hAnsi="宋体" w:eastAsia="宋体" w:cs="宋体"/>
          <w:b/>
          <w:color w:val="auto"/>
          <w:spacing w:val="-6"/>
          <w:sz w:val="22"/>
          <w:szCs w:val="22"/>
          <w:highlight w:val="none"/>
        </w:rPr>
        <w:t>验收标准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18.1</w:t>
      </w:r>
      <w:r>
        <w:rPr>
          <w:rFonts w:hint="eastAsia" w:ascii="宋体" w:hAnsi="宋体" w:eastAsia="宋体" w:cs="宋体"/>
          <w:color w:val="auto"/>
          <w:sz w:val="22"/>
          <w:szCs w:val="22"/>
          <w:highlight w:val="none"/>
        </w:rPr>
        <w:t>乙方合同货物送达甲方指定地点并在安装调试完毕之日起15日内，由甲方负责实施验收；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18.2</w:t>
      </w:r>
      <w:r>
        <w:rPr>
          <w:rFonts w:hint="eastAsia" w:ascii="宋体" w:hAnsi="宋体" w:eastAsia="宋体" w:cs="宋体"/>
          <w:color w:val="auto"/>
          <w:sz w:val="22"/>
          <w:szCs w:val="22"/>
          <w:highlight w:val="none"/>
        </w:rPr>
        <w:t>验收依据：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2.1合同、招标文件、投标文件；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2.2乙方提供的技术规格、经甲方认可的合同货物的有效检验文件；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2.3乙方投标文件中提供的经甲方认可的合同货物的验收标准（符合中国有关的国家、地方、行业标准）和检测办法及相应检测手段。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3乙方应派员在所供货物到甲方处时进行到货验收，有需要时能联系产品制造商到场共同验收，若发现任何损坏及质量问题，乙方负责妥善处理直至甲方满意，由此产生的费用由乙方承担。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4验收合格的条件：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4.1所供货物符合产品标准和合同的要求；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4.2在进行测试和验收过程中发现的问题已被解决并得到甲方的认可；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4.3合同中规定的所有货物和材料均已交付；</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4.4所供货物已通过使用单位组织的验收；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4.5所有相关的技术文件及资料均已提交并得到接受</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18.5以上验收费用产生的费用由乙方承担</w:t>
      </w:r>
      <w:r>
        <w:rPr>
          <w:rFonts w:hint="eastAsia" w:ascii="宋体" w:hAnsi="宋体" w:cs="宋体"/>
          <w:color w:val="auto"/>
          <w:sz w:val="22"/>
          <w:szCs w:val="2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19、</w:t>
      </w:r>
      <w:r>
        <w:rPr>
          <w:rFonts w:hint="eastAsia" w:ascii="宋体" w:hAnsi="宋体" w:eastAsia="宋体" w:cs="宋体"/>
          <w:b/>
          <w:bCs/>
          <w:color w:val="auto"/>
          <w:sz w:val="22"/>
          <w:szCs w:val="22"/>
          <w:highlight w:val="none"/>
        </w:rPr>
        <w:t>通知</w:t>
      </w:r>
      <w:bookmarkEnd w:id="69"/>
      <w:bookmarkEnd w:id="70"/>
      <w:bookmarkEnd w:id="71"/>
      <w:r>
        <w:rPr>
          <w:rFonts w:hint="eastAsia" w:ascii="宋体" w:hAnsi="宋体" w:eastAsia="宋体" w:cs="宋体"/>
          <w:b/>
          <w:bCs/>
          <w:color w:val="auto"/>
          <w:sz w:val="22"/>
          <w:szCs w:val="22"/>
          <w:highlight w:val="none"/>
        </w:rPr>
        <w:t>和送达</w:t>
      </w:r>
      <w:bookmarkEnd w:id="72"/>
      <w:bookmarkEnd w:id="73"/>
      <w:bookmarkEnd w:id="74"/>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bookmarkStart w:id="75" w:name="_Toc6698"/>
      <w:bookmarkStart w:id="76" w:name="_Toc3135"/>
      <w:bookmarkStart w:id="77" w:name="_Toc487900372"/>
      <w:bookmarkStart w:id="78" w:name="_Toc259093691"/>
      <w:bookmarkStart w:id="79" w:name="_Toc279701262"/>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highlight w:val="none"/>
        </w:rPr>
        <w:t>.1任何一方因履行合同而以合同第一部分尾部所列明的传真或电子邮件发出的所有通知、文件、材料，均视为已向对方当事人送达；任何一方变更上述送达方式或者地址的，应于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eastAsia="宋体" w:cs="宋体"/>
          <w:color w:val="auto"/>
          <w:sz w:val="22"/>
          <w:szCs w:val="22"/>
          <w:highlight w:val="none"/>
          <w:u w:val="single"/>
        </w:rPr>
        <w:t>3</w:t>
      </w:r>
      <w:r>
        <w:rPr>
          <w:rFonts w:hint="eastAsia" w:ascii="宋体" w:hAnsi="宋体" w:eastAsia="宋体" w:cs="宋体"/>
          <w:color w:val="auto"/>
          <w:sz w:val="22"/>
          <w:szCs w:val="22"/>
          <w:highlight w:val="none"/>
        </w:rPr>
        <w:t>个工作日内书面通知对方当事人，在对方当事人收到有关变更通知之前，变更前的约定送达方式或者地址仍视为有效。</w:t>
      </w:r>
      <w:bookmarkEnd w:id="75"/>
      <w:bookmarkEnd w:id="76"/>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bookmarkStart w:id="80" w:name="_Toc23294"/>
      <w:bookmarkStart w:id="81" w:name="_Toc23128"/>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highlight w:val="none"/>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80"/>
      <w:bookmarkEnd w:id="81"/>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82" w:name="_Toc18540"/>
      <w:bookmarkStart w:id="83" w:name="_Toc4355"/>
      <w:bookmarkStart w:id="84" w:name="_Toc30599"/>
      <w:r>
        <w:rPr>
          <w:rFonts w:hint="eastAsia" w:ascii="宋体" w:hAnsi="宋体" w:eastAsia="宋体" w:cs="宋体"/>
          <w:b/>
          <w:bCs/>
          <w:color w:val="auto"/>
          <w:sz w:val="22"/>
          <w:szCs w:val="22"/>
          <w:highlight w:val="none"/>
          <w:lang w:val="en-US" w:eastAsia="zh-CN"/>
        </w:rPr>
        <w:t>20、</w:t>
      </w:r>
      <w:bookmarkEnd w:id="77"/>
      <w:bookmarkEnd w:id="78"/>
      <w:bookmarkEnd w:id="79"/>
      <w:bookmarkEnd w:id="82"/>
      <w:bookmarkEnd w:id="83"/>
      <w:bookmarkEnd w:id="84"/>
      <w:r>
        <w:rPr>
          <w:rFonts w:hint="eastAsia" w:ascii="宋体" w:hAnsi="宋体" w:eastAsia="宋体" w:cs="宋体"/>
          <w:b/>
          <w:bCs/>
          <w:color w:val="auto"/>
          <w:sz w:val="22"/>
          <w:szCs w:val="22"/>
          <w:highlight w:val="none"/>
        </w:rPr>
        <w:t>不可抗力</w:t>
      </w:r>
      <w:bookmarkEnd w:id="55"/>
      <w:bookmarkEnd w:id="56"/>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双方中任何一方由于战争、严重火灾、水灾、破坏性台风和地震以及其它经双方同意属不可抗力的事故，致使合同履行受阻时，履行合同期限应予延长，延长时限应相当于事故所影响的时间，或双方协商解决。</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85" w:name="_Toc30164"/>
      <w:bookmarkStart w:id="86" w:name="_Toc22804"/>
      <w:r>
        <w:rPr>
          <w:rFonts w:hint="eastAsia" w:ascii="宋体" w:hAnsi="宋体" w:eastAsia="宋体" w:cs="宋体"/>
          <w:b/>
          <w:bCs/>
          <w:color w:val="auto"/>
          <w:sz w:val="22"/>
          <w:szCs w:val="22"/>
          <w:highlight w:val="none"/>
          <w:lang w:val="en-US" w:eastAsia="zh-CN"/>
        </w:rPr>
        <w:t>21</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税费</w:t>
      </w:r>
      <w:bookmarkEnd w:id="85"/>
      <w:bookmarkEnd w:id="86"/>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根据国家现行税法对</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征收的与本合同有关的一切费用由</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根据现行税法对</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征收的与本合同有关的一切税费均由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在中国境外发生的与本合同执行有关的一切税费由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87" w:name="_Toc22007"/>
      <w:bookmarkStart w:id="88" w:name="_Toc13156"/>
      <w:r>
        <w:rPr>
          <w:rFonts w:hint="eastAsia" w:ascii="宋体" w:hAnsi="宋体" w:eastAsia="宋体" w:cs="宋体"/>
          <w:b/>
          <w:bCs/>
          <w:color w:val="auto"/>
          <w:sz w:val="22"/>
          <w:szCs w:val="22"/>
          <w:highlight w:val="none"/>
          <w:lang w:val="en-US" w:eastAsia="zh-CN"/>
        </w:rPr>
        <w:t>22、</w:t>
      </w:r>
      <w:r>
        <w:rPr>
          <w:rFonts w:hint="eastAsia" w:ascii="宋体" w:hAnsi="宋体" w:eastAsia="宋体" w:cs="宋体"/>
          <w:b/>
          <w:bCs/>
          <w:color w:val="auto"/>
          <w:sz w:val="22"/>
          <w:szCs w:val="22"/>
          <w:highlight w:val="none"/>
        </w:rPr>
        <w:t>转让和分包及产品不可替代</w:t>
      </w:r>
      <w:bookmarkEnd w:id="87"/>
      <w:bookmarkEnd w:id="88"/>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rPr>
        <w:t>.1未经</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事先书面同意，</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不得部分转让或全部转让和分包其履行合同的义务。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rPr>
        <w:t>.2产品不可替代，</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在没有取得</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的书面授权的情况下，不得将合同货物的生产制造转交其他生产厂商或以其他厂商的产品替代。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89" w:name="_Toc1262"/>
      <w:bookmarkStart w:id="90" w:name="_Toc32620"/>
      <w:r>
        <w:rPr>
          <w:rFonts w:hint="eastAsia" w:ascii="宋体" w:hAnsi="宋体" w:eastAsia="宋体" w:cs="宋体"/>
          <w:b/>
          <w:bCs/>
          <w:color w:val="auto"/>
          <w:sz w:val="22"/>
          <w:szCs w:val="22"/>
          <w:highlight w:val="none"/>
          <w:lang w:val="en-US" w:eastAsia="zh-CN"/>
        </w:rPr>
        <w:t>23、</w:t>
      </w:r>
      <w:r>
        <w:rPr>
          <w:rFonts w:hint="eastAsia" w:ascii="宋体" w:hAnsi="宋体" w:eastAsia="宋体" w:cs="宋体"/>
          <w:b/>
          <w:bCs/>
          <w:color w:val="auto"/>
          <w:sz w:val="22"/>
          <w:szCs w:val="22"/>
          <w:highlight w:val="none"/>
        </w:rPr>
        <w:t>争端的解决</w:t>
      </w:r>
      <w:bookmarkEnd w:id="89"/>
      <w:bookmarkEnd w:id="90"/>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合同实施或与合同有关的一切争端，</w:t>
      </w:r>
      <w:r>
        <w:rPr>
          <w:rFonts w:hint="eastAsia" w:ascii="宋体" w:hAnsi="宋体" w:eastAsia="宋体" w:cs="宋体"/>
          <w:color w:val="auto"/>
          <w:sz w:val="22"/>
          <w:szCs w:val="22"/>
          <w:highlight w:val="none"/>
          <w:lang w:eastAsia="zh-CN"/>
        </w:rPr>
        <w:t>甲乙</w:t>
      </w:r>
      <w:r>
        <w:rPr>
          <w:rFonts w:hint="eastAsia" w:ascii="宋体" w:hAnsi="宋体" w:eastAsia="宋体" w:cs="宋体"/>
          <w:color w:val="auto"/>
          <w:sz w:val="22"/>
          <w:szCs w:val="22"/>
          <w:highlight w:val="none"/>
        </w:rPr>
        <w:t>双方首先应通过友好协商解决，如果协商仍得不到解决，任何一方可向</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所在地人民法院申请诉讼。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91" w:name="_Toc23255"/>
      <w:bookmarkStart w:id="92" w:name="_Toc15254"/>
      <w:r>
        <w:rPr>
          <w:rFonts w:hint="eastAsia" w:ascii="宋体" w:hAnsi="宋体" w:eastAsia="宋体" w:cs="宋体"/>
          <w:b/>
          <w:bCs/>
          <w:color w:val="auto"/>
          <w:sz w:val="22"/>
          <w:szCs w:val="22"/>
          <w:highlight w:val="none"/>
          <w:lang w:val="en-US" w:eastAsia="zh-CN"/>
        </w:rPr>
        <w:t>24、</w:t>
      </w:r>
      <w:r>
        <w:rPr>
          <w:rFonts w:hint="eastAsia" w:ascii="宋体" w:hAnsi="宋体" w:eastAsia="宋体" w:cs="宋体"/>
          <w:b/>
          <w:bCs/>
          <w:color w:val="auto"/>
          <w:sz w:val="22"/>
          <w:szCs w:val="22"/>
          <w:highlight w:val="none"/>
        </w:rPr>
        <w:t>适用法律</w:t>
      </w:r>
      <w:bookmarkEnd w:id="91"/>
      <w:bookmarkEnd w:id="92"/>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本合同按照中华人民共和国的法律进行解释。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93" w:name="_Toc22715"/>
      <w:bookmarkStart w:id="94" w:name="_Toc30691"/>
      <w:r>
        <w:rPr>
          <w:rFonts w:hint="eastAsia" w:ascii="宋体" w:hAnsi="宋体" w:eastAsia="宋体" w:cs="宋体"/>
          <w:b/>
          <w:bCs/>
          <w:color w:val="auto"/>
          <w:sz w:val="22"/>
          <w:szCs w:val="22"/>
          <w:highlight w:val="none"/>
          <w:lang w:val="en-US" w:eastAsia="zh-CN"/>
        </w:rPr>
        <w:t>25</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合同文件</w:t>
      </w:r>
      <w:bookmarkEnd w:id="93"/>
      <w:bookmarkEnd w:id="94"/>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35"/>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下列文件构成本合同的组成部分：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35"/>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 合同主要条款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35"/>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 </w:t>
      </w:r>
      <w:r>
        <w:rPr>
          <w:rFonts w:hint="eastAsia" w:ascii="宋体" w:hAnsi="宋体" w:eastAsia="宋体" w:cs="宋体"/>
          <w:color w:val="auto"/>
          <w:sz w:val="22"/>
          <w:szCs w:val="22"/>
          <w:highlight w:val="none"/>
          <w:lang w:val="en-US" w:eastAsia="zh-CN"/>
        </w:rPr>
        <w:t>成交</w:t>
      </w:r>
      <w:r>
        <w:rPr>
          <w:rFonts w:hint="eastAsia" w:ascii="宋体" w:hAnsi="宋体" w:eastAsia="宋体" w:cs="宋体"/>
          <w:color w:val="auto"/>
          <w:sz w:val="22"/>
          <w:szCs w:val="22"/>
          <w:highlight w:val="none"/>
        </w:rPr>
        <w:t>通知书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35"/>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 xml:space="preserve">(3) </w:t>
      </w:r>
      <w:r>
        <w:rPr>
          <w:rFonts w:hint="eastAsia" w:ascii="宋体" w:hAnsi="宋体" w:eastAsia="宋体" w:cs="宋体"/>
          <w:color w:val="auto"/>
          <w:sz w:val="22"/>
          <w:szCs w:val="22"/>
          <w:highlight w:val="none"/>
          <w:lang w:val="en-US" w:eastAsia="zh-CN"/>
        </w:rPr>
        <w:t>乙方投标文件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35"/>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甲方招标文件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35"/>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合同补充条款或说明（如有的话）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35"/>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 履约保证金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35"/>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 xml:space="preserve">) 承诺书（含询标记录和优惠条件）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textAlignment w:val="auto"/>
        <w:outlineLvl w:val="1"/>
        <w:rPr>
          <w:rFonts w:hint="eastAsia" w:ascii="宋体" w:hAnsi="宋体" w:eastAsia="宋体" w:cs="宋体"/>
          <w:b/>
          <w:bCs/>
          <w:color w:val="auto"/>
          <w:sz w:val="22"/>
          <w:szCs w:val="22"/>
          <w:highlight w:val="none"/>
        </w:rPr>
      </w:pPr>
      <w:bookmarkStart w:id="95" w:name="_Toc26523"/>
      <w:bookmarkStart w:id="96" w:name="_Toc24922"/>
      <w:bookmarkStart w:id="97" w:name="_Toc660"/>
      <w:r>
        <w:rPr>
          <w:rFonts w:hint="eastAsia" w:ascii="宋体" w:hAnsi="宋体" w:eastAsia="宋体" w:cs="宋体"/>
          <w:b/>
          <w:bCs/>
          <w:color w:val="auto"/>
          <w:sz w:val="22"/>
          <w:szCs w:val="22"/>
          <w:highlight w:val="none"/>
          <w:lang w:val="en-US" w:eastAsia="zh-CN"/>
        </w:rPr>
        <w:t>26、</w:t>
      </w:r>
      <w:r>
        <w:rPr>
          <w:rFonts w:hint="eastAsia" w:ascii="宋体" w:hAnsi="宋体" w:eastAsia="宋体" w:cs="宋体"/>
          <w:b/>
          <w:bCs/>
          <w:color w:val="auto"/>
          <w:sz w:val="22"/>
          <w:szCs w:val="22"/>
          <w:highlight w:val="none"/>
        </w:rPr>
        <w:t>合同生效及其他：</w:t>
      </w:r>
      <w:bookmarkEnd w:id="95"/>
      <w:bookmarkEnd w:id="96"/>
      <w:bookmarkEnd w:id="97"/>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bookmarkStart w:id="98" w:name="_Toc3765"/>
      <w:bookmarkStart w:id="99" w:name="_Toc19531"/>
      <w:r>
        <w:rPr>
          <w:rFonts w:hint="eastAsia" w:ascii="宋体" w:hAnsi="宋体" w:eastAsia="宋体" w:cs="宋体"/>
          <w:color w:val="auto"/>
          <w:sz w:val="22"/>
          <w:szCs w:val="22"/>
          <w:highlight w:val="none"/>
          <w:lang w:val="en-US" w:eastAsia="zh-CN"/>
        </w:rPr>
        <w:t>26</w:t>
      </w:r>
      <w:r>
        <w:rPr>
          <w:rFonts w:hint="eastAsia" w:ascii="宋体" w:hAnsi="宋体" w:eastAsia="宋体" w:cs="宋体"/>
          <w:color w:val="auto"/>
          <w:sz w:val="22"/>
          <w:szCs w:val="22"/>
          <w:highlight w:val="none"/>
        </w:rPr>
        <w:t>.1本合同一式伍份，</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贰份、</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贰份、采购代理机构壹份。</w:t>
      </w:r>
      <w:bookmarkEnd w:id="98"/>
      <w:bookmarkEnd w:id="99"/>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bookmarkStart w:id="100" w:name="_Toc20005"/>
      <w:bookmarkStart w:id="101" w:name="_Toc2148"/>
      <w:r>
        <w:rPr>
          <w:rFonts w:hint="eastAsia" w:ascii="宋体" w:hAnsi="宋体" w:eastAsia="宋体" w:cs="宋体"/>
          <w:color w:val="auto"/>
          <w:sz w:val="22"/>
          <w:szCs w:val="22"/>
          <w:highlight w:val="none"/>
          <w:lang w:val="en-US" w:eastAsia="zh-CN"/>
        </w:rPr>
        <w:t>26</w:t>
      </w:r>
      <w:r>
        <w:rPr>
          <w:rFonts w:hint="eastAsia" w:ascii="宋体" w:hAnsi="宋体" w:eastAsia="宋体" w:cs="宋体"/>
          <w:color w:val="auto"/>
          <w:sz w:val="22"/>
          <w:szCs w:val="22"/>
          <w:highlight w:val="none"/>
        </w:rPr>
        <w:t>.2合同经</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双方签字盖章后生效。</w:t>
      </w:r>
      <w:bookmarkEnd w:id="100"/>
      <w:bookmarkEnd w:id="101"/>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textAlignment w:val="auto"/>
        <w:outlineLvl w:val="9"/>
        <w:rPr>
          <w:rFonts w:hint="eastAsia" w:ascii="宋体" w:hAnsi="宋体" w:eastAsia="宋体" w:cs="宋体"/>
          <w:color w:val="auto"/>
          <w:sz w:val="22"/>
          <w:szCs w:val="22"/>
          <w:highlight w:val="none"/>
        </w:rPr>
      </w:pPr>
      <w:bookmarkStart w:id="102" w:name="_Toc5761"/>
      <w:bookmarkStart w:id="103" w:name="_Toc24661"/>
      <w:r>
        <w:rPr>
          <w:rFonts w:hint="eastAsia" w:ascii="宋体" w:hAnsi="宋体" w:eastAsia="宋体" w:cs="宋体"/>
          <w:color w:val="auto"/>
          <w:sz w:val="22"/>
          <w:szCs w:val="22"/>
          <w:highlight w:val="none"/>
          <w:lang w:val="en-US" w:eastAsia="zh-CN"/>
        </w:rPr>
        <w:t>26</w:t>
      </w:r>
      <w:r>
        <w:rPr>
          <w:rFonts w:hint="eastAsia" w:ascii="宋体" w:hAnsi="宋体" w:eastAsia="宋体" w:cs="宋体"/>
          <w:color w:val="auto"/>
          <w:sz w:val="22"/>
          <w:szCs w:val="22"/>
          <w:highlight w:val="none"/>
        </w:rPr>
        <w:t>.3如需修改或补充合同内容，经协商，双方应签署书面修改或补充协议，该协议将作为本合同的一个组成部分。</w:t>
      </w:r>
      <w:bookmarkEnd w:id="102"/>
      <w:bookmarkEnd w:id="103"/>
    </w:p>
    <w:tbl>
      <w:tblPr>
        <w:tblStyle w:val="32"/>
        <w:tblW w:w="0" w:type="auto"/>
        <w:jc w:val="center"/>
        <w:tblLayout w:type="fixed"/>
        <w:tblCellMar>
          <w:top w:w="0" w:type="dxa"/>
          <w:left w:w="108" w:type="dxa"/>
          <w:bottom w:w="0" w:type="dxa"/>
          <w:right w:w="108" w:type="dxa"/>
        </w:tblCellMar>
      </w:tblPr>
      <w:tblGrid>
        <w:gridCol w:w="5054"/>
        <w:gridCol w:w="4050"/>
      </w:tblGrid>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eastAsia="zh-CN" w:bidi="ar"/>
              </w:rPr>
              <w:t>甲方</w:t>
            </w:r>
            <w:r>
              <w:rPr>
                <w:rFonts w:hint="eastAsia" w:ascii="宋体" w:hAnsi="宋体" w:eastAsia="宋体" w:cs="宋体"/>
                <w:color w:val="auto"/>
                <w:kern w:val="0"/>
                <w:sz w:val="22"/>
                <w:szCs w:val="22"/>
                <w:highlight w:val="none"/>
                <w:lang w:bidi="ar"/>
              </w:rPr>
              <w:t xml:space="preserve">（盖章）：                      </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eastAsia="zh-CN" w:bidi="ar"/>
              </w:rPr>
              <w:t>乙方</w:t>
            </w:r>
            <w:r>
              <w:rPr>
                <w:rFonts w:hint="eastAsia" w:ascii="宋体" w:hAnsi="宋体" w:eastAsia="宋体" w:cs="宋体"/>
                <w:color w:val="auto"/>
                <w:kern w:val="0"/>
                <w:sz w:val="22"/>
                <w:szCs w:val="22"/>
                <w:highlight w:val="none"/>
                <w:lang w:bidi="ar"/>
              </w:rPr>
              <w:t>（盖章）：</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法人代表：</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法人代表：</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委托代理人（签字）：</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委托代理人（签字）：</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联系电话：                          </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联系电话：                          </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地址：                             </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地址：                             </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纳税人名称：                       </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纳税人名称：                       </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纳税人识别号：</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纳税人识别号：</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开户行：</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开户行：</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账号：</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账号：</w:t>
            </w:r>
          </w:p>
        </w:tc>
      </w:tr>
      <w:tr>
        <w:tblPrEx>
          <w:tblCellMar>
            <w:top w:w="0" w:type="dxa"/>
            <w:left w:w="108" w:type="dxa"/>
            <w:bottom w:w="0" w:type="dxa"/>
            <w:right w:w="108" w:type="dxa"/>
          </w:tblCellMar>
        </w:tblPrEx>
        <w:trPr>
          <w:trHeight w:val="567" w:hRule="atLeast"/>
          <w:jc w:val="center"/>
        </w:trPr>
        <w:tc>
          <w:tcPr>
            <w:tcW w:w="9104" w:type="dxa"/>
            <w:gridSpan w:val="2"/>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outlineLvl w:val="9"/>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合同签订日期：     年     月      日</w:t>
            </w:r>
          </w:p>
        </w:tc>
      </w:tr>
    </w:tbl>
    <w:p>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pPr>
        <w:jc w:val="center"/>
        <w:outlineLvl w:val="0"/>
        <w:rPr>
          <w:rFonts w:hint="eastAsia" w:ascii="宋体" w:hAnsi="宋体" w:eastAsia="宋体" w:cs="宋体"/>
          <w:b/>
          <w:color w:val="auto"/>
          <w:sz w:val="24"/>
          <w:highlight w:val="none"/>
        </w:rPr>
      </w:pPr>
      <w:bookmarkStart w:id="104" w:name="_Toc24240"/>
      <w:r>
        <w:rPr>
          <w:rFonts w:hint="eastAsia" w:ascii="宋体" w:hAnsi="宋体" w:eastAsia="宋体" w:cs="宋体"/>
          <w:b/>
          <w:color w:val="auto"/>
          <w:sz w:val="24"/>
          <w:highlight w:val="none"/>
        </w:rPr>
        <w:t>附件</w:t>
      </w:r>
      <w:bookmarkEnd w:id="104"/>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供货清单：                                              金额单位：人民币（元）</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tbl>
      <w:tblPr>
        <w:tblStyle w:val="32"/>
        <w:tblW w:w="92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190"/>
        <w:gridCol w:w="719"/>
        <w:gridCol w:w="729"/>
        <w:gridCol w:w="713"/>
        <w:gridCol w:w="1230"/>
        <w:gridCol w:w="853"/>
        <w:gridCol w:w="722"/>
        <w:gridCol w:w="1301"/>
        <w:gridCol w:w="13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序号</w:t>
            </w:r>
          </w:p>
        </w:tc>
        <w:tc>
          <w:tcPr>
            <w:tcW w:w="11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货物名称</w:t>
            </w:r>
          </w:p>
        </w:tc>
        <w:tc>
          <w:tcPr>
            <w:tcW w:w="7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制造商</w:t>
            </w:r>
          </w:p>
        </w:tc>
        <w:tc>
          <w:tcPr>
            <w:tcW w:w="72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产地</w:t>
            </w:r>
          </w:p>
        </w:tc>
        <w:tc>
          <w:tcPr>
            <w:tcW w:w="7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品牌</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规格型号</w:t>
            </w:r>
          </w:p>
        </w:tc>
        <w:tc>
          <w:tcPr>
            <w:tcW w:w="85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数量</w:t>
            </w:r>
          </w:p>
        </w:tc>
        <w:tc>
          <w:tcPr>
            <w:tcW w:w="72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单位</w:t>
            </w:r>
          </w:p>
        </w:tc>
        <w:tc>
          <w:tcPr>
            <w:tcW w:w="130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单价（元）</w:t>
            </w:r>
          </w:p>
        </w:tc>
        <w:tc>
          <w:tcPr>
            <w:tcW w:w="13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293" w:type="dxa"/>
            <w:gridSpan w:val="10"/>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left"/>
              <w:rPr>
                <w:rFonts w:hint="eastAsia" w:ascii="宋体" w:hAnsi="宋体" w:eastAsia="宋体" w:cs="宋体"/>
                <w:color w:val="auto"/>
                <w:spacing w:val="20"/>
                <w:sz w:val="22"/>
                <w:highlight w:val="none"/>
              </w:rPr>
            </w:pPr>
            <w:r>
              <w:rPr>
                <w:rFonts w:hint="eastAsia" w:ascii="宋体" w:hAnsi="宋体" w:eastAsia="宋体" w:cs="宋体"/>
                <w:bCs/>
                <w:color w:val="auto"/>
                <w:sz w:val="22"/>
                <w:szCs w:val="22"/>
                <w:highlight w:val="none"/>
              </w:rPr>
              <w:t xml:space="preserve">合计：（大写）                                  小写：￥ </w:t>
            </w:r>
          </w:p>
        </w:tc>
      </w:tr>
    </w:tbl>
    <w:p>
      <w:pPr>
        <w:spacing w:line="360" w:lineRule="auto"/>
        <w:rPr>
          <w:rFonts w:hint="eastAsia" w:ascii="宋体" w:hAnsi="宋体" w:eastAsia="宋体" w:cs="宋体"/>
          <w:b/>
          <w:color w:val="auto"/>
          <w:sz w:val="24"/>
          <w:highlight w:val="none"/>
          <w:lang w:eastAsia="zh-CN"/>
        </w:rPr>
      </w:pPr>
    </w:p>
    <w:p>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技术参数：</w:t>
      </w:r>
    </w:p>
    <w:p>
      <w:pPr>
        <w:rPr>
          <w:rFonts w:hint="eastAsia" w:ascii="宋体" w:hAnsi="宋体" w:eastAsia="宋体" w:cs="宋体"/>
          <w:color w:val="auto"/>
          <w:sz w:val="24"/>
          <w:highlight w:val="none"/>
        </w:rPr>
      </w:pPr>
    </w:p>
    <w:p>
      <w:pPr>
        <w:rPr>
          <w:rFonts w:hint="eastAsia" w:ascii="宋体" w:hAnsi="宋体" w:eastAsia="宋体" w:cs="宋体"/>
          <w:color w:val="auto"/>
          <w:sz w:val="22"/>
          <w:highlight w:val="none"/>
        </w:rPr>
      </w:pPr>
      <w:r>
        <w:rPr>
          <w:rFonts w:hint="eastAsia" w:ascii="宋体" w:hAnsi="宋体" w:eastAsia="宋体" w:cs="宋体"/>
          <w:b/>
          <w:color w:val="auto"/>
          <w:sz w:val="26"/>
          <w:highlight w:val="none"/>
          <w:lang w:val="en-US" w:eastAsia="zh-CN"/>
        </w:rPr>
        <w:br w:type="page"/>
      </w:r>
    </w:p>
    <w:p>
      <w:pPr>
        <w:tabs>
          <w:tab w:val="left" w:pos="4286"/>
        </w:tabs>
        <w:spacing w:line="400" w:lineRule="exact"/>
        <w:jc w:val="center"/>
        <w:outlineLvl w:val="0"/>
        <w:rPr>
          <w:rFonts w:hint="eastAsia" w:ascii="宋体" w:hAnsi="宋体" w:eastAsia="宋体" w:cs="宋体"/>
          <w:b/>
          <w:color w:val="auto"/>
          <w:sz w:val="32"/>
          <w:highlight w:val="none"/>
        </w:rPr>
      </w:pPr>
      <w:bookmarkStart w:id="105" w:name="_Toc6163"/>
      <w:r>
        <w:rPr>
          <w:rFonts w:hint="eastAsia" w:ascii="宋体" w:hAnsi="宋体" w:eastAsia="宋体" w:cs="宋体"/>
          <w:b/>
          <w:color w:val="auto"/>
          <w:sz w:val="32"/>
          <w:highlight w:val="none"/>
        </w:rPr>
        <w:t>第四部分 附件</w:t>
      </w:r>
      <w:bookmarkEnd w:id="105"/>
    </w:p>
    <w:p>
      <w:pPr>
        <w:snapToGrid w:val="0"/>
        <w:spacing w:before="120" w:beforeLines="50" w:after="50"/>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一、报价文件部分格式</w:t>
      </w:r>
    </w:p>
    <w:p>
      <w:pPr>
        <w:snapToGrid w:val="0"/>
        <w:spacing w:before="50" w:after="120" w:afterLines="50"/>
        <w:jc w:val="left"/>
        <w:rPr>
          <w:rFonts w:hint="eastAsia" w:ascii="宋体" w:hAnsi="宋体" w:eastAsia="宋体" w:cs="宋体"/>
          <w:b/>
          <w:color w:val="auto"/>
          <w:sz w:val="24"/>
          <w:highlight w:val="none"/>
        </w:rPr>
      </w:pPr>
    </w:p>
    <w:p>
      <w:pPr>
        <w:snapToGrid w:val="0"/>
        <w:spacing w:before="50" w:after="120" w:afterLines="50"/>
        <w:jc w:val="left"/>
        <w:rPr>
          <w:rFonts w:hint="eastAsia" w:ascii="宋体" w:hAnsi="宋体" w:eastAsia="宋体" w:cs="宋体"/>
          <w:b/>
          <w:color w:val="auto"/>
          <w:sz w:val="24"/>
          <w:highlight w:val="none"/>
        </w:rPr>
      </w:pPr>
    </w:p>
    <w:p>
      <w:pPr>
        <w:snapToGrid w:val="0"/>
        <w:spacing w:before="50" w:after="120" w:afterLines="5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highlight w:val="none"/>
        </w:rPr>
        <w:t>投标报价文件封面格式：</w:t>
      </w:r>
    </w:p>
    <w:p>
      <w:pPr>
        <w:pStyle w:val="14"/>
        <w:ind w:left="0" w:leftChars="0" w:right="1470"/>
        <w:rPr>
          <w:rFonts w:hint="eastAsia" w:ascii="宋体" w:hAnsi="宋体" w:eastAsia="宋体" w:cs="宋体"/>
          <w:b/>
          <w:color w:val="auto"/>
          <w:sz w:val="24"/>
          <w:szCs w:val="24"/>
          <w:highlight w:val="none"/>
        </w:rPr>
      </w:pPr>
    </w:p>
    <w:p>
      <w:pPr>
        <w:snapToGrid w:val="0"/>
        <w:spacing w:line="400" w:lineRule="exact"/>
        <w:jc w:val="center"/>
        <w:rPr>
          <w:rFonts w:hint="eastAsia" w:ascii="宋体" w:hAnsi="宋体" w:eastAsia="宋体" w:cs="宋体"/>
          <w:b/>
          <w:bCs/>
          <w:color w:val="auto"/>
          <w:sz w:val="24"/>
          <w:szCs w:val="20"/>
          <w:highlight w:val="none"/>
        </w:rPr>
      </w:pPr>
    </w:p>
    <w:p>
      <w:pPr>
        <w:snapToGrid w:val="0"/>
        <w:spacing w:line="400" w:lineRule="exact"/>
        <w:jc w:val="center"/>
        <w:rPr>
          <w:rFonts w:hint="eastAsia" w:ascii="宋体" w:hAnsi="宋体" w:eastAsia="宋体" w:cs="宋体"/>
          <w:bCs/>
          <w:color w:val="auto"/>
          <w:sz w:val="24"/>
          <w:szCs w:val="20"/>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7" name="Quad Arrow 2"/>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ind w:left="-850" w:leftChars="-405"/>
                              <w:rPr>
                                <w:rFonts w:ascii="宋体" w:hAnsi="宋体"/>
                                <w:sz w:val="24"/>
                                <w:szCs w:val="20"/>
                              </w:rPr>
                            </w:pPr>
                          </w:p>
                          <w:p>
                            <w:pPr>
                              <w:pStyle w:val="3"/>
                              <w:ind w:hanging="480"/>
                            </w:pPr>
                          </w:p>
                          <w:p>
                            <w:pPr>
                              <w:snapToGrid w:val="0"/>
                              <w:spacing w:before="120" w:beforeLines="50" w:after="50"/>
                              <w:jc w:val="center"/>
                              <w:rPr>
                                <w:rFonts w:ascii="宋体" w:hAnsi="宋体"/>
                                <w:bCs/>
                                <w:sz w:val="24"/>
                                <w:szCs w:val="20"/>
                              </w:rPr>
                            </w:pPr>
                            <w:r>
                              <w:rPr>
                                <w:rFonts w:hint="eastAsia" w:ascii="宋体" w:hAnsi="宋体"/>
                                <w:bCs/>
                                <w:sz w:val="24"/>
                                <w:szCs w:val="20"/>
                              </w:rPr>
                              <w:t>投标报价文件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2" o:spid="_x0000_s1026" o:spt="202" type="#_x0000_t202" style="position:absolute;left:0pt;margin-left:30.7pt;margin-top:16pt;height:263.35pt;width:399.75pt;mso-wrap-distance-bottom:0pt;mso-wrap-distance-top:0pt;z-index:251659264;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6LEN9kAAAAJAQAADwAAAAAAAAABACAAAAAiAAAAZHJzL2Rv&#10;d25yZXYueG1sUEsBAhQAFAAAAAgAh07iQBMMyBgAAgAAOAQAAA4AAAAAAAAAAQAgAAAAKAEAAGRy&#10;cy9lMm9Eb2MueG1sUEsFBgAAAAAGAAYAWQEAAJoFAAAAAA==&#10;">
                <v:fill on="t" focussize="0,0"/>
                <v:stroke color="#000000" joinstyle="miter"/>
                <v:imagedata o:title=""/>
                <o:lock v:ext="edit" aspectratio="f"/>
                <v:textbox>
                  <w:txbxContent>
                    <w:p>
                      <w:pPr>
                        <w:snapToGrid w:val="0"/>
                        <w:spacing w:before="120" w:beforeLines="50" w:after="50"/>
                        <w:ind w:left="-850" w:leftChars="-405"/>
                        <w:rPr>
                          <w:rFonts w:ascii="宋体" w:hAnsi="宋体"/>
                          <w:sz w:val="24"/>
                          <w:szCs w:val="20"/>
                        </w:rPr>
                      </w:pPr>
                    </w:p>
                    <w:p>
                      <w:pPr>
                        <w:pStyle w:val="3"/>
                        <w:ind w:hanging="480"/>
                      </w:pPr>
                    </w:p>
                    <w:p>
                      <w:pPr>
                        <w:snapToGrid w:val="0"/>
                        <w:spacing w:before="120" w:beforeLines="50" w:after="50"/>
                        <w:jc w:val="center"/>
                        <w:rPr>
                          <w:rFonts w:ascii="宋体" w:hAnsi="宋体"/>
                          <w:bCs/>
                          <w:sz w:val="24"/>
                          <w:szCs w:val="20"/>
                        </w:rPr>
                      </w:pPr>
                      <w:r>
                        <w:rPr>
                          <w:rFonts w:hint="eastAsia" w:ascii="宋体" w:hAnsi="宋体"/>
                          <w:bCs/>
                          <w:sz w:val="24"/>
                          <w:szCs w:val="20"/>
                        </w:rPr>
                        <w:t>投标报价文件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w:t>
      </w:r>
    </w:p>
    <w:p>
      <w:pPr>
        <w:spacing w:line="4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p>
    <w:p>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项目名称：                                            项目编号：</w:t>
      </w:r>
    </w:p>
    <w:p>
      <w:pPr>
        <w:spacing w:line="400" w:lineRule="exact"/>
        <w:jc w:val="right"/>
        <w:rPr>
          <w:rFonts w:hint="eastAsia" w:ascii="宋体" w:hAnsi="宋体" w:eastAsia="宋体" w:cs="宋体"/>
          <w:color w:val="auto"/>
          <w:sz w:val="22"/>
          <w:highlight w:val="none"/>
        </w:rPr>
      </w:pPr>
      <w:r>
        <w:rPr>
          <w:rFonts w:hint="eastAsia" w:ascii="宋体" w:hAnsi="宋体" w:eastAsia="宋体" w:cs="宋体"/>
          <w:color w:val="auto"/>
          <w:sz w:val="22"/>
          <w:highlight w:val="none"/>
        </w:rPr>
        <w:t>单位：人民币（元）</w:t>
      </w:r>
    </w:p>
    <w:tbl>
      <w:tblPr>
        <w:tblStyle w:val="32"/>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330"/>
        <w:gridCol w:w="990"/>
        <w:gridCol w:w="1155"/>
        <w:gridCol w:w="1599"/>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vAlign w:val="center"/>
          </w:tcPr>
          <w:p>
            <w:pPr>
              <w:pStyle w:val="15"/>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3330" w:type="dxa"/>
            <w:vAlign w:val="center"/>
          </w:tcPr>
          <w:p>
            <w:pPr>
              <w:pStyle w:val="15"/>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报价内容</w:t>
            </w:r>
          </w:p>
        </w:tc>
        <w:tc>
          <w:tcPr>
            <w:tcW w:w="990" w:type="dxa"/>
            <w:vAlign w:val="center"/>
          </w:tcPr>
          <w:p>
            <w:pPr>
              <w:pStyle w:val="15"/>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单位</w:t>
            </w:r>
          </w:p>
        </w:tc>
        <w:tc>
          <w:tcPr>
            <w:tcW w:w="1155" w:type="dxa"/>
            <w:vAlign w:val="center"/>
          </w:tcPr>
          <w:p>
            <w:pPr>
              <w:pStyle w:val="15"/>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数量</w:t>
            </w:r>
          </w:p>
        </w:tc>
        <w:tc>
          <w:tcPr>
            <w:tcW w:w="1599" w:type="dxa"/>
            <w:vAlign w:val="center"/>
          </w:tcPr>
          <w:p>
            <w:pPr>
              <w:pStyle w:val="15"/>
              <w:spacing w:line="40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t>金额</w:t>
            </w:r>
          </w:p>
        </w:tc>
        <w:tc>
          <w:tcPr>
            <w:tcW w:w="1564" w:type="dxa"/>
            <w:vAlign w:val="center"/>
          </w:tcPr>
          <w:p>
            <w:pPr>
              <w:pStyle w:val="15"/>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vAlign w:val="center"/>
          </w:tcPr>
          <w:p>
            <w:pPr>
              <w:spacing w:line="340" w:lineRule="exact"/>
              <w:jc w:val="center"/>
              <w:rPr>
                <w:rFonts w:hint="eastAsia" w:ascii="宋体" w:hAnsi="宋体" w:eastAsia="宋体" w:cs="宋体"/>
                <w:color w:val="auto"/>
                <w:sz w:val="22"/>
                <w:highlight w:val="none"/>
              </w:rPr>
            </w:pPr>
          </w:p>
        </w:tc>
        <w:tc>
          <w:tcPr>
            <w:tcW w:w="3330" w:type="dxa"/>
            <w:vAlign w:val="center"/>
          </w:tcPr>
          <w:p>
            <w:pPr>
              <w:spacing w:line="400" w:lineRule="exact"/>
              <w:jc w:val="center"/>
              <w:rPr>
                <w:rFonts w:hint="eastAsia" w:ascii="宋体" w:hAnsi="宋体" w:eastAsia="宋体" w:cs="宋体"/>
                <w:color w:val="auto"/>
                <w:sz w:val="22"/>
                <w:highlight w:val="none"/>
                <w:lang w:val="en-US" w:eastAsia="zh-CN"/>
              </w:rPr>
            </w:pPr>
          </w:p>
        </w:tc>
        <w:tc>
          <w:tcPr>
            <w:tcW w:w="990" w:type="dxa"/>
            <w:vAlign w:val="center"/>
          </w:tcPr>
          <w:p>
            <w:pPr>
              <w:spacing w:line="360" w:lineRule="exact"/>
              <w:jc w:val="center"/>
              <w:rPr>
                <w:rFonts w:hint="eastAsia" w:ascii="宋体" w:hAnsi="宋体" w:eastAsia="宋体" w:cs="宋体"/>
                <w:color w:val="auto"/>
                <w:sz w:val="22"/>
                <w:highlight w:val="none"/>
                <w:lang w:val="en-US" w:eastAsia="zh-CN"/>
              </w:rPr>
            </w:pPr>
          </w:p>
        </w:tc>
        <w:tc>
          <w:tcPr>
            <w:tcW w:w="1155" w:type="dxa"/>
            <w:vAlign w:val="center"/>
          </w:tcPr>
          <w:p>
            <w:pPr>
              <w:spacing w:line="400" w:lineRule="exact"/>
              <w:jc w:val="center"/>
              <w:rPr>
                <w:rFonts w:hint="eastAsia" w:ascii="宋体" w:hAnsi="宋体" w:eastAsia="宋体" w:cs="宋体"/>
                <w:color w:val="auto"/>
                <w:sz w:val="22"/>
                <w:highlight w:val="none"/>
                <w:lang w:val="en-US" w:eastAsia="zh-CN"/>
              </w:rPr>
            </w:pPr>
          </w:p>
        </w:tc>
        <w:tc>
          <w:tcPr>
            <w:tcW w:w="1599" w:type="dxa"/>
            <w:vAlign w:val="center"/>
          </w:tcPr>
          <w:p>
            <w:pPr>
              <w:pStyle w:val="15"/>
              <w:spacing w:line="400" w:lineRule="exact"/>
              <w:jc w:val="both"/>
              <w:rPr>
                <w:rFonts w:hint="eastAsia" w:ascii="宋体" w:hAnsi="宋体" w:eastAsia="宋体" w:cs="宋体"/>
                <w:color w:val="auto"/>
                <w:sz w:val="22"/>
                <w:highlight w:val="none"/>
              </w:rPr>
            </w:pPr>
          </w:p>
        </w:tc>
        <w:tc>
          <w:tcPr>
            <w:tcW w:w="1564" w:type="dxa"/>
            <w:vAlign w:val="center"/>
          </w:tcPr>
          <w:p>
            <w:pPr>
              <w:pStyle w:val="15"/>
              <w:spacing w:line="40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vAlign w:val="center"/>
          </w:tcPr>
          <w:p>
            <w:pPr>
              <w:spacing w:line="340" w:lineRule="exact"/>
              <w:jc w:val="center"/>
              <w:rPr>
                <w:rFonts w:hint="eastAsia" w:ascii="宋体" w:hAnsi="宋体" w:eastAsia="宋体" w:cs="宋体"/>
                <w:color w:val="auto"/>
                <w:sz w:val="22"/>
                <w:highlight w:val="none"/>
                <w:lang w:val="en-US" w:eastAsia="zh-CN"/>
              </w:rPr>
            </w:pPr>
          </w:p>
        </w:tc>
        <w:tc>
          <w:tcPr>
            <w:tcW w:w="3330" w:type="dxa"/>
            <w:vAlign w:val="center"/>
          </w:tcPr>
          <w:p>
            <w:pPr>
              <w:spacing w:line="400" w:lineRule="exact"/>
              <w:jc w:val="center"/>
              <w:rPr>
                <w:rFonts w:hint="eastAsia" w:ascii="宋体" w:hAnsi="宋体" w:eastAsia="宋体" w:cs="宋体"/>
                <w:color w:val="auto"/>
                <w:sz w:val="22"/>
                <w:highlight w:val="none"/>
                <w:lang w:val="en-US" w:eastAsia="zh-CN"/>
              </w:rPr>
            </w:pPr>
          </w:p>
        </w:tc>
        <w:tc>
          <w:tcPr>
            <w:tcW w:w="990" w:type="dxa"/>
            <w:vAlign w:val="center"/>
          </w:tcPr>
          <w:p>
            <w:pPr>
              <w:spacing w:line="360" w:lineRule="exact"/>
              <w:jc w:val="center"/>
              <w:rPr>
                <w:rFonts w:hint="eastAsia" w:ascii="宋体" w:hAnsi="宋体" w:eastAsia="宋体" w:cs="宋体"/>
                <w:color w:val="auto"/>
                <w:sz w:val="22"/>
                <w:highlight w:val="none"/>
                <w:lang w:val="en-US" w:eastAsia="zh-CN"/>
              </w:rPr>
            </w:pPr>
          </w:p>
        </w:tc>
        <w:tc>
          <w:tcPr>
            <w:tcW w:w="1155" w:type="dxa"/>
            <w:vAlign w:val="center"/>
          </w:tcPr>
          <w:p>
            <w:pPr>
              <w:spacing w:line="400" w:lineRule="exact"/>
              <w:jc w:val="center"/>
              <w:rPr>
                <w:rFonts w:hint="eastAsia" w:ascii="宋体" w:hAnsi="宋体" w:eastAsia="宋体" w:cs="宋体"/>
                <w:color w:val="auto"/>
                <w:sz w:val="22"/>
                <w:highlight w:val="none"/>
                <w:lang w:val="en-US" w:eastAsia="zh-CN"/>
              </w:rPr>
            </w:pPr>
          </w:p>
        </w:tc>
        <w:tc>
          <w:tcPr>
            <w:tcW w:w="1599" w:type="dxa"/>
            <w:vAlign w:val="center"/>
          </w:tcPr>
          <w:p>
            <w:pPr>
              <w:pStyle w:val="15"/>
              <w:spacing w:line="400" w:lineRule="exact"/>
              <w:jc w:val="both"/>
              <w:rPr>
                <w:rFonts w:hint="eastAsia" w:ascii="宋体" w:hAnsi="宋体" w:eastAsia="宋体" w:cs="宋体"/>
                <w:color w:val="auto"/>
                <w:sz w:val="22"/>
                <w:highlight w:val="none"/>
              </w:rPr>
            </w:pPr>
          </w:p>
        </w:tc>
        <w:tc>
          <w:tcPr>
            <w:tcW w:w="1564" w:type="dxa"/>
            <w:vAlign w:val="center"/>
          </w:tcPr>
          <w:p>
            <w:pPr>
              <w:pStyle w:val="15"/>
              <w:spacing w:line="40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vAlign w:val="center"/>
          </w:tcPr>
          <w:p>
            <w:pPr>
              <w:spacing w:line="340" w:lineRule="exact"/>
              <w:jc w:val="center"/>
              <w:rPr>
                <w:rFonts w:hint="eastAsia" w:ascii="宋体" w:hAnsi="宋体" w:eastAsia="宋体" w:cs="宋体"/>
                <w:color w:val="auto"/>
                <w:sz w:val="22"/>
                <w:highlight w:val="none"/>
                <w:lang w:val="en-US" w:eastAsia="zh-CN"/>
              </w:rPr>
            </w:pPr>
          </w:p>
        </w:tc>
        <w:tc>
          <w:tcPr>
            <w:tcW w:w="3330" w:type="dxa"/>
            <w:vAlign w:val="center"/>
          </w:tcPr>
          <w:p>
            <w:pPr>
              <w:spacing w:line="400" w:lineRule="exact"/>
              <w:jc w:val="center"/>
              <w:rPr>
                <w:rFonts w:hint="eastAsia" w:ascii="宋体" w:hAnsi="宋体" w:eastAsia="宋体" w:cs="宋体"/>
                <w:color w:val="auto"/>
                <w:sz w:val="22"/>
                <w:highlight w:val="none"/>
                <w:lang w:val="en-US" w:eastAsia="zh-CN"/>
              </w:rPr>
            </w:pPr>
          </w:p>
        </w:tc>
        <w:tc>
          <w:tcPr>
            <w:tcW w:w="990" w:type="dxa"/>
            <w:vAlign w:val="center"/>
          </w:tcPr>
          <w:p>
            <w:pPr>
              <w:spacing w:line="360" w:lineRule="exact"/>
              <w:jc w:val="center"/>
              <w:rPr>
                <w:rFonts w:hint="eastAsia" w:ascii="宋体" w:hAnsi="宋体" w:eastAsia="宋体" w:cs="宋体"/>
                <w:color w:val="auto"/>
                <w:sz w:val="22"/>
                <w:highlight w:val="none"/>
                <w:lang w:val="en-US" w:eastAsia="zh-CN"/>
              </w:rPr>
            </w:pPr>
          </w:p>
        </w:tc>
        <w:tc>
          <w:tcPr>
            <w:tcW w:w="1155" w:type="dxa"/>
            <w:vAlign w:val="center"/>
          </w:tcPr>
          <w:p>
            <w:pPr>
              <w:spacing w:line="400" w:lineRule="exact"/>
              <w:jc w:val="center"/>
              <w:rPr>
                <w:rFonts w:hint="eastAsia" w:ascii="宋体" w:hAnsi="宋体" w:eastAsia="宋体" w:cs="宋体"/>
                <w:color w:val="auto"/>
                <w:sz w:val="22"/>
                <w:highlight w:val="none"/>
                <w:lang w:val="en-US" w:eastAsia="zh-CN"/>
              </w:rPr>
            </w:pPr>
          </w:p>
        </w:tc>
        <w:tc>
          <w:tcPr>
            <w:tcW w:w="1599" w:type="dxa"/>
            <w:vAlign w:val="center"/>
          </w:tcPr>
          <w:p>
            <w:pPr>
              <w:pStyle w:val="15"/>
              <w:spacing w:line="400" w:lineRule="exact"/>
              <w:jc w:val="both"/>
              <w:rPr>
                <w:rFonts w:hint="eastAsia" w:ascii="宋体" w:hAnsi="宋体" w:eastAsia="宋体" w:cs="宋体"/>
                <w:color w:val="auto"/>
                <w:sz w:val="22"/>
                <w:highlight w:val="none"/>
              </w:rPr>
            </w:pPr>
          </w:p>
        </w:tc>
        <w:tc>
          <w:tcPr>
            <w:tcW w:w="1564" w:type="dxa"/>
            <w:vAlign w:val="center"/>
          </w:tcPr>
          <w:p>
            <w:pPr>
              <w:pStyle w:val="15"/>
              <w:spacing w:line="40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vAlign w:val="center"/>
          </w:tcPr>
          <w:p>
            <w:pPr>
              <w:spacing w:line="340" w:lineRule="exact"/>
              <w:jc w:val="center"/>
              <w:rPr>
                <w:rFonts w:hint="eastAsia" w:ascii="宋体" w:hAnsi="宋体" w:eastAsia="宋体" w:cs="宋体"/>
                <w:color w:val="auto"/>
                <w:sz w:val="22"/>
                <w:highlight w:val="none"/>
                <w:lang w:val="en-US" w:eastAsia="zh-CN"/>
              </w:rPr>
            </w:pPr>
          </w:p>
        </w:tc>
        <w:tc>
          <w:tcPr>
            <w:tcW w:w="3330" w:type="dxa"/>
            <w:vAlign w:val="center"/>
          </w:tcPr>
          <w:p>
            <w:pPr>
              <w:spacing w:line="400" w:lineRule="exact"/>
              <w:jc w:val="center"/>
              <w:rPr>
                <w:rFonts w:hint="eastAsia" w:ascii="宋体" w:hAnsi="宋体" w:eastAsia="宋体" w:cs="宋体"/>
                <w:color w:val="auto"/>
                <w:sz w:val="22"/>
                <w:highlight w:val="none"/>
                <w:lang w:val="en-US" w:eastAsia="zh-CN"/>
              </w:rPr>
            </w:pPr>
          </w:p>
        </w:tc>
        <w:tc>
          <w:tcPr>
            <w:tcW w:w="990" w:type="dxa"/>
            <w:vAlign w:val="center"/>
          </w:tcPr>
          <w:p>
            <w:pPr>
              <w:spacing w:line="360" w:lineRule="exact"/>
              <w:jc w:val="center"/>
              <w:rPr>
                <w:rFonts w:hint="eastAsia" w:ascii="宋体" w:hAnsi="宋体" w:eastAsia="宋体" w:cs="宋体"/>
                <w:color w:val="auto"/>
                <w:sz w:val="22"/>
                <w:highlight w:val="none"/>
                <w:lang w:val="en-US" w:eastAsia="zh-CN"/>
              </w:rPr>
            </w:pPr>
          </w:p>
        </w:tc>
        <w:tc>
          <w:tcPr>
            <w:tcW w:w="1155" w:type="dxa"/>
            <w:vAlign w:val="center"/>
          </w:tcPr>
          <w:p>
            <w:pPr>
              <w:spacing w:line="400" w:lineRule="exact"/>
              <w:jc w:val="center"/>
              <w:rPr>
                <w:rFonts w:hint="eastAsia" w:ascii="宋体" w:hAnsi="宋体" w:eastAsia="宋体" w:cs="宋体"/>
                <w:color w:val="auto"/>
                <w:sz w:val="22"/>
                <w:highlight w:val="none"/>
                <w:lang w:val="en-US" w:eastAsia="zh-CN"/>
              </w:rPr>
            </w:pPr>
          </w:p>
        </w:tc>
        <w:tc>
          <w:tcPr>
            <w:tcW w:w="1599" w:type="dxa"/>
            <w:vAlign w:val="center"/>
          </w:tcPr>
          <w:p>
            <w:pPr>
              <w:pStyle w:val="15"/>
              <w:spacing w:line="400" w:lineRule="exact"/>
              <w:jc w:val="both"/>
              <w:rPr>
                <w:rFonts w:hint="eastAsia" w:ascii="宋体" w:hAnsi="宋体" w:eastAsia="宋体" w:cs="宋体"/>
                <w:color w:val="auto"/>
                <w:sz w:val="22"/>
                <w:highlight w:val="none"/>
              </w:rPr>
            </w:pPr>
          </w:p>
        </w:tc>
        <w:tc>
          <w:tcPr>
            <w:tcW w:w="1564" w:type="dxa"/>
            <w:vAlign w:val="center"/>
          </w:tcPr>
          <w:p>
            <w:pPr>
              <w:pStyle w:val="15"/>
              <w:spacing w:line="40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vAlign w:val="center"/>
          </w:tcPr>
          <w:p>
            <w:pPr>
              <w:spacing w:line="340" w:lineRule="exact"/>
              <w:jc w:val="center"/>
              <w:rPr>
                <w:rFonts w:hint="eastAsia" w:ascii="宋体" w:hAnsi="宋体" w:eastAsia="宋体" w:cs="宋体"/>
                <w:color w:val="auto"/>
                <w:sz w:val="22"/>
                <w:highlight w:val="none"/>
                <w:lang w:val="en-US" w:eastAsia="zh-CN"/>
              </w:rPr>
            </w:pPr>
          </w:p>
        </w:tc>
        <w:tc>
          <w:tcPr>
            <w:tcW w:w="3330" w:type="dxa"/>
            <w:vAlign w:val="center"/>
          </w:tcPr>
          <w:p>
            <w:pPr>
              <w:spacing w:line="400" w:lineRule="exact"/>
              <w:jc w:val="center"/>
              <w:rPr>
                <w:rFonts w:hint="eastAsia" w:ascii="宋体" w:hAnsi="宋体" w:eastAsia="宋体" w:cs="宋体"/>
                <w:color w:val="auto"/>
                <w:sz w:val="22"/>
                <w:highlight w:val="none"/>
                <w:lang w:val="en-US" w:eastAsia="zh-CN"/>
              </w:rPr>
            </w:pPr>
          </w:p>
        </w:tc>
        <w:tc>
          <w:tcPr>
            <w:tcW w:w="990" w:type="dxa"/>
            <w:vAlign w:val="center"/>
          </w:tcPr>
          <w:p>
            <w:pPr>
              <w:spacing w:line="360" w:lineRule="exact"/>
              <w:jc w:val="center"/>
              <w:rPr>
                <w:rFonts w:hint="eastAsia" w:ascii="宋体" w:hAnsi="宋体" w:eastAsia="宋体" w:cs="宋体"/>
                <w:color w:val="auto"/>
                <w:sz w:val="22"/>
                <w:highlight w:val="none"/>
                <w:lang w:val="en-US" w:eastAsia="zh-CN"/>
              </w:rPr>
            </w:pPr>
          </w:p>
        </w:tc>
        <w:tc>
          <w:tcPr>
            <w:tcW w:w="1155" w:type="dxa"/>
            <w:vAlign w:val="center"/>
          </w:tcPr>
          <w:p>
            <w:pPr>
              <w:spacing w:line="400" w:lineRule="exact"/>
              <w:jc w:val="center"/>
              <w:rPr>
                <w:rFonts w:hint="eastAsia" w:ascii="宋体" w:hAnsi="宋体" w:eastAsia="宋体" w:cs="宋体"/>
                <w:color w:val="auto"/>
                <w:sz w:val="22"/>
                <w:highlight w:val="none"/>
                <w:lang w:val="en-US" w:eastAsia="zh-CN"/>
              </w:rPr>
            </w:pPr>
          </w:p>
        </w:tc>
        <w:tc>
          <w:tcPr>
            <w:tcW w:w="1599" w:type="dxa"/>
            <w:vAlign w:val="center"/>
          </w:tcPr>
          <w:p>
            <w:pPr>
              <w:pStyle w:val="15"/>
              <w:spacing w:line="400" w:lineRule="exact"/>
              <w:jc w:val="both"/>
              <w:rPr>
                <w:rFonts w:hint="eastAsia" w:ascii="宋体" w:hAnsi="宋体" w:eastAsia="宋体" w:cs="宋体"/>
                <w:color w:val="auto"/>
                <w:sz w:val="22"/>
                <w:highlight w:val="none"/>
              </w:rPr>
            </w:pPr>
          </w:p>
        </w:tc>
        <w:tc>
          <w:tcPr>
            <w:tcW w:w="1564" w:type="dxa"/>
            <w:vAlign w:val="center"/>
          </w:tcPr>
          <w:p>
            <w:pPr>
              <w:pStyle w:val="15"/>
              <w:spacing w:line="40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vAlign w:val="center"/>
          </w:tcPr>
          <w:p>
            <w:pPr>
              <w:spacing w:line="340" w:lineRule="exact"/>
              <w:jc w:val="center"/>
              <w:rPr>
                <w:rFonts w:hint="eastAsia" w:ascii="宋体" w:hAnsi="宋体" w:eastAsia="宋体" w:cs="宋体"/>
                <w:color w:val="auto"/>
                <w:sz w:val="22"/>
                <w:highlight w:val="none"/>
                <w:lang w:val="en-US" w:eastAsia="zh-CN"/>
              </w:rPr>
            </w:pPr>
          </w:p>
        </w:tc>
        <w:tc>
          <w:tcPr>
            <w:tcW w:w="3330" w:type="dxa"/>
            <w:vAlign w:val="center"/>
          </w:tcPr>
          <w:p>
            <w:pPr>
              <w:spacing w:line="400" w:lineRule="exact"/>
              <w:jc w:val="center"/>
              <w:rPr>
                <w:rFonts w:hint="eastAsia" w:ascii="宋体" w:hAnsi="宋体" w:eastAsia="宋体" w:cs="宋体"/>
                <w:color w:val="auto"/>
                <w:sz w:val="22"/>
                <w:highlight w:val="none"/>
                <w:lang w:val="en-US" w:eastAsia="zh-CN"/>
              </w:rPr>
            </w:pPr>
          </w:p>
        </w:tc>
        <w:tc>
          <w:tcPr>
            <w:tcW w:w="990" w:type="dxa"/>
            <w:vAlign w:val="center"/>
          </w:tcPr>
          <w:p>
            <w:pPr>
              <w:spacing w:line="360" w:lineRule="exact"/>
              <w:jc w:val="center"/>
              <w:rPr>
                <w:rFonts w:hint="eastAsia" w:ascii="宋体" w:hAnsi="宋体" w:eastAsia="宋体" w:cs="宋体"/>
                <w:color w:val="auto"/>
                <w:sz w:val="22"/>
                <w:highlight w:val="none"/>
                <w:lang w:val="en-US" w:eastAsia="zh-CN"/>
              </w:rPr>
            </w:pPr>
          </w:p>
        </w:tc>
        <w:tc>
          <w:tcPr>
            <w:tcW w:w="1155" w:type="dxa"/>
            <w:vAlign w:val="center"/>
          </w:tcPr>
          <w:p>
            <w:pPr>
              <w:spacing w:line="400" w:lineRule="exact"/>
              <w:jc w:val="center"/>
              <w:rPr>
                <w:rFonts w:hint="eastAsia" w:ascii="宋体" w:hAnsi="宋体" w:eastAsia="宋体" w:cs="宋体"/>
                <w:color w:val="auto"/>
                <w:sz w:val="22"/>
                <w:highlight w:val="none"/>
                <w:lang w:val="en-US" w:eastAsia="zh-CN"/>
              </w:rPr>
            </w:pPr>
          </w:p>
        </w:tc>
        <w:tc>
          <w:tcPr>
            <w:tcW w:w="1599" w:type="dxa"/>
            <w:vAlign w:val="center"/>
          </w:tcPr>
          <w:p>
            <w:pPr>
              <w:pStyle w:val="15"/>
              <w:spacing w:line="400" w:lineRule="exact"/>
              <w:jc w:val="both"/>
              <w:rPr>
                <w:rFonts w:hint="eastAsia" w:ascii="宋体" w:hAnsi="宋体" w:eastAsia="宋体" w:cs="宋体"/>
                <w:color w:val="auto"/>
                <w:sz w:val="22"/>
                <w:highlight w:val="none"/>
              </w:rPr>
            </w:pPr>
          </w:p>
        </w:tc>
        <w:tc>
          <w:tcPr>
            <w:tcW w:w="1564" w:type="dxa"/>
            <w:vAlign w:val="center"/>
          </w:tcPr>
          <w:p>
            <w:pPr>
              <w:pStyle w:val="15"/>
              <w:spacing w:line="40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221" w:type="dxa"/>
            <w:gridSpan w:val="4"/>
            <w:vAlign w:val="center"/>
          </w:tcPr>
          <w:p>
            <w:pPr>
              <w:pStyle w:val="15"/>
              <w:spacing w:line="40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b/>
                <w:bCs/>
                <w:color w:val="auto"/>
                <w:sz w:val="22"/>
                <w:highlight w:val="none"/>
                <w:lang w:val="en-US" w:eastAsia="zh-CN"/>
              </w:rPr>
              <w:t>投标总报价</w:t>
            </w:r>
          </w:p>
        </w:tc>
        <w:tc>
          <w:tcPr>
            <w:tcW w:w="3163" w:type="dxa"/>
            <w:gridSpan w:val="2"/>
            <w:vAlign w:val="center"/>
          </w:tcPr>
          <w:p>
            <w:pPr>
              <w:pStyle w:val="15"/>
              <w:spacing w:line="40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大写：</w:t>
            </w:r>
          </w:p>
          <w:p>
            <w:pPr>
              <w:pStyle w:val="15"/>
              <w:spacing w:line="400" w:lineRule="exact"/>
              <w:jc w:val="left"/>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小写：</w:t>
            </w:r>
          </w:p>
        </w:tc>
      </w:tr>
    </w:tbl>
    <w:p>
      <w:pPr>
        <w:spacing w:line="400" w:lineRule="exact"/>
        <w:rPr>
          <w:rFonts w:hint="eastAsia" w:ascii="宋体" w:hAnsi="宋体" w:eastAsia="宋体" w:cs="宋体"/>
          <w:color w:val="auto"/>
          <w:sz w:val="22"/>
          <w:highlight w:val="none"/>
        </w:rPr>
      </w:pPr>
    </w:p>
    <w:p>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1.投标总报价是指投标人在正确地完全履行合同义务后采购人应支付给投标人所有的货物价款，即括货物及其货物及其附件的采购、制造、税金、安装费、检验费、质保期内维修保护费、售后服务费、采购代理服务费、政策性文件规定及合同包含的所有风险、责任等全部费用，实行固定费用总包干，投标人应根据上述因素自行考虑含入投标总价。</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2.此栏内投标报价应与“投标报价明细表”中投标总价相一致。</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highlight w:val="none"/>
        </w:rPr>
      </w:pPr>
      <w:r>
        <w:rPr>
          <w:rFonts w:hint="eastAsia" w:ascii="宋体" w:hAnsi="宋体" w:eastAsia="宋体" w:cs="宋体"/>
          <w:color w:val="auto"/>
          <w:sz w:val="22"/>
          <w:highlight w:val="none"/>
        </w:rPr>
        <w:t>3.客户端填写的报价与以pdf格式上传文件中的报价不一致的，应以Pdf格式上传文件中的报价为准。</w:t>
      </w:r>
    </w:p>
    <w:p>
      <w:pPr>
        <w:spacing w:line="400" w:lineRule="exact"/>
        <w:rPr>
          <w:rFonts w:hint="eastAsia" w:ascii="宋体" w:hAnsi="宋体" w:eastAsia="宋体" w:cs="宋体"/>
          <w:color w:val="auto"/>
          <w:sz w:val="24"/>
          <w:highlight w:val="none"/>
        </w:rPr>
      </w:pPr>
    </w:p>
    <w:p>
      <w:pPr>
        <w:widowControl/>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400" w:lineRule="exact"/>
        <w:jc w:val="left"/>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日期：</w:t>
      </w:r>
      <w:r>
        <w:rPr>
          <w:rFonts w:hint="eastAsia" w:ascii="宋体" w:hAnsi="宋体" w:eastAsia="宋体" w:cs="宋体"/>
          <w:color w:val="auto"/>
          <w:kern w:val="0"/>
          <w:sz w:val="22"/>
          <w:highlight w:val="none"/>
          <w:lang w:eastAsia="zh-CN"/>
        </w:rPr>
        <w:t xml:space="preserve">    年  月  日</w:t>
      </w:r>
    </w:p>
    <w:p>
      <w:pPr>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附件2</w:t>
      </w:r>
    </w:p>
    <w:p>
      <w:pPr>
        <w:pStyle w:val="15"/>
        <w:snapToGrid w:val="0"/>
        <w:spacing w:line="400" w:lineRule="exact"/>
        <w:jc w:val="center"/>
        <w:rPr>
          <w:rFonts w:hint="eastAsia" w:ascii="宋体" w:hAnsi="宋体" w:eastAsia="宋体" w:cs="宋体"/>
          <w:b/>
          <w:color w:val="auto"/>
          <w:highlight w:val="none"/>
        </w:rPr>
      </w:pPr>
      <w:r>
        <w:rPr>
          <w:rFonts w:hint="eastAsia" w:ascii="宋体" w:hAnsi="宋体" w:eastAsia="宋体" w:cs="宋体"/>
          <w:b/>
          <w:color w:val="auto"/>
          <w:sz w:val="28"/>
          <w:szCs w:val="28"/>
          <w:highlight w:val="none"/>
        </w:rPr>
        <w:t>投标报价明细表</w:t>
      </w:r>
    </w:p>
    <w:p>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项目名称：                                               项目编号：  </w:t>
      </w:r>
    </w:p>
    <w:tbl>
      <w:tblPr>
        <w:tblStyle w:val="32"/>
        <w:tblW w:w="92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190"/>
        <w:gridCol w:w="719"/>
        <w:gridCol w:w="729"/>
        <w:gridCol w:w="713"/>
        <w:gridCol w:w="1230"/>
        <w:gridCol w:w="853"/>
        <w:gridCol w:w="722"/>
        <w:gridCol w:w="1301"/>
        <w:gridCol w:w="13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序号</w:t>
            </w:r>
          </w:p>
        </w:tc>
        <w:tc>
          <w:tcPr>
            <w:tcW w:w="11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货物名称</w:t>
            </w:r>
          </w:p>
        </w:tc>
        <w:tc>
          <w:tcPr>
            <w:tcW w:w="7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制造商</w:t>
            </w:r>
          </w:p>
        </w:tc>
        <w:tc>
          <w:tcPr>
            <w:tcW w:w="72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产地</w:t>
            </w:r>
          </w:p>
        </w:tc>
        <w:tc>
          <w:tcPr>
            <w:tcW w:w="7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品牌</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规格型号</w:t>
            </w:r>
          </w:p>
        </w:tc>
        <w:tc>
          <w:tcPr>
            <w:tcW w:w="85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数量</w:t>
            </w:r>
          </w:p>
        </w:tc>
        <w:tc>
          <w:tcPr>
            <w:tcW w:w="72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单位</w:t>
            </w:r>
          </w:p>
        </w:tc>
        <w:tc>
          <w:tcPr>
            <w:tcW w:w="130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单价（元）</w:t>
            </w:r>
          </w:p>
        </w:tc>
        <w:tc>
          <w:tcPr>
            <w:tcW w:w="13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293" w:type="dxa"/>
            <w:gridSpan w:val="10"/>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left"/>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投标总价（与开标一览表一致）：</w:t>
            </w:r>
          </w:p>
        </w:tc>
      </w:tr>
    </w:tbl>
    <w:p>
      <w:pPr>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p>
      <w:pPr>
        <w:pageBreakBefore w:val="0"/>
        <w:widowControl w:val="0"/>
        <w:numPr>
          <w:ilvl w:val="0"/>
          <w:numId w:val="5"/>
        </w:numPr>
        <w:kinsoku/>
        <w:wordWrap/>
        <w:overflowPunct/>
        <w:topLinePunct w:val="0"/>
        <w:autoSpaceDE/>
        <w:autoSpaceDN/>
        <w:bidi w:val="0"/>
        <w:adjustRightInd/>
        <w:snapToGrid/>
        <w:spacing w:line="360" w:lineRule="exact"/>
        <w:ind w:left="0" w:leftChars="0" w:firstLine="400" w:firstLineChars="0"/>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“报价明细表”内“投标总价”应与附件1“开标一览表”中“投标总报价”相一致。</w:t>
      </w:r>
    </w:p>
    <w:p>
      <w:pPr>
        <w:pageBreakBefore w:val="0"/>
        <w:widowControl w:val="0"/>
        <w:numPr>
          <w:ilvl w:val="0"/>
          <w:numId w:val="5"/>
        </w:numPr>
        <w:kinsoku/>
        <w:wordWrap/>
        <w:overflowPunct/>
        <w:topLinePunct w:val="0"/>
        <w:autoSpaceDE/>
        <w:autoSpaceDN/>
        <w:bidi w:val="0"/>
        <w:adjustRightInd/>
        <w:snapToGrid/>
        <w:spacing w:line="360" w:lineRule="exact"/>
        <w:ind w:left="0" w:leftChars="0" w:firstLine="400" w:firstLineChars="0"/>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如果含在产品价格中则填“含”，如无此项内容则填“无”，不留空白。此表投标人可根据实际需求自行编制。</w:t>
      </w:r>
    </w:p>
    <w:p>
      <w:pPr>
        <w:pageBreakBefore w:val="0"/>
        <w:widowControl w:val="0"/>
        <w:numPr>
          <w:ilvl w:val="0"/>
          <w:numId w:val="5"/>
        </w:numPr>
        <w:kinsoku/>
        <w:wordWrap/>
        <w:overflowPunct/>
        <w:topLinePunct w:val="0"/>
        <w:autoSpaceDE/>
        <w:autoSpaceDN/>
        <w:bidi w:val="0"/>
        <w:adjustRightInd/>
        <w:snapToGrid/>
        <w:spacing w:line="360" w:lineRule="exact"/>
        <w:ind w:left="0" w:leftChars="0" w:firstLine="400" w:firstLineChars="0"/>
        <w:jc w:val="left"/>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z w:val="22"/>
          <w:highlight w:val="none"/>
          <w:u w:val="single"/>
        </w:rPr>
        <w:t>▲</w:t>
      </w:r>
      <w:r>
        <w:rPr>
          <w:rFonts w:hint="eastAsia" w:ascii="宋体" w:hAnsi="宋体" w:eastAsia="宋体" w:cs="宋体"/>
          <w:color w:val="auto"/>
          <w:spacing w:val="-6"/>
          <w:sz w:val="22"/>
          <w:highlight w:val="none"/>
          <w:u w:val="single"/>
        </w:rPr>
        <w:t>不提供报价明细表将视为没有明确响应招标文件。</w:t>
      </w:r>
    </w:p>
    <w:p>
      <w:pPr>
        <w:pStyle w:val="5"/>
        <w:pageBreakBefore w:val="0"/>
        <w:widowControl w:val="0"/>
        <w:numPr>
          <w:ilvl w:val="0"/>
          <w:numId w:val="5"/>
        </w:numPr>
        <w:kinsoku/>
        <w:wordWrap/>
        <w:overflowPunct/>
        <w:topLinePunct w:val="0"/>
        <w:autoSpaceDE/>
        <w:autoSpaceDN/>
        <w:bidi w:val="0"/>
        <w:adjustRightInd/>
        <w:snapToGrid/>
        <w:spacing w:line="360" w:lineRule="exact"/>
        <w:ind w:left="0" w:leftChars="0" w:firstLine="40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在中标或者成交公告的内容中增加本表，请各投标人认真填写，确保报价数据的真实性、完整性和合理性。</w:t>
      </w:r>
    </w:p>
    <w:p>
      <w:pPr>
        <w:pStyle w:val="5"/>
        <w:pageBreakBefore w:val="0"/>
        <w:widowControl w:val="0"/>
        <w:numPr>
          <w:ilvl w:val="0"/>
          <w:numId w:val="5"/>
        </w:numPr>
        <w:kinsoku/>
        <w:wordWrap/>
        <w:overflowPunct/>
        <w:topLinePunct w:val="0"/>
        <w:autoSpaceDE/>
        <w:autoSpaceDN/>
        <w:bidi w:val="0"/>
        <w:adjustRightInd/>
        <w:snapToGrid/>
        <w:spacing w:line="360" w:lineRule="exact"/>
        <w:ind w:left="0" w:leftChars="0" w:firstLine="40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不得进行影响产品质量或者诚信履约的恶意报价。投标人在项目评审前准备好报价核算、报价明细、报价说明等材料，以备评审专家核查。如投标人报价低于项目预算50%的，必须在报价文件中详细阐述不影响产品质量或者诚信履约的具体原因。</w:t>
      </w:r>
    </w:p>
    <w:p>
      <w:pPr>
        <w:spacing w:line="360" w:lineRule="exact"/>
        <w:ind w:firstLine="440" w:firstLineChars="200"/>
        <w:jc w:val="left"/>
        <w:rPr>
          <w:rFonts w:hint="eastAsia" w:ascii="宋体" w:hAnsi="宋体" w:eastAsia="宋体" w:cs="宋体"/>
          <w:color w:val="auto"/>
          <w:sz w:val="22"/>
          <w:highlight w:val="none"/>
        </w:rPr>
      </w:pPr>
    </w:p>
    <w:p>
      <w:pPr>
        <w:spacing w:line="400" w:lineRule="exact"/>
        <w:ind w:firstLine="440" w:firstLineChars="200"/>
        <w:rPr>
          <w:rFonts w:hint="eastAsia" w:ascii="宋体" w:hAnsi="宋体" w:eastAsia="宋体" w:cs="宋体"/>
          <w:color w:val="auto"/>
          <w:sz w:val="22"/>
          <w:highlight w:val="none"/>
        </w:rPr>
      </w:pPr>
    </w:p>
    <w:p>
      <w:pPr>
        <w:widowControl/>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400" w:lineRule="exact"/>
        <w:jc w:val="left"/>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日期：</w:t>
      </w:r>
      <w:r>
        <w:rPr>
          <w:rFonts w:hint="eastAsia" w:ascii="宋体" w:hAnsi="宋体" w:eastAsia="宋体" w:cs="宋体"/>
          <w:color w:val="auto"/>
          <w:kern w:val="0"/>
          <w:sz w:val="22"/>
          <w:highlight w:val="none"/>
          <w:lang w:eastAsia="zh-CN"/>
        </w:rPr>
        <w:t xml:space="preserve">    年  月  日</w:t>
      </w:r>
    </w:p>
    <w:p>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附件3</w:t>
      </w:r>
    </w:p>
    <w:p>
      <w:pPr>
        <w:spacing w:line="400" w:lineRule="exact"/>
        <w:rPr>
          <w:rFonts w:hint="eastAsia" w:ascii="宋体" w:hAnsi="宋体" w:eastAsia="宋体" w:cs="宋体"/>
          <w:color w:val="auto"/>
          <w:highlight w:val="none"/>
        </w:rPr>
      </w:pPr>
    </w:p>
    <w:p>
      <w:pPr>
        <w:pStyle w:val="28"/>
        <w:spacing w:before="0" w:beforeAutospacing="0" w:after="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shd w:val="clear" w:color="auto" w:fill="FFFFFF"/>
        </w:rPr>
        <w:t>中小企业声明函（货物）</w:t>
      </w:r>
    </w:p>
    <w:p>
      <w:pPr>
        <w:pStyle w:val="71"/>
        <w:tabs>
          <w:tab w:val="left" w:pos="662"/>
          <w:tab w:val="left" w:pos="908"/>
          <w:tab w:val="left" w:pos="2945"/>
        </w:tabs>
        <w:spacing w:line="3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本公司（联合体）郑重声明，根据《政府采购促进中小企业发展管理办法》（财库﹝2020﹞46 号）的规定，本公司（联合体）参加</w:t>
      </w:r>
      <w:r>
        <w:rPr>
          <w:rFonts w:hint="eastAsia" w:cs="宋体"/>
          <w:color w:val="auto"/>
          <w:sz w:val="24"/>
          <w:szCs w:val="24"/>
          <w:highlight w:val="none"/>
          <w:u w:val="single"/>
          <w:lang w:val="en-US" w:eastAsia="zh-CN"/>
        </w:rPr>
        <w:t>文成县卫生健康局</w:t>
      </w:r>
      <w:r>
        <w:rPr>
          <w:rFonts w:hint="eastAsia" w:ascii="宋体" w:hAnsi="宋体" w:eastAsia="宋体" w:cs="宋体"/>
          <w:color w:val="auto"/>
          <w:sz w:val="24"/>
          <w:szCs w:val="24"/>
          <w:highlight w:val="none"/>
          <w:u w:val="single"/>
          <w:lang w:val="en-US" w:eastAsia="zh-CN"/>
        </w:rPr>
        <w:t>（单位名称）</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u w:val="single"/>
          <w:lang w:val="en-US" w:eastAsia="zh-CN"/>
        </w:rPr>
        <w:t xml:space="preserve">     （项目名称）</w:t>
      </w:r>
      <w:r>
        <w:rPr>
          <w:rFonts w:hint="eastAsia" w:ascii="宋体" w:hAnsi="宋体" w:eastAsia="宋体" w:cs="宋体"/>
          <w:color w:val="auto"/>
          <w:sz w:val="24"/>
          <w:szCs w:val="24"/>
          <w:highlight w:val="none"/>
          <w:lang w:val="en-US" w:eastAsia="zh-CN"/>
        </w:rPr>
        <w:t>采购活动，提供的货物全部由符合政策要求的中小企业制造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联合体</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中的中小企业</w:t>
      </w:r>
      <w:r>
        <w:rPr>
          <w:rFonts w:hint="eastAsia" w:ascii="宋体" w:hAnsi="宋体" w:eastAsia="宋体" w:cs="宋体"/>
          <w:color w:val="auto"/>
          <w:sz w:val="24"/>
          <w:szCs w:val="24"/>
          <w:highlight w:val="none"/>
          <w:lang w:eastAsia="zh-CN"/>
        </w:rPr>
        <w:t>提供的货物全部</w:t>
      </w:r>
      <w:r>
        <w:rPr>
          <w:rFonts w:hint="eastAsia" w:ascii="宋体" w:hAnsi="宋体" w:eastAsia="宋体" w:cs="宋体"/>
          <w:color w:val="auto"/>
          <w:sz w:val="24"/>
          <w:szCs w:val="24"/>
          <w:highlight w:val="none"/>
        </w:rPr>
        <w:t>由符合政策要求的中小企业</w:t>
      </w:r>
      <w:r>
        <w:rPr>
          <w:rFonts w:hint="eastAsia" w:ascii="宋体" w:hAnsi="宋体" w:eastAsia="宋体" w:cs="宋体"/>
          <w:color w:val="auto"/>
          <w:sz w:val="24"/>
          <w:szCs w:val="24"/>
          <w:highlight w:val="none"/>
          <w:lang w:eastAsia="zh-CN"/>
        </w:rPr>
        <w:t>制造；</w:t>
      </w:r>
      <w:r>
        <w:rPr>
          <w:rFonts w:hint="eastAsia" w:ascii="宋体" w:hAnsi="宋体" w:eastAsia="宋体" w:cs="宋体"/>
          <w:color w:val="auto"/>
          <w:sz w:val="24"/>
          <w:szCs w:val="24"/>
          <w:highlight w:val="none"/>
        </w:rPr>
        <w:t>签订分包意向协议的中小企业</w:t>
      </w:r>
      <w:r>
        <w:rPr>
          <w:rFonts w:hint="eastAsia" w:ascii="宋体" w:hAnsi="宋体" w:eastAsia="宋体" w:cs="宋体"/>
          <w:color w:val="auto"/>
          <w:sz w:val="24"/>
          <w:szCs w:val="24"/>
          <w:highlight w:val="none"/>
          <w:lang w:eastAsia="zh-CN"/>
        </w:rPr>
        <w:t>提供的货物全部</w:t>
      </w:r>
      <w:r>
        <w:rPr>
          <w:rFonts w:hint="eastAsia" w:ascii="宋体" w:hAnsi="宋体" w:eastAsia="宋体" w:cs="宋体"/>
          <w:color w:val="auto"/>
          <w:sz w:val="24"/>
          <w:szCs w:val="24"/>
          <w:highlight w:val="none"/>
        </w:rPr>
        <w:t>由符合政策要求的中小企业</w:t>
      </w:r>
      <w:r>
        <w:rPr>
          <w:rFonts w:hint="eastAsia" w:ascii="宋体" w:hAnsi="宋体" w:eastAsia="宋体" w:cs="宋体"/>
          <w:color w:val="auto"/>
          <w:sz w:val="24"/>
          <w:szCs w:val="24"/>
          <w:highlight w:val="none"/>
          <w:lang w:eastAsia="zh-CN"/>
        </w:rPr>
        <w:t>制造）</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相关企业（含联合体中的中小企业、签订分包意向协议的中小企业）的具体情况如</w:t>
      </w:r>
      <w:r>
        <w:rPr>
          <w:rFonts w:hint="eastAsia" w:ascii="宋体" w:hAnsi="宋体" w:eastAsia="宋体" w:cs="宋体"/>
          <w:color w:val="auto"/>
          <w:sz w:val="24"/>
          <w:szCs w:val="24"/>
          <w:highlight w:val="none"/>
          <w:lang w:eastAsia="zh-CN"/>
        </w:rPr>
        <w:t>下</w:t>
      </w:r>
      <w:r>
        <w:rPr>
          <w:rFonts w:hint="eastAsia" w:ascii="宋体" w:hAnsi="宋体" w:eastAsia="宋体" w:cs="宋体"/>
          <w:color w:val="auto"/>
          <w:sz w:val="24"/>
          <w:szCs w:val="24"/>
          <w:highlight w:val="none"/>
        </w:rPr>
        <w:t>：</w:t>
      </w:r>
    </w:p>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zh-TW"/>
        </w:rPr>
        <w:t>1.</w:t>
      </w:r>
      <w:r>
        <w:rPr>
          <w:rFonts w:hint="eastAsia" w:ascii="宋体" w:hAnsi="宋体" w:eastAsia="宋体" w:cs="宋体"/>
          <w:color w:val="auto"/>
          <w:sz w:val="24"/>
          <w:szCs w:val="24"/>
          <w:highlight w:val="none"/>
          <w:u w:val="single"/>
          <w:lang w:bidi="zh-TW"/>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i/>
          <w:iCs/>
          <w:color w:val="auto"/>
          <w:sz w:val="24"/>
          <w:szCs w:val="24"/>
          <w:highlight w:val="none"/>
          <w:u w:val="single"/>
        </w:rPr>
        <w:t xml:space="preserve"> </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 xml:space="preserve">（企业名称）       </w:t>
      </w:r>
      <w:r>
        <w:rPr>
          <w:rFonts w:hint="eastAsia" w:ascii="宋体" w:hAnsi="宋体" w:eastAsia="宋体" w:cs="宋体"/>
          <w:i/>
          <w:iCs/>
          <w:color w:val="auto"/>
          <w:sz w:val="24"/>
          <w:szCs w:val="24"/>
          <w:highlight w:val="none"/>
        </w:rPr>
        <w:t>、</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 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bidi="en-US"/>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（中型企业、小型企业、微型企业）</w:t>
      </w:r>
      <w:r>
        <w:rPr>
          <w:rFonts w:hint="eastAsia" w:ascii="宋体" w:hAnsi="宋体" w:eastAsia="宋体" w:cs="宋体"/>
          <w:color w:val="auto"/>
          <w:sz w:val="24"/>
          <w:szCs w:val="24"/>
          <w:highlight w:val="none"/>
        </w:rPr>
        <w:t>；</w:t>
      </w:r>
    </w:p>
    <w:p>
      <w:pPr>
        <w:pStyle w:val="71"/>
        <w:tabs>
          <w:tab w:val="left" w:pos="662"/>
          <w:tab w:val="left" w:pos="908"/>
          <w:tab w:val="left" w:pos="2945"/>
        </w:tabs>
        <w:spacing w:line="37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u w:val="single"/>
          <w:lang w:val="zh-CN" w:eastAsia="zh-CN" w:bidi="zh-CN"/>
        </w:rPr>
        <w:t>行业</w:t>
      </w:r>
      <w:r>
        <w:rPr>
          <w:rFonts w:hint="eastAsia" w:ascii="宋体" w:hAnsi="宋体" w:eastAsia="宋体" w:cs="宋体"/>
          <w:i/>
          <w:iCs/>
          <w:color w:val="auto"/>
          <w:sz w:val="24"/>
          <w:szCs w:val="24"/>
          <w:highlight w:val="none"/>
          <w:lang w:val="zh-CN" w:eastAsia="zh-CN" w:bidi="zh-CN"/>
        </w:rPr>
        <w:t>、</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
          <w:iCs/>
          <w:color w:val="auto"/>
          <w:sz w:val="24"/>
          <w:szCs w:val="24"/>
          <w:highlight w:val="none"/>
          <w:u w:val="single"/>
        </w:rPr>
        <w:t>（</w:t>
      </w:r>
      <w:r>
        <w:rPr>
          <w:rFonts w:hint="eastAsia" w:ascii="宋体" w:hAnsi="宋体" w:eastAsia="宋体" w:cs="宋体"/>
          <w:color w:val="auto"/>
          <w:sz w:val="24"/>
          <w:szCs w:val="24"/>
          <w:highlight w:val="none"/>
          <w:u w:val="single"/>
        </w:rPr>
        <w:t>企业名称）</w:t>
      </w:r>
      <w:r>
        <w:rPr>
          <w:rFonts w:hint="eastAsia" w:ascii="宋体" w:hAnsi="宋体" w:eastAsia="宋体" w:cs="宋体"/>
          <w:i/>
          <w:iCs/>
          <w:color w:val="auto"/>
          <w:sz w:val="24"/>
          <w:szCs w:val="24"/>
          <w:highlight w:val="none"/>
          <w:lang w:eastAsia="zh-CN"/>
        </w:rPr>
        <w:t>，</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（中型企业、小型 企业、微型</w:t>
      </w:r>
      <w:r>
        <w:rPr>
          <w:rFonts w:hint="eastAsia" w:ascii="宋体" w:hAnsi="宋体" w:eastAsia="宋体" w:cs="宋体"/>
          <w:color w:val="auto"/>
          <w:sz w:val="24"/>
          <w:szCs w:val="24"/>
          <w:highlight w:val="none"/>
          <w:u w:val="single"/>
          <w:lang w:val="zh-CN" w:eastAsia="zh-CN" w:bidi="zh-CN"/>
        </w:rPr>
        <w:t>企业）；</w:t>
      </w:r>
    </w:p>
    <w:p>
      <w:pPr>
        <w:pStyle w:val="71"/>
        <w:tabs>
          <w:tab w:val="left" w:pos="662"/>
          <w:tab w:val="left" w:pos="908"/>
          <w:tab w:val="left" w:pos="2945"/>
        </w:tabs>
        <w:spacing w:line="370" w:lineRule="exact"/>
        <w:ind w:left="460" w:firstLine="480" w:firstLineChars="200"/>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val="en-US" w:eastAsia="zh-CN"/>
        </w:rPr>
        <w:t>……</w:t>
      </w:r>
    </w:p>
    <w:p>
      <w:pPr>
        <w:pStyle w:val="2"/>
        <w:ind w:left="-420" w:leftChars="-200" w:firstLine="0" w:firstLineChars="0"/>
        <w:rPr>
          <w:rFonts w:hint="eastAsia" w:ascii="宋体" w:hAnsi="宋体" w:eastAsia="宋体" w:cs="宋体"/>
          <w:color w:val="auto"/>
          <w:highlight w:val="none"/>
        </w:rPr>
      </w:pPr>
    </w:p>
    <w:p>
      <w:pPr>
        <w:pStyle w:val="71"/>
        <w:tabs>
          <w:tab w:val="left" w:pos="662"/>
          <w:tab w:val="left" w:pos="908"/>
          <w:tab w:val="left" w:pos="2945"/>
        </w:tabs>
        <w:spacing w:line="37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p>
    <w:p>
      <w:pPr>
        <w:pStyle w:val="71"/>
        <w:tabs>
          <w:tab w:val="left" w:pos="662"/>
          <w:tab w:val="left" w:pos="908"/>
          <w:tab w:val="left" w:pos="2945"/>
        </w:tabs>
        <w:spacing w:line="37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pStyle w:val="71"/>
        <w:spacing w:line="372" w:lineRule="exact"/>
        <w:ind w:firstLine="0"/>
        <w:jc w:val="left"/>
        <w:rPr>
          <w:rFonts w:hint="eastAsia" w:ascii="宋体" w:hAnsi="宋体" w:eastAsia="宋体" w:cs="宋体"/>
          <w:color w:val="auto"/>
          <w:sz w:val="24"/>
          <w:szCs w:val="24"/>
          <w:highlight w:val="none"/>
        </w:rPr>
      </w:pPr>
    </w:p>
    <w:p>
      <w:pPr>
        <w:pStyle w:val="71"/>
        <w:spacing w:line="372" w:lineRule="exact"/>
        <w:ind w:firstLine="4468" w:firstLineChars="186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pStyle w:val="28"/>
        <w:spacing w:before="0" w:beforeAutospacing="0" w:after="0" w:afterAutospacing="0" w:line="360" w:lineRule="auto"/>
        <w:ind w:firstLine="480" w:firstLineChars="200"/>
        <w:jc w:val="center"/>
        <w:rPr>
          <w:rFonts w:hint="eastAsia" w:ascii="宋体" w:hAnsi="宋体" w:eastAsia="宋体" w:cs="宋体"/>
          <w:color w:val="auto"/>
          <w:sz w:val="22"/>
          <w:highlight w:val="none"/>
          <w:shd w:val="clear" w:color="auto" w:fill="FFFFFF"/>
        </w:rPr>
      </w:pPr>
      <w:r>
        <w:rPr>
          <w:rFonts w:hint="eastAsia" w:ascii="宋体" w:hAnsi="宋体" w:eastAsia="宋体" w:cs="宋体"/>
          <w:color w:val="auto"/>
          <w:szCs w:val="24"/>
          <w:highlight w:val="none"/>
        </w:rPr>
        <w:t>日期：</w:t>
      </w:r>
      <w:r>
        <w:rPr>
          <w:rFonts w:hint="eastAsia" w:ascii="宋体" w:hAnsi="宋体" w:eastAsia="宋体" w:cs="宋体"/>
          <w:color w:val="auto"/>
          <w:sz w:val="22"/>
          <w:highlight w:val="none"/>
          <w:shd w:val="clear" w:color="auto" w:fill="FFFFFF"/>
        </w:rPr>
        <w:t>　</w:t>
      </w:r>
    </w:p>
    <w:p>
      <w:pPr>
        <w:pStyle w:val="28"/>
        <w:spacing w:before="0" w:beforeAutospacing="0" w:after="0" w:afterAutospacing="0" w:line="360" w:lineRule="auto"/>
        <w:ind w:firstLine="440" w:firstLineChars="200"/>
        <w:jc w:val="center"/>
        <w:rPr>
          <w:rFonts w:hint="eastAsia" w:ascii="宋体" w:hAnsi="宋体" w:eastAsia="宋体" w:cs="宋体"/>
          <w:color w:val="auto"/>
          <w:sz w:val="22"/>
          <w:highlight w:val="none"/>
          <w:shd w:val="clear" w:color="auto" w:fill="FFFFFF"/>
        </w:rPr>
      </w:pPr>
    </w:p>
    <w:p>
      <w:pPr>
        <w:pStyle w:val="71"/>
        <w:tabs>
          <w:tab w:val="left" w:pos="662"/>
          <w:tab w:val="left" w:pos="908"/>
          <w:tab w:val="left" w:pos="2945"/>
        </w:tabs>
        <w:spacing w:line="370" w:lineRule="exact"/>
        <w:ind w:firstLine="0"/>
        <w:rPr>
          <w:rFonts w:hint="eastAsia" w:ascii="宋体" w:hAnsi="宋体" w:eastAsia="宋体" w:cs="宋体"/>
          <w:b/>
          <w:bCs/>
          <w:color w:val="auto"/>
          <w:highlight w:val="none"/>
        </w:rPr>
      </w:pPr>
      <w:r>
        <w:rPr>
          <w:rFonts w:hint="eastAsia" w:ascii="宋体" w:hAnsi="宋体" w:eastAsia="宋体" w:cs="宋体"/>
          <w:b/>
          <w:bCs/>
          <w:color w:val="auto"/>
          <w:highlight w:val="none"/>
        </w:rPr>
        <w:t>注：</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从业人员、营业收入、资产总额填报上一年度数据，无上一年度数据的新成立企业可不填报。（无上一年度数据的新成立企业需提供相关证明材料）</w:t>
      </w:r>
    </w:p>
    <w:p>
      <w:pPr>
        <w:pStyle w:val="71"/>
        <w:tabs>
          <w:tab w:val="left" w:pos="662"/>
          <w:tab w:val="left" w:pos="908"/>
          <w:tab w:val="left" w:pos="2945"/>
        </w:tabs>
        <w:spacing w:line="370" w:lineRule="exact"/>
        <w:ind w:firstLine="44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“标的名称”、“采购文件中明确的所属行业”依据</w:t>
      </w:r>
      <w:r>
        <w:rPr>
          <w:rFonts w:hint="eastAsia" w:ascii="宋体" w:hAnsi="宋体" w:eastAsia="宋体" w:cs="宋体"/>
          <w:b/>
          <w:bCs/>
          <w:color w:val="auto"/>
          <w:highlight w:val="none"/>
          <w:lang w:eastAsia="zh-CN"/>
        </w:rPr>
        <w:t>招标文件</w:t>
      </w:r>
      <w:r>
        <w:rPr>
          <w:rFonts w:hint="eastAsia" w:ascii="宋体" w:hAnsi="宋体" w:eastAsia="宋体" w:cs="宋体"/>
          <w:b/>
          <w:bCs/>
          <w:color w:val="auto"/>
          <w:highlight w:val="none"/>
        </w:rPr>
        <w:t>第二部分</w:t>
      </w:r>
      <w:r>
        <w:rPr>
          <w:rFonts w:hint="eastAsia" w:ascii="宋体" w:hAnsi="宋体" w:eastAsia="宋体" w:cs="宋体"/>
          <w:b/>
          <w:bCs/>
          <w:color w:val="auto"/>
          <w:highlight w:val="none"/>
          <w:lang w:eastAsia="zh-CN"/>
        </w:rPr>
        <w:t>供应商</w:t>
      </w:r>
      <w:r>
        <w:rPr>
          <w:rFonts w:hint="eastAsia" w:ascii="宋体" w:hAnsi="宋体" w:eastAsia="宋体" w:cs="宋体"/>
          <w:b/>
          <w:bCs/>
          <w:color w:val="auto"/>
          <w:highlight w:val="none"/>
        </w:rPr>
        <w:t>须知前附表中“</w:t>
      </w:r>
      <w:r>
        <w:rPr>
          <w:rFonts w:hint="eastAsia" w:ascii="宋体" w:hAnsi="宋体" w:eastAsia="宋体" w:cs="宋体"/>
          <w:b/>
          <w:bCs/>
          <w:color w:val="auto"/>
          <w:highlight w:val="none"/>
          <w:lang w:eastAsia="zh-CN"/>
        </w:rPr>
        <w:t>所属行业及标的名称</w:t>
      </w:r>
      <w:r>
        <w:rPr>
          <w:rFonts w:hint="eastAsia" w:ascii="宋体" w:hAnsi="宋体" w:eastAsia="宋体" w:cs="宋体"/>
          <w:b/>
          <w:bCs/>
          <w:color w:val="auto"/>
          <w:highlight w:val="none"/>
        </w:rPr>
        <w:t>”填写，不得缺漏；中型企业、小型企业、微型企业等3种企业类型，结合以上数据，依据《中小企业划型标准规定》（工信部联企业〔2011〕300号）确定；</w:t>
      </w:r>
    </w:p>
    <w:p>
      <w:pPr>
        <w:pStyle w:val="71"/>
        <w:tabs>
          <w:tab w:val="left" w:pos="662"/>
          <w:tab w:val="left" w:pos="908"/>
          <w:tab w:val="left" w:pos="2945"/>
        </w:tabs>
        <w:spacing w:line="370" w:lineRule="exact"/>
        <w:ind w:firstLine="44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lang w:eastAsia="zh-CN"/>
        </w:rPr>
        <w:t>供应商</w:t>
      </w:r>
      <w:r>
        <w:rPr>
          <w:rFonts w:hint="eastAsia" w:ascii="宋体" w:hAnsi="宋体" w:eastAsia="宋体" w:cs="宋体"/>
          <w:b/>
          <w:bCs/>
          <w:color w:val="auto"/>
          <w:highlight w:val="none"/>
        </w:rPr>
        <w:t>提供的《中小企业声明函》与实际情况不符的或者未按以上要求填写的，中小企业声明函无效，不享受中小企业扶持政策。声明内容不实的，属于提供虚假材料谋取中标、成交的，依法承担法律责任。</w:t>
      </w:r>
    </w:p>
    <w:p>
      <w:pPr>
        <w:pStyle w:val="71"/>
        <w:tabs>
          <w:tab w:val="left" w:pos="662"/>
          <w:tab w:val="left" w:pos="908"/>
          <w:tab w:val="left" w:pos="2945"/>
        </w:tabs>
        <w:spacing w:line="370" w:lineRule="exact"/>
        <w:ind w:firstLine="44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中标、成交供应商享受《政府采购促进中小企业发展管理办法》的通知（财库〔2020〕46号）规定的中小企业扶持政策的，采购人、采购代理机构应当随中标、成交结果公开中标、成交供应商的《中小企业声明函》。</w:t>
      </w:r>
    </w:p>
    <w:p>
      <w:pPr>
        <w:pStyle w:val="71"/>
        <w:tabs>
          <w:tab w:val="left" w:pos="662"/>
          <w:tab w:val="left" w:pos="908"/>
          <w:tab w:val="left" w:pos="2945"/>
        </w:tabs>
        <w:spacing w:line="370" w:lineRule="exact"/>
        <w:ind w:firstLine="442" w:firstLineChars="200"/>
        <w:rPr>
          <w:rFonts w:hint="eastAsia" w:ascii="宋体" w:hAnsi="宋体" w:eastAsia="宋体" w:cs="宋体"/>
          <w:b/>
          <w:bCs/>
          <w:color w:val="auto"/>
          <w:kern w:val="0"/>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kern w:val="0"/>
          <w:highlight w:val="none"/>
          <w:lang w:val="en-US" w:eastAsia="zh-CN"/>
        </w:rPr>
        <w:t>供应商</w:t>
      </w:r>
      <w:r>
        <w:rPr>
          <w:rFonts w:hint="eastAsia" w:ascii="宋体" w:hAnsi="宋体" w:eastAsia="宋体" w:cs="宋体"/>
          <w:b/>
          <w:bCs/>
          <w:color w:val="auto"/>
          <w:kern w:val="0"/>
          <w:highlight w:val="none"/>
        </w:rPr>
        <w:t>为联合体形式的，企业名称</w:t>
      </w:r>
      <w:r>
        <w:rPr>
          <w:rFonts w:hint="eastAsia" w:ascii="宋体" w:hAnsi="宋体" w:eastAsia="宋体" w:cs="宋体"/>
          <w:b/>
          <w:bCs/>
          <w:color w:val="auto"/>
          <w:kern w:val="0"/>
          <w:highlight w:val="none"/>
          <w:lang w:eastAsia="zh-CN"/>
        </w:rPr>
        <w:t>填写所有联合体成员名称，</w:t>
      </w:r>
      <w:r>
        <w:rPr>
          <w:rFonts w:hint="eastAsia" w:ascii="宋体" w:hAnsi="宋体" w:eastAsia="宋体" w:cs="宋体"/>
          <w:b/>
          <w:bCs/>
          <w:color w:val="auto"/>
          <w:kern w:val="0"/>
          <w:highlight w:val="none"/>
        </w:rPr>
        <w:t>盖章可只需联合体牵头方盖章。</w:t>
      </w:r>
    </w:p>
    <w:p>
      <w:pP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br w:type="page"/>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监狱企业资格证明材料</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（注：符合条件的监狱企业请提供本函，不符合的不提供本函）</w:t>
      </w:r>
    </w:p>
    <w:p>
      <w:pPr>
        <w:pStyle w:val="14"/>
        <w:spacing w:after="0" w:line="400" w:lineRule="exact"/>
        <w:ind w:left="0" w:leftChars="0" w:right="1470"/>
        <w:jc w:val="center"/>
        <w:rPr>
          <w:rFonts w:hint="eastAsia" w:ascii="宋体" w:hAnsi="宋体" w:eastAsia="宋体" w:cs="宋体"/>
          <w:b/>
          <w:bCs/>
          <w:color w:val="auto"/>
          <w:sz w:val="24"/>
          <w:highlight w:val="none"/>
        </w:rPr>
      </w:pPr>
    </w:p>
    <w:p>
      <w:pPr>
        <w:spacing w:line="360" w:lineRule="auto"/>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（省级以上监狱管理局、戒毒管理局（含新疆生产建设兵团）出具的属于监狱企业的证明文件）</w:t>
      </w:r>
    </w:p>
    <w:p>
      <w:pPr>
        <w:pStyle w:val="14"/>
        <w:spacing w:after="0" w:line="400" w:lineRule="exact"/>
        <w:ind w:left="0" w:leftChars="0" w:right="1470"/>
        <w:rPr>
          <w:rFonts w:hint="eastAsia" w:ascii="宋体" w:hAnsi="宋体" w:eastAsia="宋体" w:cs="宋体"/>
          <w:color w:val="auto"/>
          <w:sz w:val="22"/>
          <w:highlight w:val="none"/>
        </w:rPr>
      </w:pPr>
    </w:p>
    <w:p>
      <w:pPr>
        <w:pStyle w:val="14"/>
        <w:spacing w:after="0" w:line="400" w:lineRule="exact"/>
        <w:ind w:left="0" w:leftChars="0" w:right="1470"/>
        <w:rPr>
          <w:rFonts w:hint="eastAsia" w:ascii="宋体" w:hAnsi="宋体" w:eastAsia="宋体" w:cs="宋体"/>
          <w:color w:val="auto"/>
          <w:sz w:val="22"/>
          <w:highlight w:val="none"/>
        </w:rPr>
      </w:pPr>
    </w:p>
    <w:p>
      <w:pPr>
        <w:pStyle w:val="14"/>
        <w:spacing w:after="0" w:line="400" w:lineRule="exact"/>
        <w:ind w:left="0" w:leftChars="0" w:right="1470"/>
        <w:rPr>
          <w:rFonts w:hint="eastAsia" w:ascii="宋体" w:hAnsi="宋体" w:eastAsia="宋体" w:cs="宋体"/>
          <w:color w:val="auto"/>
          <w:sz w:val="22"/>
          <w:highlight w:val="none"/>
        </w:rPr>
      </w:pPr>
    </w:p>
    <w:p>
      <w:pPr>
        <w:pStyle w:val="14"/>
        <w:spacing w:after="0" w:line="400" w:lineRule="exact"/>
        <w:ind w:left="0" w:leftChars="0" w:right="1470"/>
        <w:rPr>
          <w:rFonts w:hint="eastAsia" w:ascii="宋体" w:hAnsi="宋体" w:eastAsia="宋体" w:cs="宋体"/>
          <w:color w:val="auto"/>
          <w:sz w:val="22"/>
          <w:highlight w:val="none"/>
        </w:rPr>
      </w:pPr>
    </w:p>
    <w:p>
      <w:pPr>
        <w:pStyle w:val="14"/>
        <w:spacing w:after="0" w:line="400" w:lineRule="exact"/>
        <w:ind w:left="0" w:leftChars="0" w:right="1470"/>
        <w:rPr>
          <w:rFonts w:hint="eastAsia" w:ascii="宋体" w:hAnsi="宋体" w:eastAsia="宋体" w:cs="宋体"/>
          <w:color w:val="auto"/>
          <w:highlight w:val="none"/>
        </w:rPr>
      </w:pPr>
    </w:p>
    <w:p>
      <w:pPr>
        <w:pStyle w:val="14"/>
        <w:spacing w:after="0" w:line="400" w:lineRule="exact"/>
        <w:ind w:left="0" w:leftChars="0" w:right="1470"/>
        <w:rPr>
          <w:rFonts w:hint="eastAsia" w:ascii="宋体" w:hAnsi="宋体" w:eastAsia="宋体" w:cs="宋体"/>
          <w:color w:val="auto"/>
          <w:highlight w:val="none"/>
        </w:rPr>
      </w:pPr>
    </w:p>
    <w:p>
      <w:pPr>
        <w:pStyle w:val="14"/>
        <w:spacing w:after="0" w:line="400" w:lineRule="exact"/>
        <w:ind w:left="0" w:leftChars="0" w:right="1470"/>
        <w:rPr>
          <w:rFonts w:hint="eastAsia" w:ascii="宋体" w:hAnsi="宋体" w:eastAsia="宋体" w:cs="宋体"/>
          <w:color w:val="auto"/>
          <w:highlight w:val="none"/>
        </w:rPr>
      </w:pPr>
    </w:p>
    <w:p>
      <w:pPr>
        <w:pStyle w:val="14"/>
        <w:spacing w:after="0" w:line="400" w:lineRule="exact"/>
        <w:ind w:left="0" w:leftChars="0" w:right="1470"/>
        <w:rPr>
          <w:rFonts w:hint="eastAsia" w:ascii="宋体" w:hAnsi="宋体" w:eastAsia="宋体" w:cs="宋体"/>
          <w:color w:val="auto"/>
          <w:highlight w:val="none"/>
        </w:rPr>
      </w:pPr>
    </w:p>
    <w:p>
      <w:pPr>
        <w:pStyle w:val="14"/>
        <w:spacing w:after="0" w:line="400" w:lineRule="exact"/>
        <w:ind w:left="0" w:leftChars="0" w:right="1470"/>
        <w:rPr>
          <w:rFonts w:hint="eastAsia" w:ascii="宋体" w:hAnsi="宋体" w:eastAsia="宋体" w:cs="宋体"/>
          <w:color w:val="auto"/>
          <w:highlight w:val="none"/>
        </w:rPr>
      </w:pPr>
    </w:p>
    <w:p>
      <w:pPr>
        <w:pStyle w:val="14"/>
        <w:spacing w:after="0" w:line="400" w:lineRule="exact"/>
        <w:ind w:left="0" w:leftChars="0" w:right="1470"/>
        <w:rPr>
          <w:rFonts w:hint="eastAsia" w:ascii="宋体" w:hAnsi="宋体" w:eastAsia="宋体" w:cs="宋体"/>
          <w:color w:val="auto"/>
          <w:highlight w:val="none"/>
        </w:rPr>
      </w:pPr>
    </w:p>
    <w:p>
      <w:pPr>
        <w:spacing w:line="4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残疾人福利性单位声明函</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（注：符合条件的残疾人福利性单位请提供本函，不符合的不提供本函）</w:t>
      </w:r>
    </w:p>
    <w:p>
      <w:pPr>
        <w:spacing w:line="400" w:lineRule="exact"/>
        <w:rPr>
          <w:rFonts w:hint="eastAsia" w:ascii="宋体" w:hAnsi="宋体" w:eastAsia="宋体" w:cs="宋体"/>
          <w:b/>
          <w:color w:val="auto"/>
          <w:spacing w:val="6"/>
          <w:sz w:val="30"/>
          <w:szCs w:val="30"/>
          <w:highlight w:val="none"/>
        </w:rPr>
      </w:pPr>
    </w:p>
    <w:p>
      <w:pPr>
        <w:spacing w:line="40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0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400" w:lineRule="exact"/>
        <w:ind w:firstLine="504" w:firstLineChars="200"/>
        <w:rPr>
          <w:rFonts w:hint="eastAsia" w:ascii="宋体" w:hAnsi="宋体" w:eastAsia="宋体" w:cs="宋体"/>
          <w:color w:val="auto"/>
          <w:spacing w:val="6"/>
          <w:sz w:val="24"/>
          <w:szCs w:val="24"/>
          <w:highlight w:val="none"/>
        </w:rPr>
      </w:pPr>
    </w:p>
    <w:p>
      <w:pPr>
        <w:tabs>
          <w:tab w:val="left" w:pos="4860"/>
        </w:tabs>
        <w:spacing w:line="400" w:lineRule="exact"/>
        <w:ind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单位名称（电子签章）：</w:t>
      </w:r>
    </w:p>
    <w:p>
      <w:pPr>
        <w:tabs>
          <w:tab w:val="left" w:pos="4860"/>
        </w:tabs>
        <w:spacing w:line="400" w:lineRule="exact"/>
        <w:ind w:firstLine="504"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                           日        期：</w:t>
      </w:r>
    </w:p>
    <w:p>
      <w:pPr>
        <w:spacing w:line="400" w:lineRule="exact"/>
        <w:rPr>
          <w:rFonts w:hint="eastAsia" w:ascii="宋体" w:hAnsi="宋体" w:eastAsia="宋体" w:cs="宋体"/>
          <w:b/>
          <w:color w:val="auto"/>
          <w:sz w:val="24"/>
          <w:szCs w:val="24"/>
          <w:highlight w:val="none"/>
        </w:rPr>
      </w:pPr>
    </w:p>
    <w:p>
      <w:pP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投标人不属于残疾人福利性单位的，无需提供此声明函，如提供所引起的后果由投标人承担。中标、中标人为残疾人福利性单位的，采购代理机构将随中标结果同时公告其《残疾人福利性单位声明函》，接受社会监督。</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napToGrid w:val="0"/>
        <w:spacing w:before="120" w:beforeLines="50" w:after="50"/>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二、资格文件部分封面格式</w:t>
      </w:r>
    </w:p>
    <w:p>
      <w:pPr>
        <w:snapToGrid w:val="0"/>
        <w:spacing w:before="120" w:beforeLines="50" w:after="50"/>
        <w:jc w:val="center"/>
        <w:rPr>
          <w:rFonts w:hint="eastAsia" w:ascii="宋体" w:hAnsi="宋体" w:eastAsia="宋体" w:cs="宋体"/>
          <w:b/>
          <w:bCs/>
          <w:color w:val="auto"/>
          <w:sz w:val="24"/>
          <w:highlight w:val="none"/>
        </w:rPr>
      </w:pPr>
    </w:p>
    <w:p>
      <w:pPr>
        <w:snapToGrid w:val="0"/>
        <w:spacing w:line="400" w:lineRule="exact"/>
        <w:rPr>
          <w:rFonts w:hint="eastAsia" w:ascii="宋体" w:hAnsi="宋体" w:eastAsia="宋体" w:cs="宋体"/>
          <w:b/>
          <w:bCs/>
          <w:color w:val="auto"/>
          <w:sz w:val="24"/>
          <w:szCs w:val="20"/>
          <w:highlight w:val="none"/>
        </w:rPr>
      </w:pPr>
    </w:p>
    <w:p>
      <w:pPr>
        <w:snapToGrid w:val="0"/>
        <w:spacing w:line="400" w:lineRule="exact"/>
        <w:jc w:val="center"/>
        <w:rPr>
          <w:rFonts w:hint="eastAsia" w:ascii="宋体" w:hAnsi="宋体" w:eastAsia="宋体" w:cs="宋体"/>
          <w:bCs/>
          <w:color w:val="auto"/>
          <w:sz w:val="24"/>
          <w:szCs w:val="20"/>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8" name="Quad Arrow 6"/>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资格文件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6" o:spid="_x0000_s1026" o:spt="202" type="#_x0000_t202" style="position:absolute;left:0pt;margin-left:30.7pt;margin-top:16pt;height:263.35pt;width:399.75pt;mso-wrap-distance-bottom:0pt;mso-wrap-distance-top:0pt;z-index:251660288;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6LEN9kAAAAJAQAADwAAAAAAAAABACAAAAAiAAAAZHJzL2Rv&#10;d25yZXYueG1sUEsBAhQAFAAAAAgAh07iQJ76aHEAAgAAOAQAAA4AAAAAAAAAAQAgAAAAKAEAAGRy&#10;cy9lMm9Eb2MueG1sUEsFBgAAAAAGAAYAWQEAAJoFAAAAAA==&#10;">
                <v:fill on="t" focussize="0,0"/>
                <v:stroke color="#000000" joinstyle="miter"/>
                <v:imagedata o:title=""/>
                <o:lock v:ext="edit" aspectratio="f"/>
                <v:textbo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资格文件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snapToGrid w:val="0"/>
        <w:spacing w:before="120" w:beforeLines="50" w:after="50"/>
        <w:jc w:val="center"/>
        <w:rPr>
          <w:rFonts w:hint="eastAsia" w:ascii="宋体" w:hAnsi="宋体" w:eastAsia="宋体" w:cs="宋体"/>
          <w:b/>
          <w:bCs/>
          <w:color w:val="auto"/>
          <w:sz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b/>
          <w:bCs/>
          <w:color w:val="auto"/>
          <w:sz w:val="24"/>
          <w:highlight w:val="none"/>
        </w:rPr>
        <w:br w:type="page"/>
      </w:r>
    </w:p>
    <w:p>
      <w:pPr>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附件4</w:t>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8"/>
          <w:szCs w:val="28"/>
          <w:highlight w:val="none"/>
        </w:rPr>
        <w:t xml:space="preserve"> 资格文件</w:t>
      </w:r>
    </w:p>
    <w:p>
      <w:pPr>
        <w:pStyle w:val="14"/>
        <w:spacing w:after="0" w:line="400" w:lineRule="exact"/>
        <w:ind w:left="0" w:leftChars="0" w:right="1470"/>
        <w:rPr>
          <w:rFonts w:hint="eastAsia" w:ascii="宋体" w:hAnsi="宋体" w:eastAsia="宋体" w:cs="宋体"/>
          <w:color w:val="auto"/>
          <w:highlight w:val="none"/>
        </w:rPr>
      </w:pPr>
    </w:p>
    <w:p>
      <w:pPr>
        <w:snapToGrid w:val="0"/>
        <w:spacing w:line="400" w:lineRule="exact"/>
        <w:jc w:val="center"/>
        <w:rPr>
          <w:rFonts w:hint="eastAsia" w:ascii="宋体" w:hAnsi="宋体" w:eastAsia="宋体" w:cs="宋体"/>
          <w:b/>
          <w:color w:val="auto"/>
          <w:spacing w:val="-6"/>
          <w:sz w:val="24"/>
          <w:szCs w:val="24"/>
          <w:highlight w:val="none"/>
        </w:rPr>
      </w:pPr>
    </w:p>
    <w:p>
      <w:pPr>
        <w:spacing w:line="400" w:lineRule="exact"/>
        <w:rPr>
          <w:rFonts w:hint="eastAsia" w:ascii="宋体" w:hAnsi="宋体" w:eastAsia="宋体" w:cs="宋体"/>
          <w:b/>
          <w:color w:val="auto"/>
          <w:sz w:val="22"/>
          <w:highlight w:val="none"/>
        </w:rPr>
      </w:pPr>
      <w:r>
        <w:rPr>
          <w:rFonts w:hint="eastAsia" w:ascii="宋体" w:hAnsi="宋体" w:eastAsia="宋体" w:cs="宋体"/>
          <w:b/>
          <w:color w:val="auto"/>
          <w:sz w:val="22"/>
          <w:highlight w:val="none"/>
          <w:lang w:eastAsia="zh-CN"/>
        </w:rPr>
        <w:t>附件4</w:t>
      </w:r>
      <w:r>
        <w:rPr>
          <w:rFonts w:hint="eastAsia" w:ascii="宋体" w:hAnsi="宋体" w:eastAsia="宋体" w:cs="宋体"/>
          <w:b/>
          <w:color w:val="auto"/>
          <w:sz w:val="22"/>
          <w:highlight w:val="none"/>
        </w:rPr>
        <w:t>-1</w:t>
      </w:r>
    </w:p>
    <w:p>
      <w:pPr>
        <w:spacing w:line="360" w:lineRule="auto"/>
        <w:jc w:val="center"/>
        <w:rPr>
          <w:rFonts w:hint="eastAsia" w:ascii="宋体" w:hAnsi="宋体" w:eastAsia="宋体" w:cs="宋体"/>
          <w:b/>
          <w:color w:val="auto"/>
          <w:sz w:val="22"/>
          <w:highlight w:val="none"/>
        </w:rPr>
      </w:pPr>
    </w:p>
    <w:p>
      <w:pPr>
        <w:spacing w:line="360" w:lineRule="auto"/>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有效的法人或者其他组织的营业执照等证明文件，自然人的身份证明（五选一）</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2"/>
          <w:highlight w:val="none"/>
          <w:u w:val="single"/>
        </w:rPr>
        <w:t>（如为联合体投标，则联合体各方均须提供）</w:t>
      </w:r>
    </w:p>
    <w:p>
      <w:pPr>
        <w:spacing w:line="360" w:lineRule="auto"/>
        <w:rPr>
          <w:rFonts w:hint="eastAsia" w:ascii="宋体" w:hAnsi="宋体" w:eastAsia="宋体" w:cs="宋体"/>
          <w:b/>
          <w:color w:val="auto"/>
          <w:sz w:val="22"/>
          <w:highlight w:val="none"/>
        </w:rPr>
      </w:pPr>
    </w:p>
    <w:p>
      <w:pPr>
        <w:spacing w:line="360" w:lineRule="auto"/>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说明：</w:t>
      </w:r>
    </w:p>
    <w:p>
      <w:pPr>
        <w:pStyle w:val="24"/>
        <w:spacing w:line="360" w:lineRule="auto"/>
        <w:ind w:left="418" w:hanging="418"/>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1.如投标人是企业（包括合伙企业），提供有效“企业法人营业执照”或“营业执照”；</w:t>
      </w:r>
    </w:p>
    <w:p>
      <w:pPr>
        <w:pStyle w:val="24"/>
        <w:spacing w:line="360" w:lineRule="auto"/>
        <w:ind w:left="418" w:hanging="418"/>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2.如投标人是事业单位，提供有效的“事业单位法人证书”；</w:t>
      </w:r>
    </w:p>
    <w:p>
      <w:pPr>
        <w:pStyle w:val="24"/>
        <w:spacing w:line="360" w:lineRule="auto"/>
        <w:ind w:left="418" w:hanging="418"/>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3.如投标人是非企业专业服务机构的，提供执业许可证等证明文件；</w:t>
      </w:r>
    </w:p>
    <w:p>
      <w:pPr>
        <w:pStyle w:val="24"/>
        <w:spacing w:line="360" w:lineRule="auto"/>
        <w:ind w:left="418" w:hanging="418"/>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4.如投标人是个体工商户，提供有效的“个体工商户营业执照”；</w:t>
      </w:r>
    </w:p>
    <w:p>
      <w:pPr>
        <w:pStyle w:val="24"/>
        <w:spacing w:line="360" w:lineRule="auto"/>
        <w:ind w:left="418" w:hanging="418"/>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5.如投标人是自然人，提供有效的自然人身份证明（居民身份证正反面或公安机关出具的临时居民身份证正反面或港澳台胞证或证照）。</w:t>
      </w:r>
    </w:p>
    <w:p>
      <w:pPr>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附件4</w:t>
      </w:r>
      <w:r>
        <w:rPr>
          <w:rFonts w:hint="eastAsia" w:ascii="宋体" w:hAnsi="宋体" w:eastAsia="宋体" w:cs="宋体"/>
          <w:b/>
          <w:color w:val="auto"/>
          <w:sz w:val="24"/>
          <w:szCs w:val="24"/>
          <w:highlight w:val="none"/>
        </w:rPr>
        <w:t>-2</w:t>
      </w:r>
    </w:p>
    <w:p>
      <w:pPr>
        <w:pStyle w:val="31"/>
        <w:ind w:firstLine="321"/>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关于符合《中华人民共和国政府采购法》第二十二条规定的承诺函</w:t>
      </w:r>
    </w:p>
    <w:p>
      <w:pPr>
        <w:spacing w:line="360" w:lineRule="auto"/>
        <w:jc w:val="center"/>
        <w:rPr>
          <w:rFonts w:hint="eastAsia" w:ascii="宋体" w:hAnsi="宋体" w:eastAsia="宋体" w:cs="宋体"/>
          <w:b/>
          <w:bCs/>
          <w:color w:val="auto"/>
          <w:sz w:val="22"/>
          <w:highlight w:val="none"/>
          <w:u w:val="single"/>
        </w:rPr>
      </w:pPr>
      <w:r>
        <w:rPr>
          <w:rFonts w:hint="eastAsia" w:ascii="宋体" w:hAnsi="宋体" w:eastAsia="宋体" w:cs="宋体"/>
          <w:b/>
          <w:bCs/>
          <w:color w:val="auto"/>
          <w:sz w:val="22"/>
          <w:highlight w:val="none"/>
          <w:u w:val="single"/>
        </w:rPr>
        <w:t>（如为联合体投标，则联合体各方均须提供，并各自加盖公章）</w:t>
      </w:r>
    </w:p>
    <w:p>
      <w:pPr>
        <w:spacing w:line="360" w:lineRule="exact"/>
        <w:jc w:val="left"/>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致：</w:t>
      </w:r>
      <w:r>
        <w:rPr>
          <w:rFonts w:hint="eastAsia" w:ascii="宋体" w:hAnsi="宋体" w:cs="宋体"/>
          <w:color w:val="auto"/>
          <w:sz w:val="22"/>
          <w:highlight w:val="none"/>
          <w:lang w:eastAsia="zh-CN"/>
        </w:rPr>
        <w:t>文成县卫生健康局</w:t>
      </w:r>
      <w:r>
        <w:rPr>
          <w:rFonts w:hint="eastAsia" w:ascii="宋体" w:hAnsi="宋体" w:eastAsia="宋体" w:cs="宋体"/>
          <w:color w:val="auto"/>
          <w:sz w:val="22"/>
          <w:highlight w:val="none"/>
        </w:rPr>
        <w:t>、浙江乐诚工程咨询有限公司</w:t>
      </w:r>
      <w:r>
        <w:rPr>
          <w:rFonts w:hint="eastAsia" w:ascii="宋体" w:hAnsi="宋体" w:eastAsia="宋体" w:cs="宋体"/>
          <w:color w:val="auto"/>
          <w:spacing w:val="-6"/>
          <w:sz w:val="22"/>
          <w:highlight w:val="none"/>
        </w:rPr>
        <w:t>：</w:t>
      </w:r>
    </w:p>
    <w:p>
      <w:pPr>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我单位就</w:t>
      </w:r>
      <w:r>
        <w:rPr>
          <w:rFonts w:hint="eastAsia" w:ascii="宋体" w:hAnsi="宋体" w:eastAsia="宋体" w:cs="宋体"/>
          <w:color w:val="auto"/>
          <w:sz w:val="22"/>
          <w:highlight w:val="none"/>
          <w:u w:val="single"/>
        </w:rPr>
        <w:t xml:space="preserve">            （项目名称）           （项目编号）</w:t>
      </w:r>
      <w:r>
        <w:rPr>
          <w:rFonts w:hint="eastAsia" w:ascii="宋体" w:hAnsi="宋体" w:eastAsia="宋体" w:cs="宋体"/>
          <w:color w:val="auto"/>
          <w:sz w:val="22"/>
          <w:highlight w:val="none"/>
        </w:rPr>
        <w:t>项目承诺具备下列条件：</w:t>
      </w:r>
    </w:p>
    <w:p>
      <w:pPr>
        <w:pStyle w:val="28"/>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（一）具有独立承担民事责任的能力；</w:t>
      </w:r>
    </w:p>
    <w:p>
      <w:pPr>
        <w:pStyle w:val="28"/>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（二）具有良好的商业信誉和健全的财务会计制度；</w:t>
      </w:r>
    </w:p>
    <w:p>
      <w:pPr>
        <w:pStyle w:val="28"/>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（三）具有履行合同所必需的设备和专业技术能力；</w:t>
      </w:r>
    </w:p>
    <w:p>
      <w:pPr>
        <w:pStyle w:val="28"/>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（四）有依法缴纳税收和社会保障资金的良好记录；</w:t>
      </w:r>
    </w:p>
    <w:p>
      <w:pPr>
        <w:pStyle w:val="28"/>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（五）参加政府采购活动前三年内，在经营活动中没有重大违法记录（重大违法记录是指供应商因违法经营受到刑事处罚或者责令停产停业、吊销许可证或者执照、较大数额罚款等行政处罚。）；</w:t>
      </w:r>
    </w:p>
    <w:p>
      <w:pPr>
        <w:pStyle w:val="28"/>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六）未被“信用中国”（www.creditchina.gov.cn）、中国政府采购网（www.ccgp.gov.cn）列入失信被执行人、重大税收违法案件当事人名单、政府采购严重违法失信行为记录名单：以采购代理机构在开标当日查询记录为准。</w:t>
      </w:r>
    </w:p>
    <w:p>
      <w:pPr>
        <w:adjustRightInd w:val="0"/>
        <w:snapToGrid w:val="0"/>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（七）不存在以下情况：</w:t>
      </w:r>
    </w:p>
    <w:p>
      <w:pPr>
        <w:adjustRightInd w:val="0"/>
        <w:snapToGrid w:val="0"/>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1、单位负责人为同一人或者存在直接控股、管理关系的不同供应商参加同一合同项下的政府采购活动的；</w:t>
      </w:r>
    </w:p>
    <w:p>
      <w:pPr>
        <w:adjustRightInd w:val="0"/>
        <w:snapToGrid w:val="0"/>
        <w:spacing w:line="360" w:lineRule="exact"/>
        <w:ind w:firstLine="440" w:firstLineChars="200"/>
        <w:jc w:val="left"/>
        <w:rPr>
          <w:rFonts w:hint="eastAsia" w:ascii="宋体" w:hAnsi="宋体" w:eastAsia="宋体" w:cs="宋体"/>
          <w:bCs/>
          <w:color w:val="auto"/>
          <w:sz w:val="22"/>
          <w:highlight w:val="none"/>
        </w:rPr>
      </w:pPr>
      <w:r>
        <w:rPr>
          <w:rFonts w:hint="eastAsia" w:ascii="宋体" w:hAnsi="宋体" w:eastAsia="宋体" w:cs="宋体"/>
          <w:color w:val="auto"/>
          <w:sz w:val="22"/>
          <w:highlight w:val="none"/>
        </w:rPr>
        <w:t>2、为采购项目提供整体设计、规范编制或者项目管理、监理、检测等服务后再参加该采购项目的其他采购活动的。</w:t>
      </w:r>
    </w:p>
    <w:p>
      <w:pPr>
        <w:spacing w:line="360" w:lineRule="exact"/>
        <w:ind w:firstLine="442" w:firstLineChars="200"/>
        <w:jc w:val="left"/>
        <w:rPr>
          <w:rFonts w:hint="eastAsia" w:ascii="宋体" w:hAnsi="宋体" w:eastAsia="宋体" w:cs="宋体"/>
          <w:bCs/>
          <w:color w:val="auto"/>
          <w:sz w:val="22"/>
          <w:highlight w:val="none"/>
        </w:rPr>
      </w:pPr>
      <w:r>
        <w:rPr>
          <w:rStyle w:val="81"/>
          <w:rFonts w:hint="eastAsia" w:ascii="宋体" w:hAnsi="宋体" w:eastAsia="宋体" w:cs="宋体"/>
          <w:b/>
          <w:bCs/>
          <w:color w:val="auto"/>
          <w:sz w:val="22"/>
          <w:highlight w:val="none"/>
        </w:rPr>
        <w:t>本公司对上述承诺的真实性负责。上述承诺如有虚假，将按“提供虚假材料谋取中标、成交”情形，由采购人取消我公司任何资格（投标/中标/签订合同），且由采购单位/采购代理机构报告至政府采购监管部门。</w:t>
      </w:r>
      <w:r>
        <w:rPr>
          <w:rFonts w:hint="eastAsia" w:ascii="宋体" w:hAnsi="宋体" w:eastAsia="宋体" w:cs="宋体"/>
          <w:bCs/>
          <w:color w:val="auto"/>
          <w:sz w:val="22"/>
          <w:highlight w:val="none"/>
        </w:rPr>
        <w:t>一经监管部门查证属实，将按照《中华人民共和国政府采购法》第七十七条“处以采购金额千分之五以上千分之十以下的罚款，列入不良行为记录名单，在一至三年内禁止参加政府采购活动，有违法所得的，并处没收违法所得，情节严重的，由相关部门吊销营业执照</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构成犯罪的，依法追究刑事责任”规定予以处理。</w:t>
      </w:r>
    </w:p>
    <w:p>
      <w:pPr>
        <w:pStyle w:val="28"/>
        <w:spacing w:before="0" w:beforeAutospacing="0" w:after="0" w:afterAutospacing="0" w:line="360" w:lineRule="exact"/>
        <w:ind w:firstLine="440" w:firstLineChars="200"/>
        <w:rPr>
          <w:rStyle w:val="81"/>
          <w:rFonts w:hint="eastAsia" w:ascii="宋体" w:hAnsi="宋体" w:eastAsia="宋体" w:cs="宋体"/>
          <w:color w:val="auto"/>
          <w:sz w:val="22"/>
          <w:highlight w:val="none"/>
        </w:rPr>
      </w:pPr>
      <w:r>
        <w:rPr>
          <w:rStyle w:val="81"/>
          <w:rFonts w:hint="eastAsia" w:ascii="宋体" w:hAnsi="宋体" w:eastAsia="宋体" w:cs="宋体"/>
          <w:color w:val="auto"/>
          <w:sz w:val="22"/>
          <w:highlight w:val="none"/>
        </w:rPr>
        <w:t>《中华人民共和国政府采购法实施条例》第十九条第一款规定的“</w:t>
      </w:r>
      <w:r>
        <w:rPr>
          <w:rFonts w:hint="eastAsia" w:ascii="宋体" w:hAnsi="宋体" w:eastAsia="宋体" w:cs="宋体"/>
          <w:color w:val="auto"/>
          <w:kern w:val="2"/>
          <w:sz w:val="22"/>
          <w:highlight w:val="none"/>
        </w:rPr>
        <w:t>较大数额罚款</w:t>
      </w:r>
      <w:r>
        <w:rPr>
          <w:rStyle w:val="81"/>
          <w:rFonts w:hint="eastAsia" w:ascii="宋体" w:hAnsi="宋体" w:eastAsia="宋体" w:cs="宋体"/>
          <w:color w:val="auto"/>
          <w:sz w:val="22"/>
          <w:highlight w:val="none"/>
        </w:rPr>
        <w:t>”认定为200万元以上的罚款，法律、行政法规以及国务院有关部门明确规定相关领域“</w:t>
      </w:r>
      <w:r>
        <w:rPr>
          <w:rFonts w:hint="eastAsia" w:ascii="宋体" w:hAnsi="宋体" w:eastAsia="宋体" w:cs="宋体"/>
          <w:color w:val="auto"/>
          <w:kern w:val="2"/>
          <w:sz w:val="22"/>
          <w:highlight w:val="none"/>
        </w:rPr>
        <w:t>较大数额罚款</w:t>
      </w:r>
      <w:r>
        <w:rPr>
          <w:rStyle w:val="81"/>
          <w:rFonts w:hint="eastAsia" w:ascii="宋体" w:hAnsi="宋体" w:eastAsia="宋体" w:cs="宋体"/>
          <w:color w:val="auto"/>
          <w:sz w:val="22"/>
          <w:highlight w:val="none"/>
        </w:rPr>
        <w:t>”标准高于200万元的，从其规定。</w:t>
      </w:r>
    </w:p>
    <w:p>
      <w:pPr>
        <w:adjustRightInd w:val="0"/>
        <w:spacing w:line="360" w:lineRule="exact"/>
        <w:ind w:firstLine="440" w:firstLineChars="200"/>
        <w:jc w:val="left"/>
        <w:rPr>
          <w:rStyle w:val="81"/>
          <w:rFonts w:hint="eastAsia" w:ascii="宋体" w:hAnsi="宋体" w:eastAsia="宋体" w:cs="宋体"/>
          <w:color w:val="auto"/>
          <w:sz w:val="22"/>
          <w:highlight w:val="none"/>
        </w:rPr>
      </w:pPr>
      <w:r>
        <w:rPr>
          <w:rStyle w:val="81"/>
          <w:rFonts w:hint="eastAsia" w:ascii="宋体" w:hAnsi="宋体" w:eastAsia="宋体" w:cs="宋体"/>
          <w:color w:val="auto"/>
          <w:sz w:val="22"/>
          <w:highlight w:val="none"/>
        </w:rPr>
        <w:t>我单位已知晓前述法律规定，对此无任何异议。</w:t>
      </w:r>
    </w:p>
    <w:p>
      <w:pPr>
        <w:spacing w:line="360" w:lineRule="exact"/>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注：</w:t>
      </w:r>
      <w:r>
        <w:rPr>
          <w:rStyle w:val="81"/>
          <w:rFonts w:hint="eastAsia" w:ascii="宋体" w:hAnsi="宋体" w:eastAsia="宋体" w:cs="宋体"/>
          <w:b/>
          <w:color w:val="auto"/>
          <w:sz w:val="22"/>
          <w:highlight w:val="none"/>
          <w:u w:val="single"/>
        </w:rPr>
        <w:t>▲</w:t>
      </w:r>
      <w:r>
        <w:rPr>
          <w:rFonts w:hint="eastAsia" w:ascii="宋体" w:hAnsi="宋体" w:eastAsia="宋体" w:cs="宋体"/>
          <w:b/>
          <w:color w:val="auto"/>
          <w:sz w:val="22"/>
          <w:highlight w:val="none"/>
          <w:u w:val="single"/>
        </w:rPr>
        <w:t>本承诺函必须提供。</w:t>
      </w:r>
    </w:p>
    <w:p>
      <w:pPr>
        <w:spacing w:line="360" w:lineRule="auto"/>
        <w:ind w:left="4620" w:leftChars="2200"/>
        <w:rPr>
          <w:rFonts w:hint="eastAsia" w:ascii="宋体" w:hAnsi="宋体" w:eastAsia="宋体" w:cs="宋体"/>
          <w:color w:val="auto"/>
          <w:szCs w:val="21"/>
          <w:highlight w:val="none"/>
        </w:rPr>
      </w:pPr>
    </w:p>
    <w:p>
      <w:pPr>
        <w:widowControl/>
        <w:spacing w:line="360" w:lineRule="auto"/>
        <w:jc w:val="lef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360" w:lineRule="auto"/>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pacing w:line="400" w:lineRule="exact"/>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日期：</w:t>
      </w:r>
      <w:r>
        <w:rPr>
          <w:rFonts w:hint="eastAsia" w:ascii="宋体" w:hAnsi="宋体" w:eastAsia="宋体" w:cs="宋体"/>
          <w:color w:val="auto"/>
          <w:kern w:val="0"/>
          <w:sz w:val="22"/>
          <w:highlight w:val="none"/>
          <w:lang w:eastAsia="zh-CN"/>
        </w:rPr>
        <w:t xml:space="preserve">    年  月  日</w:t>
      </w:r>
    </w:p>
    <w:p>
      <w:pPr>
        <w:spacing w:line="360" w:lineRule="exact"/>
        <w:jc w:val="left"/>
        <w:rPr>
          <w:rFonts w:hint="eastAsia" w:ascii="宋体" w:hAnsi="宋体" w:eastAsia="宋体" w:cs="宋体"/>
          <w:b/>
          <w:color w:val="auto"/>
          <w:sz w:val="24"/>
          <w:szCs w:val="24"/>
          <w:highlight w:val="none"/>
        </w:rPr>
      </w:pPr>
    </w:p>
    <w:p>
      <w:pPr>
        <w:spacing w:line="400" w:lineRule="exact"/>
        <w:rPr>
          <w:rFonts w:hint="eastAsia" w:ascii="宋体" w:hAnsi="宋体" w:eastAsia="宋体" w:cs="宋体"/>
          <w:b/>
          <w:color w:val="auto"/>
          <w:sz w:val="24"/>
          <w:szCs w:val="24"/>
          <w:highlight w:val="none"/>
        </w:rPr>
      </w:pPr>
    </w:p>
    <w:p>
      <w:pPr>
        <w:spacing w:line="400" w:lineRule="exact"/>
        <w:rPr>
          <w:rFonts w:hint="eastAsia" w:ascii="宋体" w:hAnsi="宋体" w:eastAsia="宋体" w:cs="宋体"/>
          <w:b/>
          <w:color w:val="auto"/>
          <w:sz w:val="24"/>
          <w:szCs w:val="24"/>
          <w:highlight w:val="none"/>
        </w:rPr>
      </w:pPr>
    </w:p>
    <w:p>
      <w:pPr>
        <w:spacing w:line="360" w:lineRule="exact"/>
        <w:jc w:val="left"/>
        <w:rPr>
          <w:rFonts w:hint="eastAsia" w:ascii="宋体" w:hAnsi="宋体" w:eastAsia="宋体" w:cs="宋体"/>
          <w:color w:val="auto"/>
          <w:sz w:val="22"/>
          <w:highlight w:val="none"/>
        </w:rPr>
      </w:pPr>
      <w:r>
        <w:rPr>
          <w:rFonts w:hint="eastAsia" w:ascii="宋体" w:hAnsi="宋体" w:eastAsia="宋体" w:cs="宋体"/>
          <w:b/>
          <w:color w:val="auto"/>
          <w:sz w:val="24"/>
          <w:szCs w:val="24"/>
          <w:highlight w:val="none"/>
          <w:lang w:eastAsia="zh-CN"/>
        </w:rPr>
        <w:t>附件4-3</w:t>
      </w:r>
    </w:p>
    <w:p>
      <w:pPr>
        <w:numPr>
          <w:ilvl w:val="1"/>
          <w:numId w:val="0"/>
        </w:num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联合体投标协议书</w:t>
      </w:r>
    </w:p>
    <w:p>
      <w:pPr>
        <w:widowControl/>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b/>
          <w:color w:val="auto"/>
          <w:sz w:val="22"/>
          <w:highlight w:val="none"/>
        </w:rPr>
        <w:t>（以联合体形式投标的提供联合投标协议，项目不接受联合体投标或投标人不以联合体形式投标的则不需要提供）</w:t>
      </w:r>
    </w:p>
    <w:p>
      <w:pPr>
        <w:snapToGrid w:val="0"/>
        <w:spacing w:line="360" w:lineRule="exact"/>
        <w:ind w:firstLine="442" w:firstLineChars="201"/>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_______</w:t>
      </w:r>
      <w:r>
        <w:rPr>
          <w:rFonts w:hint="eastAsia" w:ascii="宋体" w:hAnsi="宋体" w:eastAsia="宋体" w:cs="宋体"/>
          <w:color w:val="auto"/>
          <w:kern w:val="0"/>
          <w:sz w:val="22"/>
          <w:highlight w:val="none"/>
          <w:u w:val="single"/>
        </w:rPr>
        <w:t>（联合体所有成员名称）</w:t>
      </w:r>
      <w:r>
        <w:rPr>
          <w:rFonts w:hint="eastAsia" w:ascii="宋体" w:hAnsi="宋体" w:eastAsia="宋体" w:cs="宋体"/>
          <w:color w:val="auto"/>
          <w:kern w:val="0"/>
          <w:sz w:val="22"/>
          <w:highlight w:val="none"/>
        </w:rPr>
        <w:t>自愿</w:t>
      </w:r>
      <w:r>
        <w:rPr>
          <w:rFonts w:hint="eastAsia" w:ascii="宋体" w:hAnsi="宋体" w:eastAsia="宋体" w:cs="宋体"/>
          <w:color w:val="auto"/>
          <w:kern w:val="0"/>
          <w:sz w:val="22"/>
          <w:highlight w:val="none"/>
          <w:lang w:val="zh-CN"/>
        </w:rPr>
        <w:t>组成一个联合体，以一个投标人的身份</w:t>
      </w:r>
      <w:r>
        <w:rPr>
          <w:rFonts w:hint="eastAsia" w:ascii="宋体" w:hAnsi="宋体" w:eastAsia="宋体" w:cs="宋体"/>
          <w:color w:val="auto"/>
          <w:kern w:val="0"/>
          <w:sz w:val="22"/>
          <w:highlight w:val="none"/>
        </w:rPr>
        <w:t>参加_______</w:t>
      </w:r>
      <w:r>
        <w:rPr>
          <w:rFonts w:hint="eastAsia" w:ascii="宋体" w:hAnsi="宋体" w:eastAsia="宋体" w:cs="宋体"/>
          <w:color w:val="auto"/>
          <w:sz w:val="22"/>
          <w:highlight w:val="none"/>
        </w:rPr>
        <w:t>（项目名称）</w:t>
      </w:r>
      <w:r>
        <w:rPr>
          <w:rFonts w:hint="eastAsia" w:ascii="宋体" w:hAnsi="宋体" w:eastAsia="宋体" w:cs="宋体"/>
          <w:color w:val="auto"/>
          <w:kern w:val="0"/>
          <w:sz w:val="22"/>
          <w:highlight w:val="none"/>
        </w:rPr>
        <w:t>_______</w:t>
      </w:r>
      <w:r>
        <w:rPr>
          <w:rFonts w:hint="eastAsia" w:ascii="宋体" w:hAnsi="宋体" w:eastAsia="宋体" w:cs="宋体"/>
          <w:color w:val="auto"/>
          <w:sz w:val="22"/>
          <w:highlight w:val="none"/>
        </w:rPr>
        <w:t>（项目编号）</w:t>
      </w:r>
      <w:r>
        <w:rPr>
          <w:rFonts w:hint="eastAsia" w:ascii="宋体" w:hAnsi="宋体" w:eastAsia="宋体" w:cs="宋体"/>
          <w:bCs/>
          <w:color w:val="auto"/>
          <w:kern w:val="0"/>
          <w:sz w:val="22"/>
          <w:highlight w:val="none"/>
        </w:rPr>
        <w:t>的政府采购活动</w:t>
      </w:r>
      <w:r>
        <w:rPr>
          <w:rFonts w:hint="eastAsia" w:ascii="宋体" w:hAnsi="宋体" w:eastAsia="宋体" w:cs="宋体"/>
          <w:color w:val="auto"/>
          <w:kern w:val="0"/>
          <w:sz w:val="22"/>
          <w:highlight w:val="none"/>
          <w:lang w:val="zh-CN"/>
        </w:rPr>
        <w:t>。</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现就有关联合投标事宜订立协议如下： </w:t>
      </w:r>
    </w:p>
    <w:p>
      <w:pPr>
        <w:widowControl/>
        <w:numPr>
          <w:ilvl w:val="0"/>
          <w:numId w:val="6"/>
        </w:numPr>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single"/>
        </w:rPr>
        <w:t xml:space="preserve">       （牵头人全称）              </w:t>
      </w:r>
      <w:r>
        <w:rPr>
          <w:rFonts w:hint="eastAsia" w:ascii="宋体" w:hAnsi="宋体" w:eastAsia="宋体" w:cs="宋体"/>
          <w:color w:val="auto"/>
          <w:kern w:val="0"/>
          <w:sz w:val="22"/>
          <w:highlight w:val="none"/>
        </w:rPr>
        <w:t>为联合体的牵头人，</w:t>
      </w:r>
    </w:p>
    <w:p>
      <w:pPr>
        <w:widowControl/>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single"/>
        </w:rPr>
        <w:t xml:space="preserve">       （联合体其他成员全称）         </w:t>
      </w:r>
      <w:r>
        <w:rPr>
          <w:rFonts w:hint="eastAsia" w:ascii="宋体" w:hAnsi="宋体" w:eastAsia="宋体" w:cs="宋体"/>
          <w:color w:val="auto"/>
          <w:kern w:val="0"/>
          <w:sz w:val="22"/>
          <w:highlight w:val="none"/>
        </w:rPr>
        <w:t xml:space="preserve">为联合体的成员方； </w:t>
      </w:r>
    </w:p>
    <w:p>
      <w:pPr>
        <w:pStyle w:val="2"/>
        <w:spacing w:line="360" w:lineRule="exact"/>
        <w:ind w:left="440" w:hanging="44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2、联合体内部有关事项规定如下：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（1）由牵头人代表本联合体与采购人联系，负责协调工作。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b/>
          <w:color w:val="auto"/>
          <w:kern w:val="0"/>
          <w:sz w:val="22"/>
          <w:highlight w:val="none"/>
        </w:rPr>
        <w:t xml:space="preserve">（2）投标工作由联合体中的牵头人负责，由各方组成的投标小组具体实施；联合体中的牵头人代表所有联合体成员负责投标和合同实施阶段的主办、协调工作，联合体中的牵头人在投标文件中的所有承诺均代表了联合体各成员的真实意愿。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（3）联合体将严格按照招标文件的各项要求，递交投标文件，切实执行一切合同文件，共同承担合同规定的一切义务和责任，同时按照内部职责的划分，承担自身所负的责任和风险，在法律上承担连带责任。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（4）如中标，联合体内部将遵守以下规定：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a．联合体牵头人和成员共同与采购人签订采购合同，并就中标项目向采购人负责有连带的和各自的法律责任；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b．联合体牵头人代表联合体成员接收采购人的指令、指示和通知，并且在整个合同实施过程中的全部事宜（包括合同款支付）均由联合体牵头人负责； </w:t>
      </w:r>
    </w:p>
    <w:p>
      <w:pPr>
        <w:widowControl/>
        <w:spacing w:line="400" w:lineRule="exact"/>
        <w:jc w:val="left"/>
        <w:rPr>
          <w:rFonts w:hint="eastAsia" w:ascii="宋体" w:hAnsi="宋体" w:eastAsia="宋体" w:cs="宋体"/>
          <w:color w:val="auto"/>
          <w:sz w:val="22"/>
          <w:highlight w:val="none"/>
        </w:rPr>
      </w:pPr>
      <w:r>
        <w:rPr>
          <w:rFonts w:hint="eastAsia" w:ascii="宋体" w:hAnsi="宋体" w:eastAsia="宋体" w:cs="宋体"/>
          <w:b/>
          <w:color w:val="auto"/>
          <w:kern w:val="0"/>
          <w:sz w:val="22"/>
          <w:highlight w:val="none"/>
        </w:rPr>
        <w:t xml:space="preserve">c．联合体各方承担的工作和义务详细安排如下： </w:t>
      </w:r>
    </w:p>
    <w:p>
      <w:pPr>
        <w:widowControl/>
        <w:spacing w:line="40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___________________________________________________________________________________</w:t>
      </w:r>
    </w:p>
    <w:p>
      <w:pPr>
        <w:widowControl/>
        <w:spacing w:line="40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___________________________________________________________________________________ </w:t>
      </w:r>
    </w:p>
    <w:p>
      <w:pPr>
        <w:widowControl/>
        <w:spacing w:line="40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___________________________________________________________________________________</w:t>
      </w:r>
    </w:p>
    <w:p>
      <w:pPr>
        <w:widowControl/>
        <w:spacing w:line="400" w:lineRule="exact"/>
        <w:jc w:val="left"/>
        <w:rPr>
          <w:rFonts w:hint="eastAsia" w:ascii="宋体" w:hAnsi="宋体" w:eastAsia="宋体" w:cs="宋体"/>
          <w:bCs/>
          <w:color w:val="auto"/>
          <w:highlight w:val="none"/>
        </w:rPr>
      </w:pPr>
      <w:r>
        <w:rPr>
          <w:rFonts w:hint="eastAsia" w:ascii="宋体" w:hAnsi="宋体" w:eastAsia="宋体" w:cs="宋体"/>
          <w:color w:val="auto"/>
          <w:kern w:val="0"/>
          <w:sz w:val="22"/>
          <w:highlight w:val="none"/>
        </w:rPr>
        <w:t xml:space="preserve">___________________________________________________________________________________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b/>
          <w:color w:val="auto"/>
          <w:kern w:val="0"/>
          <w:sz w:val="22"/>
          <w:highlight w:val="none"/>
        </w:rPr>
        <w:t xml:space="preserve">（5）投标工作和联合体在中标后项目实施过程中的有关合同占比按各自承担的工作量分摊，具体说明如下：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____________________________________________________________________________________  </w:t>
      </w:r>
    </w:p>
    <w:p>
      <w:pPr>
        <w:widowControl/>
        <w:spacing w:line="40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____________________________________________________________________________________</w:t>
      </w:r>
      <w:r>
        <w:rPr>
          <w:rFonts w:hint="eastAsia" w:ascii="宋体" w:hAnsi="宋体" w:eastAsia="宋体" w:cs="宋体"/>
          <w:color w:val="auto"/>
          <w:kern w:val="0"/>
          <w:sz w:val="22"/>
          <w:highlight w:val="none"/>
          <w:u w:val="single"/>
        </w:rPr>
        <w:t xml:space="preserve">（牵头人全称）            </w:t>
      </w:r>
      <w:r>
        <w:rPr>
          <w:rFonts w:hint="eastAsia" w:ascii="宋体" w:hAnsi="宋体" w:eastAsia="宋体" w:cs="宋体"/>
          <w:color w:val="auto"/>
          <w:kern w:val="0"/>
          <w:sz w:val="22"/>
          <w:highlight w:val="none"/>
        </w:rPr>
        <w:t>合同占比：_______%</w:t>
      </w:r>
    </w:p>
    <w:p>
      <w:pPr>
        <w:widowControl/>
        <w:spacing w:line="400" w:lineRule="exact"/>
        <w:jc w:val="left"/>
        <w:rPr>
          <w:rFonts w:hint="eastAsia" w:ascii="宋体" w:hAnsi="宋体" w:eastAsia="宋体" w:cs="宋体"/>
          <w:b/>
          <w:color w:val="auto"/>
          <w:kern w:val="0"/>
          <w:sz w:val="22"/>
          <w:highlight w:val="none"/>
        </w:rPr>
      </w:pPr>
      <w:r>
        <w:rPr>
          <w:rFonts w:hint="eastAsia" w:ascii="宋体" w:hAnsi="宋体" w:eastAsia="宋体" w:cs="宋体"/>
          <w:color w:val="auto"/>
          <w:kern w:val="0"/>
          <w:sz w:val="22"/>
          <w:highlight w:val="none"/>
          <w:u w:val="single"/>
        </w:rPr>
        <w:t xml:space="preserve">（联合体其他成员全称）    </w:t>
      </w:r>
      <w:r>
        <w:rPr>
          <w:rFonts w:hint="eastAsia" w:ascii="宋体" w:hAnsi="宋体" w:eastAsia="宋体" w:cs="宋体"/>
          <w:color w:val="auto"/>
          <w:kern w:val="0"/>
          <w:sz w:val="22"/>
          <w:highlight w:val="none"/>
        </w:rPr>
        <w:t>合同占比：_______%</w:t>
      </w:r>
      <w:r>
        <w:rPr>
          <w:rFonts w:hint="eastAsia" w:ascii="宋体" w:hAnsi="宋体" w:eastAsia="宋体" w:cs="宋体"/>
          <w:b/>
          <w:color w:val="auto"/>
          <w:kern w:val="0"/>
          <w:sz w:val="22"/>
          <w:highlight w:val="none"/>
        </w:rPr>
        <w:t xml:space="preserve"> </w:t>
      </w:r>
    </w:p>
    <w:p>
      <w:pPr>
        <w:pStyle w:val="2"/>
        <w:spacing w:line="360" w:lineRule="exact"/>
        <w:ind w:left="440" w:hanging="440"/>
        <w:jc w:val="left"/>
        <w:rPr>
          <w:rFonts w:hint="eastAsia" w:ascii="宋体" w:hAnsi="宋体" w:eastAsia="宋体" w:cs="宋体"/>
          <w:color w:val="auto"/>
          <w:highlight w:val="none"/>
        </w:rPr>
      </w:pPr>
      <w:r>
        <w:rPr>
          <w:rFonts w:hint="eastAsia" w:ascii="宋体" w:hAnsi="宋体" w:eastAsia="宋体" w:cs="宋体"/>
          <w:color w:val="auto"/>
          <w:sz w:val="22"/>
          <w:highlight w:val="none"/>
        </w:rPr>
        <w:t>......</w:t>
      </w:r>
    </w:p>
    <w:p>
      <w:pPr>
        <w:snapToGrid w:val="0"/>
        <w:spacing w:line="360" w:lineRule="exact"/>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3</w:t>
      </w:r>
      <w:r>
        <w:rPr>
          <w:rFonts w:hint="eastAsia" w:ascii="宋体" w:hAnsi="宋体" w:eastAsia="宋体" w:cs="宋体"/>
          <w:color w:val="auto"/>
          <w:kern w:val="0"/>
          <w:sz w:val="22"/>
          <w:highlight w:val="none"/>
          <w:lang w:val="zh-CN"/>
        </w:rPr>
        <w:t>、有关本次联合投标的其他事宜：</w:t>
      </w:r>
    </w:p>
    <w:p>
      <w:pPr>
        <w:snapToGrid w:val="0"/>
        <w:spacing w:line="360" w:lineRule="exact"/>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w:t>
      </w:r>
      <w:r>
        <w:rPr>
          <w:rFonts w:hint="eastAsia" w:ascii="宋体" w:hAnsi="宋体" w:eastAsia="宋体" w:cs="宋体"/>
          <w:color w:val="auto"/>
          <w:kern w:val="0"/>
          <w:sz w:val="22"/>
          <w:highlight w:val="none"/>
        </w:rPr>
        <w:t>1</w:t>
      </w:r>
      <w:r>
        <w:rPr>
          <w:rFonts w:hint="eastAsia" w:ascii="宋体" w:hAnsi="宋体" w:eastAsia="宋体" w:cs="宋体"/>
          <w:color w:val="auto"/>
          <w:kern w:val="0"/>
          <w:sz w:val="22"/>
          <w:highlight w:val="none"/>
          <w:lang w:val="zh-CN"/>
        </w:rPr>
        <w:t>）联合体各方不再单独参加或者与其他供应商另外组成联合体参加同一合同项下的政府采购活动。</w:t>
      </w:r>
    </w:p>
    <w:p>
      <w:pPr>
        <w:snapToGrid w:val="0"/>
        <w:spacing w:line="360" w:lineRule="exact"/>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w:t>
      </w:r>
      <w:r>
        <w:rPr>
          <w:rFonts w:hint="eastAsia" w:ascii="宋体" w:hAnsi="宋体" w:eastAsia="宋体" w:cs="宋体"/>
          <w:color w:val="auto"/>
          <w:kern w:val="0"/>
          <w:sz w:val="22"/>
          <w:highlight w:val="none"/>
        </w:rPr>
        <w:t>2</w:t>
      </w:r>
      <w:r>
        <w:rPr>
          <w:rFonts w:hint="eastAsia" w:ascii="宋体" w:hAnsi="宋体" w:eastAsia="宋体" w:cs="宋体"/>
          <w:color w:val="auto"/>
          <w:kern w:val="0"/>
          <w:sz w:val="22"/>
          <w:highlight w:val="none"/>
          <w:lang w:val="zh-CN"/>
        </w:rPr>
        <w:t>）联合体中有同类资质的各方按照联合体分工承担相同工作的，按照资质等级较低的供应商确定资质等级。</w:t>
      </w:r>
    </w:p>
    <w:p>
      <w:pPr>
        <w:snapToGrid w:val="0"/>
        <w:spacing w:line="360" w:lineRule="exact"/>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w:t>
      </w:r>
      <w:r>
        <w:rPr>
          <w:rFonts w:hint="eastAsia" w:ascii="宋体" w:hAnsi="宋体" w:eastAsia="宋体" w:cs="宋体"/>
          <w:color w:val="auto"/>
          <w:kern w:val="0"/>
          <w:sz w:val="22"/>
          <w:highlight w:val="none"/>
        </w:rPr>
        <w:t>3</w:t>
      </w:r>
      <w:r>
        <w:rPr>
          <w:rFonts w:hint="eastAsia" w:ascii="宋体" w:hAnsi="宋体" w:eastAsia="宋体" w:cs="宋体"/>
          <w:color w:val="auto"/>
          <w:kern w:val="0"/>
          <w:sz w:val="22"/>
          <w:highlight w:val="none"/>
          <w:lang w:val="zh-CN"/>
        </w:rPr>
        <w:t>）本协议提交采购人、采购机构后，联合体各方不得以任何形式对上述内容进行修改或撤销。</w:t>
      </w:r>
    </w:p>
    <w:p>
      <w:pPr>
        <w:snapToGrid w:val="0"/>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4、本协议书自签署之日起生效，在上述（4）a 所述的合同书规定的期限之后自行失效；如中标后，联合体内部另有协议的，联合体牵头人应将该协议书原件送交采购人。 </w:t>
      </w:r>
    </w:p>
    <w:p>
      <w:pPr>
        <w:snapToGrid w:val="0"/>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5、如中标，本项目的采购代理服务费由联合体牵头人缴纳，合同款支付至合同约定的牵头人账号。</w:t>
      </w:r>
    </w:p>
    <w:p>
      <w:pPr>
        <w:widowControl/>
        <w:spacing w:line="360" w:lineRule="exact"/>
        <w:jc w:val="left"/>
        <w:rPr>
          <w:rFonts w:hint="eastAsia" w:ascii="宋体" w:hAnsi="宋体" w:eastAsia="宋体" w:cs="宋体"/>
          <w:color w:val="auto"/>
          <w:kern w:val="0"/>
          <w:sz w:val="22"/>
          <w:highlight w:val="none"/>
        </w:rPr>
      </w:pP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单位名称（盖章）：                                   单位名称（盖章）：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地址：                                               地址：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法定代表人或授权代表（签字或盖章）：                 法定代表人或授权代表（签字或盖章）：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联系方式：                                           联系方式： </w:t>
      </w:r>
    </w:p>
    <w:p>
      <w:pPr>
        <w:widowControl/>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协议签订时间：                                       协议签订时间：</w:t>
      </w:r>
    </w:p>
    <w:p>
      <w:pP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br w:type="page"/>
      </w: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z w:val="24"/>
          <w:szCs w:val="24"/>
          <w:highlight w:val="none"/>
          <w:lang w:eastAsia="zh-CN"/>
        </w:rPr>
        <w:t>附件4-4</w:t>
      </w:r>
    </w:p>
    <w:p>
      <w:pPr>
        <w:snapToGrid w:val="0"/>
        <w:spacing w:line="400" w:lineRule="exact"/>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分包意向协议</w:t>
      </w:r>
    </w:p>
    <w:p>
      <w:pPr>
        <w:widowControl/>
        <w:snapToGrid w:val="0"/>
        <w:spacing w:line="360" w:lineRule="exact"/>
        <w:ind w:left="-210" w:leftChars="-100"/>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（中标后以分包方式履行合同的提供分包意向协议，采购人不同意分包或中标后不以分包方式履行合同的则不需要提供）</w:t>
      </w:r>
    </w:p>
    <w:p>
      <w:pPr>
        <w:snapToGrid w:val="0"/>
        <w:spacing w:line="360" w:lineRule="exact"/>
        <w:ind w:firstLine="440" w:firstLineChars="200"/>
        <w:jc w:val="left"/>
        <w:rPr>
          <w:rFonts w:hint="eastAsia" w:ascii="宋体" w:hAnsi="宋体" w:eastAsia="宋体" w:cs="宋体"/>
          <w:color w:val="auto"/>
          <w:kern w:val="0"/>
          <w:sz w:val="22"/>
          <w:highlight w:val="none"/>
          <w:u w:val="single"/>
        </w:rPr>
      </w:pPr>
    </w:p>
    <w:p>
      <w:pPr>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u w:val="single"/>
        </w:rPr>
        <w:t>（投标人名称）</w:t>
      </w:r>
      <w:r>
        <w:rPr>
          <w:rFonts w:hint="eastAsia" w:ascii="宋体" w:hAnsi="宋体" w:eastAsia="宋体" w:cs="宋体"/>
          <w:color w:val="auto"/>
          <w:kern w:val="0"/>
          <w:sz w:val="24"/>
          <w:szCs w:val="24"/>
          <w:highlight w:val="none"/>
          <w:lang w:val="zh-CN"/>
        </w:rPr>
        <w:t>若成为</w:t>
      </w:r>
      <w:r>
        <w:rPr>
          <w:rFonts w:hint="eastAsia" w:ascii="宋体" w:hAnsi="宋体" w:eastAsia="宋体" w:cs="宋体"/>
          <w:color w:val="auto"/>
          <w:kern w:val="0"/>
          <w:sz w:val="24"/>
          <w:szCs w:val="24"/>
          <w:highlight w:val="none"/>
          <w:u w:val="single"/>
        </w:rPr>
        <w:t xml:space="preserve">     （项目名称）</w:t>
      </w:r>
      <w:r>
        <w:rPr>
          <w:rFonts w:hint="eastAsia" w:ascii="宋体" w:hAnsi="宋体" w:eastAsia="宋体" w:cs="宋体"/>
          <w:color w:val="auto"/>
          <w:sz w:val="24"/>
          <w:szCs w:val="24"/>
          <w:highlight w:val="none"/>
          <w:u w:val="single"/>
        </w:rPr>
        <w:t>（项目编号：   ）</w:t>
      </w:r>
      <w:r>
        <w:rPr>
          <w:rFonts w:hint="eastAsia" w:ascii="宋体" w:hAnsi="宋体" w:eastAsia="宋体" w:cs="宋体"/>
          <w:color w:val="auto"/>
          <w:kern w:val="0"/>
          <w:sz w:val="24"/>
          <w:szCs w:val="24"/>
          <w:highlight w:val="none"/>
          <w:lang w:val="zh-CN"/>
        </w:rPr>
        <w:t>的中标</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zh-CN"/>
        </w:rPr>
        <w:t>，将依法采取分包方式履行合同。</w:t>
      </w:r>
      <w:r>
        <w:rPr>
          <w:rFonts w:hint="eastAsia" w:ascii="宋体" w:hAnsi="宋体" w:eastAsia="宋体" w:cs="宋体"/>
          <w:color w:val="auto"/>
          <w:kern w:val="0"/>
          <w:sz w:val="24"/>
          <w:szCs w:val="24"/>
          <w:highlight w:val="none"/>
          <w:u w:val="single"/>
        </w:rPr>
        <w:t>（投标人名称）</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u w:val="single"/>
        </w:rPr>
        <w:t>（所有分包供应商名称）</w:t>
      </w:r>
      <w:r>
        <w:rPr>
          <w:rFonts w:hint="eastAsia" w:ascii="宋体" w:hAnsi="宋体" w:eastAsia="宋体" w:cs="宋体"/>
          <w:color w:val="auto"/>
          <w:kern w:val="0"/>
          <w:sz w:val="24"/>
          <w:szCs w:val="24"/>
          <w:highlight w:val="none"/>
        </w:rPr>
        <w:t>达成分包意向协议</w:t>
      </w:r>
      <w:r>
        <w:rPr>
          <w:rFonts w:hint="eastAsia" w:ascii="宋体" w:hAnsi="宋体" w:eastAsia="宋体" w:cs="宋体"/>
          <w:color w:val="auto"/>
          <w:kern w:val="0"/>
          <w:sz w:val="24"/>
          <w:szCs w:val="24"/>
          <w:highlight w:val="none"/>
          <w:lang w:val="zh-CN"/>
        </w:rPr>
        <w:t>。</w:t>
      </w:r>
    </w:p>
    <w:p>
      <w:pPr>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一、分包标的及数量</w:t>
      </w:r>
    </w:p>
    <w:p>
      <w:pPr>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u w:val="single"/>
        </w:rPr>
        <w:t>（投标人名称）</w:t>
      </w:r>
      <w:r>
        <w:rPr>
          <w:rFonts w:hint="eastAsia" w:ascii="宋体" w:hAnsi="宋体" w:eastAsia="宋体" w:cs="宋体"/>
          <w:color w:val="auto"/>
          <w:kern w:val="0"/>
          <w:sz w:val="24"/>
          <w:szCs w:val="24"/>
          <w:highlight w:val="none"/>
          <w:lang w:val="zh-CN"/>
        </w:rPr>
        <w:t>将</w:t>
      </w:r>
      <w:r>
        <w:rPr>
          <w:rFonts w:hint="eastAsia" w:ascii="宋体" w:hAnsi="宋体" w:eastAsia="宋体" w:cs="宋体"/>
          <w:color w:val="auto"/>
          <w:sz w:val="24"/>
          <w:szCs w:val="24"/>
          <w:highlight w:val="none"/>
          <w:u w:val="single"/>
        </w:rPr>
        <w:t>XX工作内容</w:t>
      </w:r>
      <w:r>
        <w:rPr>
          <w:rFonts w:hint="eastAsia" w:ascii="宋体" w:hAnsi="宋体" w:eastAsia="宋体" w:cs="宋体"/>
          <w:color w:val="auto"/>
          <w:sz w:val="24"/>
          <w:szCs w:val="24"/>
          <w:highlight w:val="none"/>
        </w:rPr>
        <w:t>分包给</w:t>
      </w:r>
      <w:r>
        <w:rPr>
          <w:rFonts w:hint="eastAsia" w:ascii="宋体" w:hAnsi="宋体" w:eastAsia="宋体" w:cs="宋体"/>
          <w:color w:val="auto"/>
          <w:kern w:val="0"/>
          <w:sz w:val="24"/>
          <w:szCs w:val="24"/>
          <w:highlight w:val="none"/>
          <w:u w:val="single"/>
        </w:rPr>
        <w:t>（某分包供应商名称）</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u w:val="single"/>
        </w:rPr>
        <w:t>（某分包供应商名称）</w:t>
      </w:r>
      <w:r>
        <w:rPr>
          <w:rFonts w:hint="eastAsia" w:ascii="宋体" w:hAnsi="宋体" w:eastAsia="宋体" w:cs="宋体"/>
          <w:color w:val="auto"/>
          <w:kern w:val="0"/>
          <w:sz w:val="24"/>
          <w:szCs w:val="24"/>
          <w:highlight w:val="none"/>
          <w:lang w:val="zh-CN"/>
        </w:rPr>
        <w:t>具备承</w:t>
      </w:r>
      <w:r>
        <w:rPr>
          <w:rFonts w:hint="eastAsia" w:ascii="宋体" w:hAnsi="宋体" w:eastAsia="宋体" w:cs="宋体"/>
          <w:color w:val="auto"/>
          <w:kern w:val="0"/>
          <w:sz w:val="24"/>
          <w:szCs w:val="24"/>
          <w:highlight w:val="none"/>
        </w:rPr>
        <w:t>担</w:t>
      </w:r>
      <w:r>
        <w:rPr>
          <w:rFonts w:hint="eastAsia" w:ascii="宋体" w:hAnsi="宋体" w:eastAsia="宋体" w:cs="宋体"/>
          <w:color w:val="auto"/>
          <w:sz w:val="24"/>
          <w:szCs w:val="24"/>
          <w:highlight w:val="none"/>
          <w:u w:val="single"/>
        </w:rPr>
        <w:t>XX工作内容</w:t>
      </w:r>
      <w:r>
        <w:rPr>
          <w:rFonts w:hint="eastAsia" w:ascii="宋体" w:hAnsi="宋体" w:eastAsia="宋体" w:cs="宋体"/>
          <w:color w:val="auto"/>
          <w:kern w:val="0"/>
          <w:sz w:val="24"/>
          <w:szCs w:val="24"/>
          <w:highlight w:val="none"/>
          <w:lang w:val="zh-CN"/>
        </w:rPr>
        <w:t>相应资质条件且不得再次分包；</w:t>
      </w:r>
    </w:p>
    <w:p>
      <w:pPr>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w:t>
      </w:r>
    </w:p>
    <w:p>
      <w:pPr>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二、分包工作履行期限、地点、方式：</w:t>
      </w:r>
    </w:p>
    <w:p>
      <w:pPr>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三、质量：</w:t>
      </w:r>
    </w:p>
    <w:p>
      <w:pPr>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四、价款或者报酬：</w:t>
      </w:r>
    </w:p>
    <w:p>
      <w:pPr>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五、违约责任：</w:t>
      </w:r>
    </w:p>
    <w:p>
      <w:pPr>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六、争议解决的办法：</w:t>
      </w:r>
    </w:p>
    <w:p>
      <w:pPr>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七、其他：</w:t>
      </w:r>
    </w:p>
    <w:p>
      <w:pPr>
        <w:snapToGrid w:val="0"/>
        <w:spacing w:line="360" w:lineRule="auto"/>
        <w:ind w:firstLine="480" w:firstLineChars="200"/>
        <w:jc w:val="left"/>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u w:val="single"/>
        </w:rPr>
        <w:t>（某分包供应商名称）</w:t>
      </w:r>
      <w:r>
        <w:rPr>
          <w:rFonts w:hint="eastAsia" w:ascii="宋体" w:hAnsi="宋体" w:eastAsia="宋体" w:cs="宋体"/>
          <w:color w:val="auto"/>
          <w:kern w:val="0"/>
          <w:sz w:val="24"/>
          <w:szCs w:val="24"/>
          <w:highlight w:val="none"/>
          <w:u w:val="single"/>
          <w:lang w:val="zh-CN"/>
        </w:rPr>
        <w:t>的合同份额占到合同总金额     %以上。</w:t>
      </w:r>
    </w:p>
    <w:p>
      <w:pPr>
        <w:snapToGrid w:val="0"/>
        <w:spacing w:line="360" w:lineRule="auto"/>
        <w:ind w:firstLine="480" w:firstLineChars="200"/>
        <w:rPr>
          <w:rFonts w:hint="eastAsia" w:ascii="宋体" w:hAnsi="宋体" w:eastAsia="宋体" w:cs="宋体"/>
          <w:color w:val="auto"/>
          <w:kern w:val="0"/>
          <w:sz w:val="24"/>
          <w:szCs w:val="24"/>
          <w:highlight w:val="none"/>
          <w:lang w:val="zh-CN"/>
        </w:rPr>
      </w:pPr>
    </w:p>
    <w:p>
      <w:pPr>
        <w:snapToGrid w:val="0"/>
        <w:spacing w:line="360" w:lineRule="auto"/>
        <w:ind w:firstLine="482" w:firstLineChars="200"/>
        <w:rPr>
          <w:rFonts w:hint="eastAsia" w:ascii="宋体" w:hAnsi="宋体" w:eastAsia="宋体" w:cs="宋体"/>
          <w:b/>
          <w:bCs/>
          <w:color w:val="auto"/>
          <w:kern w:val="0"/>
          <w:sz w:val="24"/>
          <w:szCs w:val="24"/>
          <w:highlight w:val="none"/>
          <w:lang w:val="zh-CN"/>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分包供应商名称（公章）：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snapToGrid w:val="0"/>
        <w:spacing w:before="120" w:beforeLines="50" w:after="50"/>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三、商务和技术文件部分封面格式</w:t>
      </w:r>
    </w:p>
    <w:p>
      <w:pPr>
        <w:snapToGrid w:val="0"/>
        <w:spacing w:before="120" w:beforeLines="50" w:after="50"/>
        <w:rPr>
          <w:rFonts w:hint="eastAsia" w:ascii="宋体" w:hAnsi="宋体" w:eastAsia="宋体" w:cs="宋体"/>
          <w:b/>
          <w:bCs/>
          <w:color w:val="auto"/>
          <w:sz w:val="24"/>
          <w:highlight w:val="none"/>
        </w:rPr>
      </w:pPr>
    </w:p>
    <w:p>
      <w:pPr>
        <w:pStyle w:val="14"/>
        <w:ind w:left="0" w:leftChars="0" w:right="1470"/>
        <w:rPr>
          <w:rFonts w:hint="eastAsia" w:ascii="宋体" w:hAnsi="宋体" w:eastAsia="宋体" w:cs="宋体"/>
          <w:b/>
          <w:color w:val="auto"/>
          <w:sz w:val="24"/>
          <w:szCs w:val="24"/>
          <w:highlight w:val="none"/>
        </w:rPr>
      </w:pPr>
    </w:p>
    <w:p>
      <w:pPr>
        <w:snapToGrid w:val="0"/>
        <w:spacing w:line="400" w:lineRule="exact"/>
        <w:jc w:val="center"/>
        <w:rPr>
          <w:rFonts w:hint="eastAsia" w:ascii="宋体" w:hAnsi="宋体" w:eastAsia="宋体" w:cs="宋体"/>
          <w:b/>
          <w:bCs/>
          <w:color w:val="auto"/>
          <w:sz w:val="24"/>
          <w:szCs w:val="20"/>
          <w:highlight w:val="none"/>
        </w:rPr>
      </w:pPr>
    </w:p>
    <w:p>
      <w:pPr>
        <w:snapToGrid w:val="0"/>
        <w:spacing w:line="400" w:lineRule="exact"/>
        <w:jc w:val="center"/>
        <w:rPr>
          <w:rFonts w:hint="eastAsia" w:ascii="宋体" w:hAnsi="宋体" w:eastAsia="宋体" w:cs="宋体"/>
          <w:bCs/>
          <w:color w:val="auto"/>
          <w:sz w:val="24"/>
          <w:szCs w:val="20"/>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9" name="Quad Arrow 5"/>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5" o:spid="_x0000_s1026" o:spt="202" type="#_x0000_t202" style="position:absolute;left:0pt;margin-left:30.7pt;margin-top:16pt;height:263.35pt;width:399.75pt;mso-wrap-distance-bottom:0pt;mso-wrap-distance-top:0pt;z-index:251661312;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OixDfZAAAACQEAAA8AAAAAAAAAAQAgAAAAIgAAAGRycy9k&#10;b3ducmV2LnhtbFBLAQIUABQAAAAIAIdO4kBKMaqUAQIAADgEAAAOAAAAAAAAAAEAIAAAACgBAABk&#10;cnMvZTJvRG9jLnhtbFBLBQYAAAAABgAGAFkBAACbBQAAAAA=&#10;">
                <v:fill on="t" focussize="0,0"/>
                <v:stroke color="#000000" joinstyle="miter"/>
                <v:imagedata o:title=""/>
                <o:lock v:ext="edit" aspectratio="f"/>
                <v:textbo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8"/>
          <w:highlight w:val="none"/>
        </w:rPr>
        <w:t>商务和技术文件</w:t>
      </w:r>
    </w:p>
    <w:p>
      <w:pPr>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附件5</w:t>
      </w:r>
    </w:p>
    <w:p>
      <w:pPr>
        <w:spacing w:line="400" w:lineRule="exact"/>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商务和技术文件投标文件</w:t>
      </w:r>
    </w:p>
    <w:p>
      <w:pPr>
        <w:spacing w:line="400" w:lineRule="exact"/>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评分索引表</w:t>
      </w:r>
    </w:p>
    <w:p>
      <w:pPr>
        <w:spacing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为了方便专家评审投标文件，针对招标文件评分细则要求，投标人应制作标书索引，置于投标文件首页，格式如下：</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序号</w:t>
            </w:r>
          </w:p>
        </w:tc>
        <w:tc>
          <w:tcPr>
            <w:tcW w:w="6956" w:type="dxa"/>
            <w:vAlign w:val="center"/>
          </w:tcPr>
          <w:p>
            <w:pPr>
              <w:spacing w:line="400" w:lineRule="exact"/>
              <w:jc w:val="center"/>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评分内容</w:t>
            </w:r>
          </w:p>
        </w:tc>
        <w:tc>
          <w:tcPr>
            <w:tcW w:w="1313" w:type="dxa"/>
            <w:vAlign w:val="center"/>
          </w:tcPr>
          <w:p>
            <w:pPr>
              <w:pStyle w:val="58"/>
              <w:spacing w:line="400" w:lineRule="exact"/>
              <w:rPr>
                <w:rFonts w:hint="eastAsia" w:ascii="宋体" w:hAnsi="宋体" w:eastAsia="宋体" w:cs="宋体"/>
                <w:b/>
                <w:color w:val="auto"/>
                <w:spacing w:val="-6"/>
                <w:szCs w:val="24"/>
                <w:highlight w:val="none"/>
              </w:rPr>
            </w:pPr>
            <w:r>
              <w:rPr>
                <w:rFonts w:hint="eastAsia" w:ascii="宋体" w:hAnsi="宋体" w:eastAsia="宋体" w:cs="宋体"/>
                <w:b/>
                <w:color w:val="auto"/>
                <w:spacing w:val="-6"/>
                <w:szCs w:val="24"/>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1</w:t>
            </w:r>
          </w:p>
        </w:tc>
        <w:tc>
          <w:tcPr>
            <w:tcW w:w="6956" w:type="dxa"/>
            <w:vAlign w:val="center"/>
          </w:tcPr>
          <w:p>
            <w:pPr>
              <w:spacing w:line="400" w:lineRule="exact"/>
              <w:jc w:val="left"/>
              <w:rPr>
                <w:rFonts w:hint="eastAsia" w:ascii="宋体" w:hAnsi="宋体" w:eastAsia="宋体" w:cs="宋体"/>
                <w:color w:val="auto"/>
                <w:kern w:val="0"/>
                <w:sz w:val="24"/>
                <w:szCs w:val="24"/>
                <w:highlight w:val="none"/>
              </w:rPr>
            </w:pPr>
          </w:p>
          <w:p>
            <w:pPr>
              <w:spacing w:line="400" w:lineRule="exact"/>
              <w:jc w:val="left"/>
              <w:rPr>
                <w:rFonts w:hint="eastAsia" w:ascii="宋体" w:hAnsi="宋体" w:eastAsia="宋体" w:cs="宋体"/>
                <w:color w:val="auto"/>
                <w:kern w:val="0"/>
                <w:sz w:val="24"/>
                <w:szCs w:val="24"/>
                <w:highlight w:val="none"/>
              </w:rPr>
            </w:pPr>
          </w:p>
        </w:tc>
        <w:tc>
          <w:tcPr>
            <w:tcW w:w="1313" w:type="dxa"/>
            <w:vAlign w:val="center"/>
          </w:tcPr>
          <w:p>
            <w:pPr>
              <w:pStyle w:val="2"/>
              <w:spacing w:line="400" w:lineRule="exact"/>
              <w:ind w:left="456" w:hanging="456"/>
              <w:rPr>
                <w:rFonts w:hint="eastAsia" w:ascii="宋体" w:hAnsi="宋体" w:eastAsia="宋体" w:cs="宋体"/>
                <w:color w:val="auto"/>
                <w:spacing w:val="-6"/>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2</w:t>
            </w:r>
          </w:p>
        </w:tc>
        <w:tc>
          <w:tcPr>
            <w:tcW w:w="6956" w:type="dxa"/>
            <w:vAlign w:val="center"/>
          </w:tcPr>
          <w:p>
            <w:pPr>
              <w:spacing w:line="400" w:lineRule="exact"/>
              <w:jc w:val="left"/>
              <w:rPr>
                <w:rFonts w:hint="eastAsia" w:ascii="宋体" w:hAnsi="宋体" w:eastAsia="宋体" w:cs="宋体"/>
                <w:color w:val="auto"/>
                <w:kern w:val="0"/>
                <w:sz w:val="24"/>
                <w:szCs w:val="24"/>
                <w:highlight w:val="none"/>
              </w:rPr>
            </w:pPr>
          </w:p>
        </w:tc>
        <w:tc>
          <w:tcPr>
            <w:tcW w:w="1313" w:type="dxa"/>
            <w:vAlign w:val="center"/>
          </w:tcPr>
          <w:p>
            <w:pPr>
              <w:pStyle w:val="2"/>
              <w:spacing w:line="400" w:lineRule="exact"/>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w:t>
            </w:r>
          </w:p>
        </w:tc>
        <w:tc>
          <w:tcPr>
            <w:tcW w:w="6956" w:type="dxa"/>
            <w:vAlign w:val="center"/>
          </w:tcPr>
          <w:p>
            <w:pPr>
              <w:spacing w:line="400" w:lineRule="exac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w:t>
            </w:r>
          </w:p>
        </w:tc>
        <w:tc>
          <w:tcPr>
            <w:tcW w:w="6956" w:type="dxa"/>
            <w:vAlign w:val="center"/>
          </w:tcPr>
          <w:p>
            <w:pPr>
              <w:spacing w:line="400" w:lineRule="exac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w:t>
            </w:r>
          </w:p>
        </w:tc>
        <w:tc>
          <w:tcPr>
            <w:tcW w:w="6956" w:type="dxa"/>
            <w:vAlign w:val="center"/>
          </w:tcPr>
          <w:p>
            <w:pPr>
              <w:spacing w:line="400" w:lineRule="exact"/>
              <w:jc w:val="lef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w:t>
            </w:r>
          </w:p>
        </w:tc>
        <w:tc>
          <w:tcPr>
            <w:tcW w:w="6956" w:type="dxa"/>
            <w:vAlign w:val="center"/>
          </w:tcPr>
          <w:p>
            <w:pPr>
              <w:spacing w:line="400" w:lineRule="exact"/>
              <w:jc w:val="lef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w:t>
            </w:r>
          </w:p>
        </w:tc>
        <w:tc>
          <w:tcPr>
            <w:tcW w:w="6956" w:type="dxa"/>
            <w:vAlign w:val="center"/>
          </w:tcPr>
          <w:p>
            <w:pPr>
              <w:spacing w:line="400" w:lineRule="exact"/>
              <w:jc w:val="lef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8</w:t>
            </w:r>
          </w:p>
        </w:tc>
        <w:tc>
          <w:tcPr>
            <w:tcW w:w="6956" w:type="dxa"/>
            <w:vAlign w:val="center"/>
          </w:tcPr>
          <w:p>
            <w:pPr>
              <w:spacing w:line="400" w:lineRule="exac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tc>
        <w:tc>
          <w:tcPr>
            <w:tcW w:w="6956" w:type="dxa"/>
            <w:vAlign w:val="center"/>
          </w:tcPr>
          <w:p>
            <w:pPr>
              <w:spacing w:line="400" w:lineRule="exact"/>
              <w:jc w:val="lef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bl>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备注：一.“评分内容”对应“第六部分”评标原则及方法。</w:t>
      </w:r>
    </w:p>
    <w:p>
      <w:pPr>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二.评标内容自行添加。本表可扩展。</w:t>
      </w:r>
    </w:p>
    <w:p>
      <w:pPr>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三.各投标人在投标文件最前页根据本评标细则制作评分索引表，清楚标注响应内容及证明材料的所在页码。</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附件6</w:t>
      </w:r>
    </w:p>
    <w:p>
      <w:pPr>
        <w:pStyle w:val="2"/>
        <w:ind w:left="0" w:firstLine="0" w:firstLineChars="0"/>
        <w:rPr>
          <w:rFonts w:hint="eastAsia" w:ascii="宋体" w:hAnsi="宋体" w:eastAsia="宋体" w:cs="宋体"/>
          <w:color w:val="auto"/>
          <w:szCs w:val="24"/>
          <w:highlight w:val="none"/>
        </w:rPr>
      </w:pPr>
    </w:p>
    <w:p>
      <w:pPr>
        <w:ind w:right="-1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法定代表人资格证明书</w:t>
      </w:r>
    </w:p>
    <w:p>
      <w:pPr>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文成县卫生健康局</w:t>
      </w:r>
      <w:r>
        <w:rPr>
          <w:rFonts w:hint="eastAsia" w:ascii="宋体" w:hAnsi="宋体" w:eastAsia="宋体" w:cs="宋体"/>
          <w:color w:val="auto"/>
          <w:sz w:val="24"/>
          <w:szCs w:val="24"/>
          <w:highlight w:val="none"/>
        </w:rPr>
        <w:t>、浙江乐诚工程咨询有限公司：</w:t>
      </w:r>
    </w:p>
    <w:p>
      <w:pPr>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（姓名、性别、年龄）</w:t>
      </w:r>
      <w:r>
        <w:rPr>
          <w:rFonts w:hint="eastAsia" w:ascii="宋体" w:hAnsi="宋体" w:eastAsia="宋体" w:cs="宋体"/>
          <w:color w:val="auto"/>
          <w:sz w:val="24"/>
          <w:szCs w:val="24"/>
          <w:highlight w:val="none"/>
        </w:rPr>
        <w:t>在我单位任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（职务名称）职务，是我单位的法定代表人。</w:t>
      </w:r>
    </w:p>
    <w:p>
      <w:pPr>
        <w:spacing w:line="48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400" w:lineRule="exact"/>
        <w:jc w:val="left"/>
        <w:rPr>
          <w:rFonts w:hint="eastAsia" w:ascii="宋体" w:hAnsi="宋体" w:eastAsia="宋体" w:cs="宋体"/>
          <w:b/>
          <w:bCs/>
          <w:color w:val="auto"/>
          <w:sz w:val="24"/>
          <w:szCs w:val="24"/>
          <w:highlight w:val="none"/>
        </w:rPr>
      </w:pPr>
    </w:p>
    <w:p>
      <w:pPr>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法定代表人身份证号：（身份证复印附后）</w:t>
      </w:r>
    </w:p>
    <w:p>
      <w:pPr>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法定代表人电话：</w:t>
      </w:r>
    </w:p>
    <w:p>
      <w:pPr>
        <w:spacing w:line="400" w:lineRule="exact"/>
        <w:jc w:val="left"/>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投标人全称（电子签章）</w:t>
      </w:r>
    </w:p>
    <w:p>
      <w:pPr>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日 期：   年  月  日</w:t>
      </w:r>
    </w:p>
    <w:p>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598170</wp:posOffset>
                </wp:positionH>
                <wp:positionV relativeFrom="paragraph">
                  <wp:posOffset>158115</wp:posOffset>
                </wp:positionV>
                <wp:extent cx="3400425" cy="2377440"/>
                <wp:effectExtent l="4445" t="4445" r="5080" b="18415"/>
                <wp:wrapNone/>
                <wp:docPr id="10" name="Quad Arrow 4"/>
                <wp:cNvGraphicFramePr/>
                <a:graphic xmlns:a="http://schemas.openxmlformats.org/drawingml/2006/main">
                  <a:graphicData uri="http://schemas.microsoft.com/office/word/2010/wordprocessingShape">
                    <wps:wsp>
                      <wps:cNvSpPr txBox="1"/>
                      <wps:spPr>
                        <a:xfrm>
                          <a:off x="0" y="0"/>
                          <a:ext cx="3400425" cy="2377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cs="宋体"/>
                                <w:sz w:val="24"/>
                                <w:szCs w:val="24"/>
                              </w:rPr>
                            </w:pPr>
                            <w:r>
                              <w:rPr>
                                <w:rFonts w:hint="eastAsia" w:ascii="宋体" w:hAnsi="宋体" w:cs="宋体"/>
                                <w:sz w:val="24"/>
                                <w:szCs w:val="24"/>
                              </w:rPr>
                              <w:t>法人代表身份证复印件粘贴：</w:t>
                            </w:r>
                          </w:p>
                        </w:txbxContent>
                      </wps:txbx>
                      <wps:bodyPr upright="1"/>
                    </wps:wsp>
                  </a:graphicData>
                </a:graphic>
              </wp:anchor>
            </w:drawing>
          </mc:Choice>
          <mc:Fallback>
            <w:pict>
              <v:shape id="Quad Arrow 4" o:spid="_x0000_s1026" o:spt="202" type="#_x0000_t202" style="position:absolute;left:0pt;margin-left:47.1pt;margin-top:12.45pt;height:187.2pt;width:267.75pt;z-index:251661312;mso-width-relative:page;mso-height-relative:page;" fillcolor="#FFFFFF" filled="t" stroked="t" coordsize="21600,21600" o:gfxdata="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l8mDtgAAAAJAQAADwAAAAAAAAABACAAAAAiAAAAZHJzL2Rv&#10;d25yZXYueG1sUEsBAhQAFAAAAAgAh07iQCPieLwBAgAAOQQAAA4AAAAAAAAAAQAgAAAAJwEAAGRy&#10;cy9lMm9Eb2MueG1sUEsFBgAAAAAGAAYAWQEAAJoFAAAAAA==&#10;">
                <v:fill on="t" focussize="0,0"/>
                <v:stroke color="#000000" joinstyle="miter"/>
                <v:imagedata o:title=""/>
                <o:lock v:ext="edit" aspectratio="f"/>
                <v:textbox>
                  <w:txbxContent>
                    <w:p>
                      <w:pPr>
                        <w:rPr>
                          <w:rFonts w:ascii="宋体" w:hAnsi="宋体" w:cs="宋体"/>
                          <w:sz w:val="24"/>
                          <w:szCs w:val="24"/>
                        </w:rPr>
                      </w:pPr>
                      <w:r>
                        <w:rPr>
                          <w:rFonts w:hint="eastAsia" w:ascii="宋体" w:hAnsi="宋体" w:cs="宋体"/>
                          <w:sz w:val="24"/>
                          <w:szCs w:val="24"/>
                        </w:rPr>
                        <w:t>法人代表身份证复印件粘贴：</w:t>
                      </w:r>
                    </w:p>
                  </w:txbxContent>
                </v:textbox>
              </v:shape>
            </w:pict>
          </mc:Fallback>
        </mc:AlternateContent>
      </w: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pacing w:val="-6"/>
          <w:sz w:val="24"/>
          <w:highlight w:val="none"/>
        </w:rPr>
      </w:pPr>
      <w:r>
        <w:rPr>
          <w:rFonts w:hint="eastAsia" w:ascii="宋体" w:hAnsi="宋体" w:eastAsia="宋体" w:cs="宋体"/>
          <w:b/>
          <w:bCs/>
          <w:color w:val="auto"/>
          <w:spacing w:val="-6"/>
          <w:sz w:val="24"/>
          <w:highlight w:val="none"/>
        </w:rPr>
        <w:t>说明：投标人的法定代表人参加投标，须在投标文件中提供法定代表人资格证明书；投标人的法定代表人委托授权代表参加投标，须在投标文件中提供法定代表人授权委托书。</w:t>
      </w:r>
    </w:p>
    <w:p>
      <w:pPr>
        <w:rPr>
          <w:rFonts w:hint="eastAsia" w:ascii="宋体" w:hAnsi="宋体" w:eastAsia="宋体" w:cs="宋体"/>
          <w:color w:val="auto"/>
          <w:highlight w:val="none"/>
        </w:rPr>
      </w:pPr>
    </w:p>
    <w:p>
      <w:pP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br w:type="page"/>
      </w:r>
    </w:p>
    <w:p>
      <w:pPr>
        <w:snapToGrid w:val="0"/>
        <w:spacing w:line="360" w:lineRule="auto"/>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法定代表人授权委托书</w:t>
      </w:r>
    </w:p>
    <w:p>
      <w:pPr>
        <w:snapToGrid w:val="0"/>
        <w:spacing w:line="360" w:lineRule="auto"/>
        <w:rPr>
          <w:rFonts w:hint="eastAsia" w:ascii="宋体" w:hAnsi="宋体" w:eastAsia="宋体" w:cs="宋体"/>
          <w:b/>
          <w:bCs/>
          <w:color w:val="auto"/>
          <w:spacing w:val="-6"/>
          <w:sz w:val="24"/>
          <w:szCs w:val="24"/>
          <w:highlight w:val="none"/>
        </w:rPr>
      </w:pPr>
      <w:r>
        <w:rPr>
          <w:rFonts w:hint="eastAsia" w:ascii="宋体" w:hAnsi="宋体" w:eastAsia="宋体" w:cs="宋体"/>
          <w:bCs/>
          <w:color w:val="auto"/>
          <w:spacing w:val="-6"/>
          <w:sz w:val="24"/>
          <w:szCs w:val="24"/>
          <w:highlight w:val="none"/>
        </w:rPr>
        <w:t>致：</w:t>
      </w:r>
      <w:r>
        <w:rPr>
          <w:rFonts w:hint="eastAsia" w:ascii="宋体" w:hAnsi="宋体" w:cs="宋体"/>
          <w:color w:val="auto"/>
          <w:sz w:val="24"/>
          <w:szCs w:val="24"/>
          <w:highlight w:val="none"/>
          <w:lang w:eastAsia="zh-CN"/>
        </w:rPr>
        <w:t>文成县卫生健康局</w:t>
      </w:r>
      <w:r>
        <w:rPr>
          <w:rFonts w:hint="eastAsia" w:ascii="宋体" w:hAnsi="宋体" w:eastAsia="宋体" w:cs="宋体"/>
          <w:color w:val="auto"/>
          <w:sz w:val="24"/>
          <w:szCs w:val="24"/>
          <w:highlight w:val="none"/>
        </w:rPr>
        <w:t>、浙江乐诚工程咨询有限公司</w:t>
      </w:r>
      <w:r>
        <w:rPr>
          <w:rFonts w:hint="eastAsia" w:ascii="宋体" w:hAnsi="宋体" w:eastAsia="宋体" w:cs="宋体"/>
          <w:color w:val="auto"/>
          <w:spacing w:val="-6"/>
          <w:sz w:val="24"/>
          <w:szCs w:val="24"/>
          <w:highlight w:val="none"/>
        </w:rPr>
        <w:t>：</w:t>
      </w:r>
    </w:p>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我 </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（姓名）系</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（投标人名称）的法定代表人，现授权委托本单位在职职工</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 xml:space="preserve"> （姓名）（身份证号：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）以我方的名义参加</w:t>
      </w:r>
      <w:r>
        <w:rPr>
          <w:rFonts w:hint="eastAsia" w:ascii="宋体" w:hAnsi="宋体" w:cs="宋体"/>
          <w:color w:val="auto"/>
          <w:spacing w:val="-6"/>
          <w:sz w:val="24"/>
          <w:szCs w:val="24"/>
          <w:highlight w:val="none"/>
          <w:lang w:eastAsia="zh-CN"/>
        </w:rPr>
        <w:t>文成县卫生健康局</w:t>
      </w:r>
      <w:r>
        <w:rPr>
          <w:rFonts w:hint="eastAsia" w:ascii="宋体" w:hAnsi="宋体" w:eastAsia="宋体" w:cs="宋体"/>
          <w:color w:val="auto"/>
          <w:spacing w:val="-6"/>
          <w:sz w:val="24"/>
          <w:szCs w:val="24"/>
          <w:highlight w:val="none"/>
        </w:rPr>
        <w:t>（采购项目</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）的投标活动，并代表我方全权办理针对上述项目的投标、开标、评标、签约等具体事务和签署相关文件。</w:t>
      </w:r>
    </w:p>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我方对被授权人的签名负全部责任。</w:t>
      </w:r>
    </w:p>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在撤销授权的书面通知以前，本授权书一直有效。被授权人在授权书有效期内签署的所有文件不因授权的撤销而失效。</w:t>
      </w:r>
    </w:p>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被授权人无转委托权，特此委托。</w:t>
      </w:r>
    </w:p>
    <w:p>
      <w:pPr>
        <w:snapToGrid w:val="0"/>
        <w:spacing w:line="288" w:lineRule="auto"/>
        <w:rPr>
          <w:rFonts w:hint="eastAsia" w:ascii="宋体" w:hAnsi="宋体" w:eastAsia="宋体" w:cs="宋体"/>
          <w:color w:val="auto"/>
          <w:spacing w:val="-6"/>
          <w:sz w:val="24"/>
          <w:szCs w:val="24"/>
          <w:highlight w:val="none"/>
        </w:rPr>
      </w:pPr>
    </w:p>
    <w:p>
      <w:pPr>
        <w:snapToGrid w:val="0"/>
        <w:spacing w:line="288" w:lineRule="auto"/>
        <w:rPr>
          <w:rFonts w:hint="eastAsia" w:ascii="宋体" w:hAnsi="宋体" w:eastAsia="宋体" w:cs="宋体"/>
          <w:color w:val="auto"/>
          <w:spacing w:val="-6"/>
          <w:sz w:val="24"/>
          <w:szCs w:val="24"/>
          <w:highlight w:val="none"/>
        </w:rPr>
      </w:pPr>
    </w:p>
    <w:p>
      <w:pPr>
        <w:snapToGrid w:val="0"/>
        <w:spacing w:line="288" w:lineRule="auto"/>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被授权人签字：                              法定代表人签字或签章：</w:t>
      </w:r>
    </w:p>
    <w:p>
      <w:pPr>
        <w:snapToGrid w:val="0"/>
        <w:spacing w:line="288" w:lineRule="auto"/>
        <w:ind w:firstLine="912" w:firstLineChars="4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职务：                               职务：</w:t>
      </w:r>
    </w:p>
    <w:p>
      <w:pPr>
        <w:snapToGrid w:val="0"/>
        <w:spacing w:line="288"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被授权人身份证号码：</w:t>
      </w:r>
    </w:p>
    <w:p>
      <w:pPr>
        <w:pStyle w:val="3"/>
        <w:ind w:left="456" w:hanging="456"/>
        <w:rPr>
          <w:rFonts w:hint="eastAsia" w:ascii="宋体" w:hAnsi="宋体" w:eastAsia="宋体" w:cs="宋体"/>
          <w:color w:val="auto"/>
          <w:highlight w:val="none"/>
          <w:u w:val="single"/>
        </w:rPr>
      </w:pPr>
      <w:r>
        <w:rPr>
          <w:rFonts w:hint="eastAsia" w:ascii="宋体" w:hAnsi="宋体" w:eastAsia="宋体" w:cs="宋体"/>
          <w:color w:val="auto"/>
          <w:spacing w:val="-6"/>
          <w:szCs w:val="24"/>
          <w:highlight w:val="none"/>
        </w:rPr>
        <w:t>被授权人手机号码：</w:t>
      </w:r>
    </w:p>
    <w:p>
      <w:pPr>
        <w:snapToGrid w:val="0"/>
        <w:spacing w:line="288"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供应商名称（CA电子公章）：</w:t>
      </w:r>
    </w:p>
    <w:p>
      <w:pPr>
        <w:snapToGrid w:val="0"/>
        <w:spacing w:line="288" w:lineRule="auto"/>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年    月    日</w:t>
      </w:r>
    </w:p>
    <w:p>
      <w:pPr>
        <w:spacing w:line="288" w:lineRule="auto"/>
        <w:rPr>
          <w:rFonts w:hint="eastAsia" w:ascii="宋体" w:hAnsi="宋体" w:eastAsia="宋体" w:cs="宋体"/>
          <w:color w:val="auto"/>
          <w:spacing w:val="-6"/>
          <w:sz w:val="24"/>
          <w:szCs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512445</wp:posOffset>
                </wp:positionH>
                <wp:positionV relativeFrom="paragraph">
                  <wp:posOffset>148590</wp:posOffset>
                </wp:positionV>
                <wp:extent cx="5191125" cy="2360295"/>
                <wp:effectExtent l="4445" t="4445" r="5080" b="16510"/>
                <wp:wrapNone/>
                <wp:docPr id="11" name="文本框 9"/>
                <wp:cNvGraphicFramePr/>
                <a:graphic xmlns:a="http://schemas.openxmlformats.org/drawingml/2006/main">
                  <a:graphicData uri="http://schemas.microsoft.com/office/word/2010/wordprocessingShape">
                    <wps:wsp>
                      <wps:cNvSpPr txBox="1"/>
                      <wps:spPr>
                        <a:xfrm>
                          <a:off x="0" y="0"/>
                          <a:ext cx="5191125" cy="23602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sz w:val="24"/>
                              </w:rPr>
                            </w:pPr>
                            <w:r>
                              <w:rPr>
                                <w:rFonts w:ascii="新宋体" w:hAnsi="新宋体" w:eastAsia="新宋体"/>
                                <w:sz w:val="22"/>
                              </w:rPr>
                              <w:t xml:space="preserve">  </w:t>
                            </w: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ascii="宋体" w:hAnsi="宋体"/>
                                <w:sz w:val="24"/>
                              </w:rPr>
                              <w:t xml:space="preserve">       </w:t>
                            </w:r>
                            <w:r>
                              <w:rPr>
                                <w:rFonts w:hint="eastAsia" w:ascii="宋体" w:hAnsi="宋体"/>
                                <w:sz w:val="24"/>
                              </w:rPr>
                              <w:t>复印件粘贴处</w:t>
                            </w:r>
                          </w:p>
                        </w:txbxContent>
                      </wps:txbx>
                      <wps:bodyPr upright="1"/>
                    </wps:wsp>
                  </a:graphicData>
                </a:graphic>
              </wp:anchor>
            </w:drawing>
          </mc:Choice>
          <mc:Fallback>
            <w:pict>
              <v:shape id="文本框 9" o:spid="_x0000_s1026" o:spt="202" type="#_x0000_t202" style="position:absolute;left:0pt;margin-left:40.35pt;margin-top:11.7pt;height:185.85pt;width:408.75pt;z-index:251662336;mso-width-relative:page;mso-height-relative:page;" fillcolor="#FFFFFF" filled="t" stroked="t" coordsize="21600,21600" o:gfxdata="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SlfJ2QAAAAkBAAAPAAAAAAAAAAEAIAAA&#10;ACIAAABkcnMvZG93bnJldi54bWxQSwECFAAUAAAACACHTuJAM/pPpwsCAAA4BAAADgAAAAAAAAAB&#10;ACAAAAAoAQAAZHJzL2Uyb0RvYy54bWxQSwUGAAAAAAYABgBZAQAApQUAAAAA&#10;">
                <v:fill on="t" focussize="0,0"/>
                <v:stroke color="#000000" joinstyle="miter"/>
                <v:imagedata o:title=""/>
                <o:lock v:ext="edit" aspectratio="f"/>
                <v:textbox>
                  <w:txbxContent>
                    <w:p>
                      <w:pPr>
                        <w:rPr>
                          <w:rFonts w:ascii="宋体"/>
                          <w:sz w:val="24"/>
                        </w:rPr>
                      </w:pPr>
                      <w:r>
                        <w:rPr>
                          <w:rFonts w:ascii="新宋体" w:hAnsi="新宋体" w:eastAsia="新宋体"/>
                          <w:sz w:val="22"/>
                        </w:rPr>
                        <w:t xml:space="preserve">  </w:t>
                      </w: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ascii="宋体" w:hAnsi="宋体"/>
                          <w:sz w:val="24"/>
                        </w:rPr>
                        <w:t xml:space="preserve">       </w:t>
                      </w:r>
                      <w:r>
                        <w:rPr>
                          <w:rFonts w:hint="eastAsia" w:ascii="宋体" w:hAnsi="宋体"/>
                          <w:sz w:val="24"/>
                        </w:rPr>
                        <w:t>复印件粘贴处</w:t>
                      </w:r>
                    </w:p>
                  </w:txbxContent>
                </v:textbox>
              </v:shape>
            </w:pict>
          </mc:Fallback>
        </mc:AlternateContent>
      </w:r>
    </w:p>
    <w:p>
      <w:pPr>
        <w:spacing w:line="288" w:lineRule="auto"/>
        <w:rPr>
          <w:rFonts w:hint="eastAsia" w:ascii="宋体" w:hAnsi="宋体" w:eastAsia="宋体" w:cs="宋体"/>
          <w:color w:val="auto"/>
          <w:spacing w:val="-6"/>
          <w:sz w:val="24"/>
          <w:szCs w:val="24"/>
          <w:highlight w:val="none"/>
        </w:rPr>
      </w:pPr>
    </w:p>
    <w:p>
      <w:pPr>
        <w:spacing w:line="288" w:lineRule="auto"/>
        <w:rPr>
          <w:rFonts w:hint="eastAsia" w:ascii="宋体" w:hAnsi="宋体" w:eastAsia="宋体" w:cs="宋体"/>
          <w:color w:val="auto"/>
          <w:spacing w:val="-6"/>
          <w:sz w:val="24"/>
          <w:szCs w:val="24"/>
          <w:highlight w:val="none"/>
        </w:rPr>
      </w:pPr>
    </w:p>
    <w:p>
      <w:pPr>
        <w:spacing w:line="288" w:lineRule="auto"/>
        <w:rPr>
          <w:rFonts w:hint="eastAsia" w:ascii="宋体" w:hAnsi="宋体" w:eastAsia="宋体" w:cs="宋体"/>
          <w:color w:val="auto"/>
          <w:spacing w:val="-6"/>
          <w:sz w:val="24"/>
          <w:szCs w:val="24"/>
          <w:highlight w:val="none"/>
        </w:rPr>
      </w:pPr>
    </w:p>
    <w:p>
      <w:pPr>
        <w:spacing w:line="288" w:lineRule="auto"/>
        <w:rPr>
          <w:rFonts w:hint="eastAsia" w:ascii="宋体" w:hAnsi="宋体" w:eastAsia="宋体" w:cs="宋体"/>
          <w:color w:val="auto"/>
          <w:spacing w:val="-6"/>
          <w:sz w:val="24"/>
          <w:szCs w:val="24"/>
          <w:highlight w:val="none"/>
        </w:rPr>
      </w:pPr>
    </w:p>
    <w:p>
      <w:pPr>
        <w:spacing w:line="288" w:lineRule="auto"/>
        <w:rPr>
          <w:rFonts w:hint="eastAsia" w:ascii="宋体" w:hAnsi="宋体" w:eastAsia="宋体" w:cs="宋体"/>
          <w:color w:val="auto"/>
          <w:spacing w:val="-6"/>
          <w:sz w:val="24"/>
          <w:szCs w:val="24"/>
          <w:highlight w:val="none"/>
        </w:rPr>
      </w:pPr>
    </w:p>
    <w:p>
      <w:pPr>
        <w:spacing w:line="288" w:lineRule="auto"/>
        <w:rPr>
          <w:rFonts w:hint="eastAsia" w:ascii="宋体" w:hAnsi="宋体" w:eastAsia="宋体" w:cs="宋体"/>
          <w:color w:val="auto"/>
          <w:spacing w:val="-6"/>
          <w:sz w:val="24"/>
          <w:szCs w:val="24"/>
          <w:highlight w:val="none"/>
        </w:rPr>
      </w:pPr>
    </w:p>
    <w:p>
      <w:pPr>
        <w:spacing w:line="288" w:lineRule="auto"/>
        <w:rPr>
          <w:rFonts w:hint="eastAsia" w:ascii="宋体" w:hAnsi="宋体" w:eastAsia="宋体" w:cs="宋体"/>
          <w:color w:val="auto"/>
          <w:spacing w:val="-6"/>
          <w:sz w:val="24"/>
          <w:szCs w:val="24"/>
          <w:highlight w:val="none"/>
        </w:rPr>
      </w:pPr>
    </w:p>
    <w:p>
      <w:pPr>
        <w:spacing w:line="288" w:lineRule="auto"/>
        <w:rPr>
          <w:rFonts w:hint="eastAsia" w:ascii="宋体" w:hAnsi="宋体" w:eastAsia="宋体" w:cs="宋体"/>
          <w:color w:val="auto"/>
          <w:spacing w:val="-6"/>
          <w:sz w:val="24"/>
          <w:szCs w:val="24"/>
          <w:highlight w:val="none"/>
        </w:rPr>
      </w:pPr>
    </w:p>
    <w:p>
      <w:pPr>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法定代表人授权书</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adjustRightInd w:val="0"/>
        <w:snapToGrid w:val="0"/>
        <w:spacing w:line="288" w:lineRule="auto"/>
        <w:jc w:val="center"/>
        <w:rPr>
          <w:rFonts w:hint="eastAsia" w:ascii="宋体" w:hAnsi="宋体" w:eastAsia="宋体" w:cs="宋体"/>
          <w:b/>
          <w:color w:val="auto"/>
          <w:spacing w:val="-6"/>
          <w:szCs w:val="21"/>
          <w:highlight w:val="none"/>
        </w:rPr>
      </w:pPr>
      <w:r>
        <w:rPr>
          <w:rFonts w:hint="eastAsia" w:ascii="宋体" w:hAnsi="宋体" w:eastAsia="宋体" w:cs="宋体"/>
          <w:b/>
          <w:color w:val="auto"/>
          <w:spacing w:val="-6"/>
          <w:sz w:val="28"/>
          <w:szCs w:val="28"/>
          <w:highlight w:val="none"/>
        </w:rPr>
        <w:t>联合投标授权委托书（联合体投标须提供）</w:t>
      </w:r>
    </w:p>
    <w:p>
      <w:pPr>
        <w:pStyle w:val="9"/>
        <w:overflowPunct w:val="0"/>
        <w:spacing w:line="360" w:lineRule="auto"/>
        <w:ind w:firstLine="0"/>
        <w:rPr>
          <w:rFonts w:hint="eastAsia" w:ascii="宋体" w:hAnsi="宋体" w:eastAsia="宋体" w:cs="宋体"/>
          <w:color w:val="auto"/>
          <w:sz w:val="24"/>
          <w:szCs w:val="24"/>
          <w:highlight w:val="none"/>
        </w:rPr>
      </w:pPr>
    </w:p>
    <w:p>
      <w:pPr>
        <w:snapToGrid w:val="0"/>
        <w:spacing w:line="360" w:lineRule="auto"/>
        <w:ind w:firstLine="456" w:firstLineChars="200"/>
        <w:rPr>
          <w:rFonts w:hint="eastAsia" w:ascii="宋体" w:hAnsi="宋体" w:eastAsia="宋体" w:cs="宋体"/>
          <w:color w:val="auto"/>
          <w:spacing w:val="-6"/>
          <w:sz w:val="24"/>
          <w:szCs w:val="24"/>
          <w:highlight w:val="none"/>
        </w:rPr>
      </w:pPr>
      <w:bookmarkStart w:id="106" w:name="_Hlk112340065"/>
      <w:r>
        <w:rPr>
          <w:rFonts w:hint="eastAsia" w:ascii="宋体" w:hAnsi="宋体" w:eastAsia="宋体" w:cs="宋体"/>
          <w:color w:val="auto"/>
          <w:spacing w:val="-6"/>
          <w:sz w:val="24"/>
          <w:szCs w:val="24"/>
          <w:highlight w:val="none"/>
        </w:rPr>
        <w:t>本授权委托书声明：</w:t>
      </w:r>
    </w:p>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根据</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与</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签订的《联合协议》的内容，联合体牵头人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的法定代表人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现授权（ _________（姓名），身份证号码：_________________________，手机号码：</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）为联合投标代理人，代理人在投标、开标、评标、合同谈判过程中所签署的一切文件和处理与这有关的一切事务， 联合投标各方均予以认可并遵守。</w:t>
      </w:r>
    </w:p>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特此委托。</w:t>
      </w:r>
    </w:p>
    <w:p>
      <w:pPr>
        <w:snapToGrid w:val="0"/>
        <w:spacing w:line="360" w:lineRule="auto"/>
        <w:ind w:firstLine="456" w:firstLineChars="200"/>
        <w:rPr>
          <w:rFonts w:hint="eastAsia" w:ascii="宋体" w:hAnsi="宋体" w:eastAsia="宋体" w:cs="宋体"/>
          <w:color w:val="auto"/>
          <w:spacing w:val="-6"/>
          <w:sz w:val="24"/>
          <w:szCs w:val="24"/>
          <w:highlight w:val="none"/>
        </w:rPr>
      </w:pPr>
    </w:p>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授权人（签字或签章）：</w:t>
      </w:r>
    </w:p>
    <w:p>
      <w:pPr>
        <w:snapToGrid w:val="0"/>
        <w:spacing w:line="360" w:lineRule="auto"/>
        <w:ind w:firstLine="456" w:firstLineChars="200"/>
        <w:rPr>
          <w:rFonts w:hint="eastAsia" w:ascii="宋体" w:hAnsi="宋体" w:eastAsia="宋体" w:cs="宋体"/>
          <w:color w:val="auto"/>
          <w:spacing w:val="-6"/>
          <w:sz w:val="24"/>
          <w:szCs w:val="24"/>
          <w:highlight w:val="none"/>
        </w:rPr>
      </w:pPr>
    </w:p>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授权代表（签字）：</w:t>
      </w:r>
    </w:p>
    <w:bookmarkEnd w:id="106"/>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  年  月  日</w:t>
      </w:r>
    </w:p>
    <w:p>
      <w:pPr>
        <w:pStyle w:val="2"/>
        <w:spacing w:line="360" w:lineRule="auto"/>
        <w:ind w:left="0" w:firstLine="0" w:firstLineChars="0"/>
        <w:rPr>
          <w:rFonts w:hint="eastAsia" w:ascii="宋体" w:hAnsi="宋体" w:eastAsia="宋体" w:cs="宋体"/>
          <w:color w:val="auto"/>
          <w:spacing w:val="-6"/>
          <w:szCs w:val="24"/>
          <w:highlight w:val="none"/>
        </w:rPr>
      </w:pPr>
    </w:p>
    <w:p>
      <w:pPr>
        <w:snapToGrid w:val="0"/>
        <w:spacing w:line="360" w:lineRule="auto"/>
        <w:ind w:firstLine="460" w:firstLineChars="202"/>
        <w:rPr>
          <w:rFonts w:hint="eastAsia" w:ascii="宋体" w:hAnsi="宋体" w:eastAsia="宋体" w:cs="宋体"/>
          <w:color w:val="auto"/>
          <w:spacing w:val="-6"/>
          <w:sz w:val="24"/>
          <w:szCs w:val="24"/>
          <w:highlight w:val="none"/>
          <w:lang w:val="zh-CN"/>
        </w:rPr>
      </w:pPr>
    </w:p>
    <w:p>
      <w:pPr>
        <w:snapToGrid w:val="0"/>
        <w:spacing w:line="360" w:lineRule="auto"/>
        <w:ind w:firstLine="460" w:firstLineChars="202"/>
        <w:rPr>
          <w:rFonts w:hint="eastAsia" w:ascii="宋体" w:hAnsi="宋体" w:eastAsia="宋体" w:cs="宋体"/>
          <w:color w:val="auto"/>
          <w:spacing w:val="-6"/>
          <w:sz w:val="24"/>
          <w:szCs w:val="24"/>
          <w:highlight w:val="none"/>
          <w:lang w:val="zh-CN"/>
        </w:rPr>
      </w:pPr>
      <w:r>
        <w:rPr>
          <w:rFonts w:hint="eastAsia" w:ascii="宋体" w:hAnsi="宋体" w:eastAsia="宋体" w:cs="宋体"/>
          <w:color w:val="auto"/>
          <w:spacing w:val="-6"/>
          <w:sz w:val="24"/>
          <w:szCs w:val="24"/>
          <w:highlight w:val="none"/>
          <w:lang w:val="zh-CN"/>
        </w:rPr>
        <w:t>联合体成员名称(公章)：</w:t>
      </w:r>
    </w:p>
    <w:p>
      <w:pPr>
        <w:snapToGrid w:val="0"/>
        <w:spacing w:line="360" w:lineRule="auto"/>
        <w:ind w:firstLine="460" w:firstLineChars="202"/>
        <w:rPr>
          <w:rFonts w:hint="eastAsia" w:ascii="宋体" w:hAnsi="宋体" w:eastAsia="宋体" w:cs="宋体"/>
          <w:color w:val="auto"/>
          <w:spacing w:val="-6"/>
          <w:sz w:val="24"/>
          <w:szCs w:val="24"/>
          <w:highlight w:val="none"/>
          <w:lang w:val="zh-CN"/>
        </w:rPr>
      </w:pPr>
    </w:p>
    <w:p>
      <w:pPr>
        <w:snapToGrid w:val="0"/>
        <w:spacing w:line="360" w:lineRule="auto"/>
        <w:ind w:firstLine="460" w:firstLineChars="202"/>
        <w:rPr>
          <w:rFonts w:hint="eastAsia" w:ascii="宋体" w:hAnsi="宋体" w:eastAsia="宋体" w:cs="宋体"/>
          <w:color w:val="auto"/>
          <w:spacing w:val="-6"/>
          <w:sz w:val="24"/>
          <w:szCs w:val="24"/>
          <w:highlight w:val="none"/>
          <w:lang w:val="zh-CN"/>
        </w:rPr>
      </w:pPr>
      <w:r>
        <w:rPr>
          <w:rFonts w:hint="eastAsia" w:ascii="宋体" w:hAnsi="宋体" w:eastAsia="宋体" w:cs="宋体"/>
          <w:color w:val="auto"/>
          <w:spacing w:val="-6"/>
          <w:sz w:val="24"/>
          <w:szCs w:val="24"/>
          <w:highlight w:val="none"/>
          <w:lang w:val="zh-CN"/>
        </w:rPr>
        <w:t>联合体成员名称(公章)：</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附件7</w:t>
      </w:r>
    </w:p>
    <w:p>
      <w:pPr>
        <w:spacing w:line="4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 标 函</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u w:val="single"/>
          <w:lang w:eastAsia="zh-CN"/>
        </w:rPr>
        <w:t>文成县卫生健康局</w:t>
      </w:r>
      <w:r>
        <w:rPr>
          <w:rFonts w:hint="eastAsia" w:ascii="宋体" w:hAnsi="宋体" w:eastAsia="宋体" w:cs="宋体"/>
          <w:color w:val="auto"/>
          <w:sz w:val="24"/>
          <w:szCs w:val="24"/>
          <w:highlight w:val="none"/>
          <w:u w:val="single"/>
        </w:rPr>
        <w:t>、浙江乐诚工程咨询有限公司</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cs="宋体"/>
          <w:color w:val="auto"/>
          <w:sz w:val="24"/>
          <w:szCs w:val="24"/>
          <w:highlight w:val="none"/>
          <w:lang w:eastAsia="zh-CN"/>
        </w:rPr>
        <w:t>文成县卫生健康局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）的投标邀请，我方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（投标人名称）作为投标人正式授权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（授权代表全名，职务）代表我方处理本次项目中的一切投标相关事宜。</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我方己完全明白招标文件的所有条款要求，并重申以下几点：</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（一）本投标文件的有效期自提交投标文件的截止之日起 </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天内有效，如中标，有效期将延至合同终止日为止；</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（二）我方已详细研究了招标文件的所有内容包括修改书（如有）和所有已提供的参考资料以及有关附件，我方完全理解并同意放弃在此方面提出含糊意见或误解的一切权力；</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（三）我方明白并愿意在规定的开标时间之后，投标人在投标有效期内不撤回投标；</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（四）我方同意提供按照贵方可能要求的与投标有关的一切数据或资料；</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（五）我方理解贵方不一定接受最低报价。</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（六）如中标，我方承诺按照招标文件规定向你方递交履约保证金，本投标文件至本项目合同履行完毕止均保持有效，本投标人将按“招标文件”及政府采购法律、法规的规定履行合同责任和义务。</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（七）所有与本投标有关的函件请发往下列地址：</w:t>
      </w:r>
    </w:p>
    <w:p>
      <w:pPr>
        <w:spacing w:line="40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r>
        <w:rPr>
          <w:rFonts w:hint="eastAsia" w:ascii="宋体" w:hAnsi="宋体" w:eastAsia="宋体" w:cs="宋体"/>
          <w:color w:val="auto"/>
          <w:sz w:val="24"/>
          <w:szCs w:val="24"/>
          <w:highlight w:val="none"/>
          <w:u w:val="single"/>
        </w:rPr>
        <w:t xml:space="preserve">                　　  　　</w:t>
      </w:r>
    </w:p>
    <w:p>
      <w:pPr>
        <w:spacing w:line="40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pPr>
        <w:spacing w:line="400" w:lineRule="exact"/>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spacing w:line="40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电子邮件</w:t>
      </w:r>
      <w:r>
        <w:rPr>
          <w:rFonts w:hint="eastAsia" w:ascii="宋体" w:hAnsi="宋体" w:eastAsia="宋体" w:cs="宋体"/>
          <w:color w:val="auto"/>
          <w:sz w:val="24"/>
          <w:szCs w:val="24"/>
          <w:highlight w:val="none"/>
          <w:u w:val="single"/>
        </w:rPr>
        <w:t xml:space="preserve">         　　         </w:t>
      </w:r>
    </w:p>
    <w:p>
      <w:pPr>
        <w:spacing w:line="400" w:lineRule="exact"/>
        <w:rPr>
          <w:rFonts w:hint="eastAsia" w:ascii="宋体" w:hAnsi="宋体" w:eastAsia="宋体" w:cs="宋体"/>
          <w:color w:val="auto"/>
          <w:sz w:val="24"/>
          <w:szCs w:val="24"/>
          <w:highlight w:val="none"/>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lang w:eastAsia="zh-CN"/>
        </w:rPr>
        <w:t xml:space="preserve">    年  月  日</w:t>
      </w: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spacing w:line="400" w:lineRule="exact"/>
        <w:rPr>
          <w:rFonts w:hint="eastAsia" w:ascii="宋体" w:hAnsi="宋体" w:eastAsia="宋体" w:cs="宋体"/>
          <w:b/>
          <w:bCs/>
          <w:color w:val="auto"/>
          <w:sz w:val="28"/>
          <w:szCs w:val="28"/>
          <w:highlight w:val="none"/>
          <w:lang w:eastAsia="zh-CN"/>
        </w:rPr>
      </w:pPr>
      <w:r>
        <w:rPr>
          <w:rFonts w:hint="eastAsia" w:ascii="宋体" w:hAnsi="宋体" w:eastAsia="宋体" w:cs="宋体"/>
          <w:b/>
          <w:color w:val="auto"/>
          <w:sz w:val="24"/>
          <w:szCs w:val="24"/>
          <w:highlight w:val="none"/>
          <w:lang w:eastAsia="zh-CN"/>
        </w:rPr>
        <w:t>附件8</w:t>
      </w:r>
    </w:p>
    <w:p>
      <w:pPr>
        <w:snapToGrid w:val="0"/>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投标声明书</w:t>
      </w:r>
    </w:p>
    <w:p>
      <w:pPr>
        <w:spacing w:line="400" w:lineRule="exact"/>
        <w:rPr>
          <w:rFonts w:hint="eastAsia" w:ascii="宋体" w:hAnsi="宋体" w:eastAsia="宋体" w:cs="宋体"/>
          <w:color w:val="auto"/>
          <w:sz w:val="24"/>
          <w:szCs w:val="24"/>
          <w:highlight w:val="none"/>
        </w:rPr>
      </w:pP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u w:val="single"/>
          <w:lang w:eastAsia="zh-CN"/>
        </w:rPr>
        <w:t>文成县卫生健康局</w:t>
      </w:r>
      <w:r>
        <w:rPr>
          <w:rFonts w:hint="eastAsia" w:ascii="宋体" w:hAnsi="宋体" w:eastAsia="宋体" w:cs="宋体"/>
          <w:color w:val="auto"/>
          <w:sz w:val="24"/>
          <w:szCs w:val="24"/>
          <w:highlight w:val="none"/>
          <w:u w:val="single"/>
        </w:rPr>
        <w:t>、浙江乐诚工程咨询有限公司</w:t>
      </w:r>
      <w:r>
        <w:rPr>
          <w:rFonts w:hint="eastAsia" w:ascii="宋体" w:hAnsi="宋体" w:eastAsia="宋体" w:cs="宋体"/>
          <w:color w:val="auto"/>
          <w:sz w:val="24"/>
          <w:szCs w:val="24"/>
          <w:highlight w:val="none"/>
        </w:rPr>
        <w:t>：</w:t>
      </w:r>
    </w:p>
    <w:p>
      <w:pPr>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系中华人民共和国合法企业，经营地址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napToGrid w:val="0"/>
        <w:spacing w:line="40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的法定代表人，我方愿意参加贵方组织的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）的投标，为便于贵方公正、择优地确定中标人及其服务，我方就本次投标有关事项郑重声明如下：</w:t>
      </w:r>
    </w:p>
    <w:p>
      <w:pPr>
        <w:spacing w:line="400" w:lineRule="exact"/>
        <w:ind w:firstLine="456"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1.我方向贵方提交的所有投标文件、资料都是准确的和真实的；</w:t>
      </w:r>
    </w:p>
    <w:p>
      <w:pPr>
        <w:spacing w:line="400" w:lineRule="exact"/>
        <w:ind w:firstLine="456"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2.我方不是采购人的附属机构；在获知本项目采购信息后，与采购人聘请的为此项目提供咨询服务的公司及其附属机构没有任何联系；</w:t>
      </w:r>
    </w:p>
    <w:p>
      <w:pPr>
        <w:spacing w:line="400" w:lineRule="exact"/>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3.我方在参加政府采购活动前3年内：</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pacing w:val="-6"/>
          <w:sz w:val="24"/>
          <w:szCs w:val="24"/>
          <w:highlight w:val="none"/>
        </w:rPr>
        <w:t>（填写“有”或“没有”，如实填写，如不填写视同未按要求填写）</w:t>
      </w:r>
      <w:r>
        <w:rPr>
          <w:rFonts w:hint="eastAsia" w:ascii="宋体" w:hAnsi="宋体" w:eastAsia="宋体" w:cs="宋体"/>
          <w:color w:val="auto"/>
          <w:spacing w:val="-6"/>
          <w:sz w:val="24"/>
          <w:szCs w:val="24"/>
          <w:highlight w:val="none"/>
        </w:rPr>
        <w:t>因违法经营被禁止在一定期限内参加政府采购活动，且期限未满的情形；</w:t>
      </w:r>
    </w:p>
    <w:p>
      <w:pPr>
        <w:spacing w:line="400" w:lineRule="exact"/>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4.以上事项如有虚假或隐瞒，我方愿意承担一切后果和责任。</w:t>
      </w:r>
    </w:p>
    <w:p>
      <w:pPr>
        <w:pStyle w:val="13"/>
        <w:tabs>
          <w:tab w:val="left" w:pos="939"/>
        </w:tabs>
        <w:snapToGrid w:val="0"/>
        <w:spacing w:line="400" w:lineRule="exact"/>
        <w:ind w:left="458" w:leftChars="0" w:hanging="458" w:hangingChars="191"/>
        <w:rPr>
          <w:rFonts w:hint="eastAsia" w:ascii="宋体" w:hAnsi="宋体" w:eastAsia="宋体" w:cs="宋体"/>
          <w:color w:val="auto"/>
          <w:sz w:val="24"/>
          <w:szCs w:val="24"/>
          <w:highlight w:val="none"/>
        </w:rPr>
      </w:pPr>
    </w:p>
    <w:p>
      <w:pPr>
        <w:pStyle w:val="59"/>
        <w:snapToGrid w:val="0"/>
        <w:spacing w:line="400" w:lineRule="exact"/>
        <w:ind w:firstLine="200"/>
        <w:rPr>
          <w:rFonts w:hint="eastAsia" w:ascii="宋体" w:hAnsi="宋体" w:eastAsia="宋体" w:cs="宋体"/>
          <w:color w:val="auto"/>
          <w:highlight w:val="none"/>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lang w:eastAsia="zh-CN"/>
        </w:rPr>
        <w:t xml:space="preserve">    年  月  日</w:t>
      </w:r>
    </w:p>
    <w:p>
      <w:pP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br w:type="page"/>
      </w:r>
    </w:p>
    <w:p>
      <w:pPr>
        <w:spacing w:line="400" w:lineRule="exact"/>
        <w:rPr>
          <w:rFonts w:hint="eastAsia" w:ascii="宋体" w:hAnsi="宋体" w:eastAsia="宋体" w:cs="宋体"/>
          <w:b/>
          <w:color w:val="auto"/>
          <w:spacing w:val="-6"/>
          <w:sz w:val="24"/>
          <w:highlight w:val="none"/>
          <w:lang w:eastAsia="zh-CN"/>
        </w:rPr>
      </w:pPr>
      <w:r>
        <w:rPr>
          <w:rFonts w:hint="eastAsia" w:ascii="宋体" w:hAnsi="宋体" w:eastAsia="宋体" w:cs="宋体"/>
          <w:b/>
          <w:color w:val="auto"/>
          <w:sz w:val="24"/>
          <w:szCs w:val="24"/>
          <w:highlight w:val="none"/>
          <w:lang w:eastAsia="zh-CN"/>
        </w:rPr>
        <w:t>附件9</w:t>
      </w:r>
    </w:p>
    <w:p>
      <w:pPr>
        <w:spacing w:line="400" w:lineRule="exact"/>
        <w:ind w:firstLine="435"/>
        <w:jc w:val="center"/>
        <w:rPr>
          <w:rFonts w:hint="eastAsia" w:ascii="宋体" w:hAnsi="宋体" w:eastAsia="宋体" w:cs="宋体"/>
          <w:b/>
          <w:color w:val="auto"/>
          <w:spacing w:val="-6"/>
          <w:sz w:val="30"/>
          <w:szCs w:val="30"/>
          <w:highlight w:val="none"/>
        </w:rPr>
      </w:pPr>
      <w:r>
        <w:rPr>
          <w:rFonts w:hint="eastAsia" w:ascii="宋体" w:hAnsi="宋体" w:eastAsia="宋体" w:cs="宋体"/>
          <w:b/>
          <w:color w:val="auto"/>
          <w:spacing w:val="-6"/>
          <w:sz w:val="30"/>
          <w:szCs w:val="30"/>
          <w:highlight w:val="none"/>
        </w:rPr>
        <w:t>投标人基本情况表</w:t>
      </w:r>
    </w:p>
    <w:tbl>
      <w:tblPr>
        <w:tblStyle w:val="32"/>
        <w:tblW w:w="922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p>
        </w:tc>
        <w:tc>
          <w:tcPr>
            <w:tcW w:w="8490" w:type="dxa"/>
            <w:gridSpan w:val="3"/>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p>
        </w:tc>
        <w:tc>
          <w:tcPr>
            <w:tcW w:w="8490" w:type="dxa"/>
            <w:gridSpan w:val="3"/>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3</w:t>
            </w:r>
          </w:p>
        </w:tc>
        <w:tc>
          <w:tcPr>
            <w:tcW w:w="8490" w:type="dxa"/>
            <w:gridSpan w:val="3"/>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4</w:t>
            </w:r>
          </w:p>
        </w:tc>
        <w:tc>
          <w:tcPr>
            <w:tcW w:w="4305" w:type="dxa"/>
            <w:gridSpan w:val="2"/>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电话：</w:t>
            </w:r>
          </w:p>
        </w:tc>
        <w:tc>
          <w:tcPr>
            <w:tcW w:w="4185" w:type="dxa"/>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5</w:t>
            </w:r>
          </w:p>
        </w:tc>
        <w:tc>
          <w:tcPr>
            <w:tcW w:w="4305" w:type="dxa"/>
            <w:gridSpan w:val="2"/>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传真：</w:t>
            </w:r>
          </w:p>
        </w:tc>
        <w:tc>
          <w:tcPr>
            <w:tcW w:w="4185" w:type="dxa"/>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6</w:t>
            </w:r>
          </w:p>
        </w:tc>
        <w:tc>
          <w:tcPr>
            <w:tcW w:w="4305" w:type="dxa"/>
            <w:gridSpan w:val="2"/>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注册地：</w:t>
            </w:r>
          </w:p>
        </w:tc>
        <w:tc>
          <w:tcPr>
            <w:tcW w:w="4185" w:type="dxa"/>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7</w:t>
            </w:r>
          </w:p>
        </w:tc>
        <w:tc>
          <w:tcPr>
            <w:tcW w:w="8490" w:type="dxa"/>
            <w:gridSpan w:val="3"/>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公司的资质等级（请附上有关证书）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8</w:t>
            </w:r>
          </w:p>
        </w:tc>
        <w:tc>
          <w:tcPr>
            <w:tcW w:w="8490" w:type="dxa"/>
            <w:gridSpan w:val="3"/>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公司（是否通过，何种）质量保证体系认证（如通过请附相关证书，提供认证机构年审监督报告）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9</w:t>
            </w:r>
          </w:p>
        </w:tc>
        <w:tc>
          <w:tcPr>
            <w:tcW w:w="2520" w:type="dxa"/>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其他需要说明的情况</w:t>
            </w:r>
          </w:p>
        </w:tc>
        <w:tc>
          <w:tcPr>
            <w:tcW w:w="5970" w:type="dxa"/>
            <w:gridSpan w:val="2"/>
            <w:vAlign w:val="center"/>
          </w:tcPr>
          <w:p>
            <w:pPr>
              <w:spacing w:line="400" w:lineRule="exact"/>
              <w:rPr>
                <w:rFonts w:hint="eastAsia" w:ascii="宋体" w:hAnsi="宋体" w:eastAsia="宋体" w:cs="宋体"/>
                <w:color w:val="auto"/>
                <w:spacing w:val="-6"/>
                <w:sz w:val="24"/>
                <w:highlight w:val="none"/>
              </w:rPr>
            </w:pPr>
          </w:p>
        </w:tc>
      </w:tr>
    </w:tbl>
    <w:p>
      <w:pPr>
        <w:spacing w:line="400" w:lineRule="exact"/>
        <w:rPr>
          <w:rFonts w:hint="eastAsia" w:ascii="宋体" w:hAnsi="宋体" w:eastAsia="宋体" w:cs="宋体"/>
          <w:color w:val="auto"/>
          <w:spacing w:val="-6"/>
          <w:sz w:val="24"/>
          <w:highlight w:val="none"/>
        </w:rPr>
      </w:pP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说明：所有投标人都须填写此表。</w:t>
      </w:r>
    </w:p>
    <w:p>
      <w:pPr>
        <w:spacing w:line="400" w:lineRule="exact"/>
        <w:rPr>
          <w:rFonts w:hint="eastAsia" w:ascii="宋体" w:hAnsi="宋体" w:eastAsia="宋体" w:cs="宋体"/>
          <w:color w:val="auto"/>
          <w:spacing w:val="-6"/>
          <w:sz w:val="24"/>
          <w:highlight w:val="none"/>
        </w:rPr>
      </w:pPr>
    </w:p>
    <w:p>
      <w:pPr>
        <w:spacing w:line="400" w:lineRule="exact"/>
        <w:rPr>
          <w:rFonts w:hint="eastAsia" w:ascii="宋体" w:hAnsi="宋体" w:eastAsia="宋体" w:cs="宋体"/>
          <w:color w:val="auto"/>
          <w:spacing w:val="-6"/>
          <w:sz w:val="24"/>
          <w:highlight w:val="none"/>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lang w:eastAsia="zh-CN"/>
        </w:rPr>
        <w:t xml:space="preserve">    年  月  日</w:t>
      </w:r>
    </w:p>
    <w:p>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pPr>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附件10</w:t>
      </w:r>
    </w:p>
    <w:p>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节能、环保产品证明材料（如有）</w:t>
      </w:r>
    </w:p>
    <w:p>
      <w:pPr>
        <w:spacing w:line="360" w:lineRule="exact"/>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exact"/>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1、根据财政部 发展改革委 生态环境部 市场监管总局关于调整优化节能产品、环境标志产品政府采购执行机制的通知财库〔2019〕9号文件要求，投标人所投产品如属于节能产品政府采购品目清单或环境标志产品政府采购品目清单内的（详见：</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"http://www.ccgp.gov.cn/zcfg/mof/201903/t20190330_11833800.htm" \t "http://www.ccgp.gov.cn/jnhb/jnhbqd/_blank" \o "关于印发环境标志产品政府采购品目清单的通知（财库〔2019〕18号）" </w:instrText>
      </w:r>
      <w:r>
        <w:rPr>
          <w:rFonts w:hint="eastAsia" w:ascii="宋体" w:hAnsi="宋体" w:eastAsia="宋体" w:cs="宋体"/>
          <w:color w:val="auto"/>
          <w:highlight w:val="none"/>
        </w:rPr>
        <w:fldChar w:fldCharType="separate"/>
      </w:r>
      <w:r>
        <w:rPr>
          <w:rFonts w:hint="eastAsia" w:ascii="宋体" w:hAnsi="宋体" w:eastAsia="宋体" w:cs="宋体"/>
          <w:b/>
          <w:color w:val="auto"/>
          <w:sz w:val="22"/>
          <w:highlight w:val="none"/>
        </w:rPr>
        <w:t>关于印发环境标志产品政府采购品目清单的通知（财库〔2019〕18号）</w:t>
      </w:r>
      <w:r>
        <w:rPr>
          <w:rFonts w:hint="eastAsia" w:ascii="宋体" w:hAnsi="宋体" w:eastAsia="宋体" w:cs="宋体"/>
          <w:b/>
          <w:color w:val="auto"/>
          <w:sz w:val="22"/>
          <w:highlight w:val="none"/>
        </w:rPr>
        <w:fldChar w:fldCharType="end"/>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"http://www.ccgp.gov.cn/zcfg/mof/201903/t20190330_11833800.htm" </w:instrText>
      </w:r>
      <w:r>
        <w:rPr>
          <w:rFonts w:hint="eastAsia" w:ascii="宋体" w:hAnsi="宋体" w:eastAsia="宋体" w:cs="宋体"/>
          <w:color w:val="auto"/>
          <w:highlight w:val="none"/>
        </w:rPr>
        <w:fldChar w:fldCharType="separate"/>
      </w:r>
      <w:r>
        <w:rPr>
          <w:rFonts w:hint="eastAsia" w:ascii="宋体" w:hAnsi="宋体" w:eastAsia="宋体" w:cs="宋体"/>
          <w:b/>
          <w:color w:val="auto"/>
          <w:sz w:val="22"/>
          <w:highlight w:val="none"/>
        </w:rPr>
        <w:t>http://www.ccgp.gov.cn/zcfg/mof/201903/t20190330_11833800.htm</w:t>
      </w:r>
      <w:r>
        <w:rPr>
          <w:rFonts w:hint="eastAsia" w:ascii="宋体" w:hAnsi="宋体" w:eastAsia="宋体" w:cs="宋体"/>
          <w:b/>
          <w:color w:val="auto"/>
          <w:sz w:val="22"/>
          <w:highlight w:val="none"/>
        </w:rPr>
        <w:fldChar w:fldCharType="end"/>
      </w:r>
      <w:r>
        <w:rPr>
          <w:rFonts w:hint="eastAsia" w:ascii="宋体" w:hAnsi="宋体" w:eastAsia="宋体" w:cs="宋体"/>
          <w:b/>
          <w:color w:val="auto"/>
          <w:sz w:val="22"/>
          <w:highlight w:val="none"/>
        </w:rPr>
        <w:t>和</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"http://www.ccgp.gov.cn/zcfg/mof/201904/t20190403_11849836.htm" \t "http://www.ccgp.gov.cn/jnhb/jnhbqd/_blank" \o "关于印发节能产品政府采购品目清单的通知（财库〔2019〕19号）" </w:instrText>
      </w:r>
      <w:r>
        <w:rPr>
          <w:rFonts w:hint="eastAsia" w:ascii="宋体" w:hAnsi="宋体" w:eastAsia="宋体" w:cs="宋体"/>
          <w:color w:val="auto"/>
          <w:highlight w:val="none"/>
        </w:rPr>
        <w:fldChar w:fldCharType="separate"/>
      </w:r>
      <w:r>
        <w:rPr>
          <w:rFonts w:hint="eastAsia" w:ascii="宋体" w:hAnsi="宋体" w:eastAsia="宋体" w:cs="宋体"/>
          <w:b/>
          <w:color w:val="auto"/>
          <w:sz w:val="22"/>
          <w:highlight w:val="none"/>
        </w:rPr>
        <w:t>关于印发节能产品政府采购品目清单的通知（财库〔2019〕19号）</w:t>
      </w:r>
      <w:r>
        <w:rPr>
          <w:rFonts w:hint="eastAsia" w:ascii="宋体" w:hAnsi="宋体" w:eastAsia="宋体" w:cs="宋体"/>
          <w:b/>
          <w:color w:val="auto"/>
          <w:sz w:val="22"/>
          <w:highlight w:val="none"/>
        </w:rPr>
        <w:fldChar w:fldCharType="end"/>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"http://www.ccgp.gov.cn/zcfg/mof/201904/t20190403_11849836.htm" </w:instrText>
      </w:r>
      <w:r>
        <w:rPr>
          <w:rFonts w:hint="eastAsia" w:ascii="宋体" w:hAnsi="宋体" w:eastAsia="宋体" w:cs="宋体"/>
          <w:color w:val="auto"/>
          <w:highlight w:val="none"/>
        </w:rPr>
        <w:fldChar w:fldCharType="separate"/>
      </w:r>
      <w:r>
        <w:rPr>
          <w:rFonts w:hint="eastAsia" w:ascii="宋体" w:hAnsi="宋体" w:eastAsia="宋体" w:cs="宋体"/>
          <w:b/>
          <w:color w:val="auto"/>
          <w:sz w:val="22"/>
          <w:highlight w:val="none"/>
        </w:rPr>
        <w:t>http://www.ccgp.gov.cn/zcfg/mof/201904/t20190403_11849836.htm</w:t>
      </w:r>
      <w:r>
        <w:rPr>
          <w:rFonts w:hint="eastAsia" w:ascii="宋体" w:hAnsi="宋体" w:eastAsia="宋体" w:cs="宋体"/>
          <w:b/>
          <w:color w:val="auto"/>
          <w:sz w:val="22"/>
          <w:highlight w:val="none"/>
        </w:rPr>
        <w:fldChar w:fldCharType="end"/>
      </w:r>
      <w:r>
        <w:rPr>
          <w:rFonts w:hint="eastAsia" w:ascii="宋体" w:hAnsi="宋体" w:eastAsia="宋体" w:cs="宋体"/>
          <w:b/>
          <w:color w:val="auto"/>
          <w:sz w:val="22"/>
          <w:highlight w:val="none"/>
        </w:rPr>
        <w:t>），投标人提供投标产品经国家确定的认证机构（市场监管总局关于发布参与实施政府采购节能产品、环境标志产品认证机构名录的公告（2019年第16号）http://www.ccgp.gov.cn/zcfg/bwfile/201904/t20190403_11853998.htm）出具的处于有效期之内的节能产品、环境标志产品认证证书”；</w:t>
      </w:r>
    </w:p>
    <w:p>
      <w:pPr>
        <w:spacing w:line="360" w:lineRule="exact"/>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▲注：采购需求中要求提供的产品属于节能产品政府采购品目清单中强制采购的，投标人须提供该清单内产品，并按上款要求提供节能产品认证证书，否则其投标无效。</w:t>
      </w:r>
    </w:p>
    <w:p>
      <w:pPr>
        <w:spacing w:line="360" w:lineRule="exact"/>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2、评审小组成员审查此项只根据投标文件本身的内容，不再寻求其他的外部证据。</w:t>
      </w:r>
    </w:p>
    <w:p>
      <w:pPr>
        <w:spacing w:line="400" w:lineRule="exact"/>
        <w:jc w:val="center"/>
        <w:rPr>
          <w:rFonts w:hint="eastAsia" w:ascii="宋体" w:hAnsi="宋体" w:eastAsia="宋体" w:cs="宋体"/>
          <w:b/>
          <w:color w:val="auto"/>
          <w:sz w:val="24"/>
          <w:szCs w:val="24"/>
          <w:highlight w:val="none"/>
        </w:rPr>
      </w:pPr>
    </w:p>
    <w:p>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w:t>
      </w:r>
    </w:p>
    <w:p>
      <w:pPr>
        <w:rPr>
          <w:rFonts w:hint="eastAsia" w:ascii="宋体" w:hAnsi="宋体" w:eastAsia="宋体" w:cs="宋体"/>
          <w:color w:val="auto"/>
          <w:sz w:val="22"/>
          <w:highlight w:val="none"/>
        </w:rPr>
      </w:pPr>
      <w:r>
        <w:rPr>
          <w:rFonts w:hint="eastAsia" w:ascii="宋体" w:hAnsi="宋体" w:eastAsia="宋体" w:cs="宋体"/>
          <w:color w:val="auto"/>
          <w:sz w:val="22"/>
          <w:highlight w:val="none"/>
        </w:rPr>
        <w:t>（1）投标产品中节能产品明细清单</w:t>
      </w:r>
    </w:p>
    <w:tbl>
      <w:tblPr>
        <w:tblStyle w:val="3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41"/>
        <w:gridCol w:w="1342"/>
        <w:gridCol w:w="1342"/>
        <w:gridCol w:w="1342"/>
        <w:gridCol w:w="1920"/>
        <w:gridCol w:w="764"/>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制造商</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品牌</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产品名称、规格型号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节能产品认证证书编号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节能产品认证证书有效截止日期</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产品所在节能产品政府采购品目清单品目序号</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认证机构</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4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4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r>
    </w:tbl>
    <w:p>
      <w:pPr>
        <w:rPr>
          <w:rFonts w:hint="eastAsia" w:ascii="宋体" w:hAnsi="宋体" w:eastAsia="宋体" w:cs="宋体"/>
          <w:color w:val="auto"/>
          <w:sz w:val="22"/>
          <w:highlight w:val="none"/>
        </w:rPr>
      </w:pPr>
    </w:p>
    <w:p>
      <w:pPr>
        <w:rPr>
          <w:rFonts w:hint="eastAsia" w:ascii="宋体" w:hAnsi="宋体" w:eastAsia="宋体" w:cs="宋体"/>
          <w:color w:val="auto"/>
          <w:sz w:val="22"/>
          <w:highlight w:val="none"/>
        </w:rPr>
      </w:pPr>
      <w:r>
        <w:rPr>
          <w:rFonts w:hint="eastAsia" w:ascii="宋体" w:hAnsi="宋体" w:eastAsia="宋体" w:cs="宋体"/>
          <w:color w:val="auto"/>
          <w:sz w:val="22"/>
          <w:highlight w:val="none"/>
        </w:rPr>
        <w:t>（2）投标产品中环保产品明细清单</w:t>
      </w:r>
    </w:p>
    <w:tbl>
      <w:tblPr>
        <w:tblStyle w:val="32"/>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916"/>
        <w:gridCol w:w="1222"/>
        <w:gridCol w:w="1362"/>
        <w:gridCol w:w="1550"/>
        <w:gridCol w:w="2000"/>
        <w:gridCol w:w="7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制造商</w:t>
            </w: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品牌</w:t>
            </w:r>
          </w:p>
        </w:tc>
        <w:tc>
          <w:tcPr>
            <w:tcW w:w="12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产品名称、规格型号</w:t>
            </w:r>
          </w:p>
        </w:tc>
        <w:tc>
          <w:tcPr>
            <w:tcW w:w="13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环境标志产品认证证书编号</w:t>
            </w: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环境标志产品认证证书有效截止日期</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产品所在环境标志产品政府采购品目清单品目序号</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认证机构</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9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9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p>
        </w:tc>
        <w:tc>
          <w:tcPr>
            <w:tcW w:w="20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r>
    </w:tbl>
    <w:p>
      <w:pPr>
        <w:rPr>
          <w:rFonts w:hint="eastAsia" w:ascii="宋体" w:hAnsi="宋体" w:eastAsia="宋体" w:cs="宋体"/>
          <w:color w:val="auto"/>
          <w:sz w:val="22"/>
          <w:highlight w:val="none"/>
        </w:rPr>
      </w:pPr>
    </w:p>
    <w:p>
      <w:pP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备注：节能产品、环境标志产品认证证书附后</w:t>
      </w:r>
    </w:p>
    <w:p>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pPr>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附件11</w:t>
      </w:r>
    </w:p>
    <w:p>
      <w:pP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投标人同类项目业绩一览表（如有）</w:t>
      </w:r>
    </w:p>
    <w:p>
      <w:pPr>
        <w:spacing w:line="400" w:lineRule="exact"/>
        <w:rPr>
          <w:rFonts w:hint="eastAsia" w:ascii="宋体" w:hAnsi="宋体" w:eastAsia="宋体" w:cs="宋体"/>
          <w:b/>
          <w:bCs/>
          <w:color w:val="auto"/>
          <w:sz w:val="24"/>
          <w:szCs w:val="24"/>
          <w:highlight w:val="none"/>
        </w:rPr>
      </w:pPr>
    </w:p>
    <w:p>
      <w:pPr>
        <w:pStyle w:val="14"/>
        <w:spacing w:after="0" w:line="400" w:lineRule="exact"/>
        <w:ind w:left="0" w:leftChars="0" w:right="1470"/>
        <w:rPr>
          <w:rFonts w:hint="eastAsia" w:ascii="宋体" w:hAnsi="宋体" w:eastAsia="宋体" w:cs="宋体"/>
          <w:bCs/>
          <w:color w:val="auto"/>
          <w:sz w:val="24"/>
          <w:szCs w:val="24"/>
          <w:highlight w:val="none"/>
        </w:rPr>
      </w:pPr>
      <w:r>
        <w:rPr>
          <w:rFonts w:hint="eastAsia" w:ascii="宋体" w:hAnsi="宋体" w:eastAsia="宋体" w:cs="宋体"/>
          <w:b/>
          <w:color w:val="auto"/>
          <w:sz w:val="22"/>
          <w:highlight w:val="none"/>
        </w:rPr>
        <w:t>项</w:t>
      </w:r>
      <w:r>
        <w:rPr>
          <w:rFonts w:hint="eastAsia" w:ascii="宋体" w:hAnsi="宋体" w:eastAsia="宋体" w:cs="宋体"/>
          <w:b/>
          <w:color w:val="auto"/>
          <w:sz w:val="24"/>
          <w:szCs w:val="24"/>
          <w:highlight w:val="none"/>
        </w:rPr>
        <w:t xml:space="preserve">目名称：                              项目编号：                  </w:t>
      </w:r>
    </w:p>
    <w:tbl>
      <w:tblPr>
        <w:tblStyle w:val="32"/>
        <w:tblW w:w="9844"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9"/>
        <w:gridCol w:w="1833"/>
        <w:gridCol w:w="1614"/>
        <w:gridCol w:w="1464"/>
        <w:gridCol w:w="1728"/>
        <w:gridCol w:w="23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序号</w:t>
            </w:r>
          </w:p>
        </w:tc>
        <w:tc>
          <w:tcPr>
            <w:tcW w:w="1833" w:type="dxa"/>
            <w:vAlign w:val="center"/>
          </w:tcPr>
          <w:p>
            <w:pPr>
              <w:spacing w:line="40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采购单位名称</w:t>
            </w:r>
          </w:p>
        </w:tc>
        <w:tc>
          <w:tcPr>
            <w:tcW w:w="1614" w:type="dxa"/>
            <w:vAlign w:val="center"/>
          </w:tcPr>
          <w:p>
            <w:pPr>
              <w:spacing w:line="40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项目名称</w:t>
            </w:r>
          </w:p>
        </w:tc>
        <w:tc>
          <w:tcPr>
            <w:tcW w:w="1464" w:type="dxa"/>
            <w:vAlign w:val="center"/>
          </w:tcPr>
          <w:p>
            <w:pPr>
              <w:spacing w:line="40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合同金额</w:t>
            </w:r>
          </w:p>
        </w:tc>
        <w:tc>
          <w:tcPr>
            <w:tcW w:w="1728" w:type="dxa"/>
            <w:vAlign w:val="center"/>
          </w:tcPr>
          <w:p>
            <w:pPr>
              <w:spacing w:line="40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合同签订时间</w:t>
            </w:r>
          </w:p>
        </w:tc>
        <w:tc>
          <w:tcPr>
            <w:tcW w:w="2316" w:type="dxa"/>
            <w:vAlign w:val="center"/>
          </w:tcPr>
          <w:p>
            <w:pPr>
              <w:spacing w:line="40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采购单位联系人及</w:t>
            </w:r>
          </w:p>
          <w:p>
            <w:pPr>
              <w:spacing w:line="40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31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31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31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31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31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31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31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31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31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31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833" w:type="dxa"/>
            <w:vAlign w:val="center"/>
          </w:tcPr>
          <w:p>
            <w:pPr>
              <w:spacing w:line="400" w:lineRule="exact"/>
              <w:jc w:val="center"/>
              <w:rPr>
                <w:rFonts w:hint="eastAsia" w:ascii="宋体" w:hAnsi="宋体" w:eastAsia="宋体" w:cs="宋体"/>
                <w:b/>
                <w:bCs/>
                <w:color w:val="auto"/>
                <w:sz w:val="24"/>
                <w:szCs w:val="24"/>
                <w:highlight w:val="none"/>
              </w:rPr>
            </w:pPr>
          </w:p>
        </w:tc>
        <w:tc>
          <w:tcPr>
            <w:tcW w:w="1614" w:type="dxa"/>
            <w:vAlign w:val="center"/>
          </w:tcPr>
          <w:p>
            <w:pPr>
              <w:spacing w:line="400" w:lineRule="exact"/>
              <w:jc w:val="center"/>
              <w:rPr>
                <w:rFonts w:hint="eastAsia" w:ascii="宋体" w:hAnsi="宋体" w:eastAsia="宋体" w:cs="宋体"/>
                <w:b/>
                <w:bCs/>
                <w:color w:val="auto"/>
                <w:sz w:val="24"/>
                <w:szCs w:val="24"/>
                <w:highlight w:val="none"/>
              </w:rPr>
            </w:pPr>
          </w:p>
        </w:tc>
        <w:tc>
          <w:tcPr>
            <w:tcW w:w="1464" w:type="dxa"/>
            <w:vAlign w:val="center"/>
          </w:tcPr>
          <w:p>
            <w:pPr>
              <w:spacing w:line="400" w:lineRule="exact"/>
              <w:jc w:val="center"/>
              <w:rPr>
                <w:rFonts w:hint="eastAsia" w:ascii="宋体" w:hAnsi="宋体" w:eastAsia="宋体" w:cs="宋体"/>
                <w:b/>
                <w:bCs/>
                <w:color w:val="auto"/>
                <w:sz w:val="24"/>
                <w:szCs w:val="24"/>
                <w:highlight w:val="none"/>
              </w:rPr>
            </w:pPr>
          </w:p>
        </w:tc>
        <w:tc>
          <w:tcPr>
            <w:tcW w:w="1728" w:type="dxa"/>
          </w:tcPr>
          <w:p>
            <w:pPr>
              <w:spacing w:line="400" w:lineRule="exact"/>
              <w:jc w:val="center"/>
              <w:rPr>
                <w:rFonts w:hint="eastAsia" w:ascii="宋体" w:hAnsi="宋体" w:eastAsia="宋体" w:cs="宋体"/>
                <w:b/>
                <w:bCs/>
                <w:color w:val="auto"/>
                <w:sz w:val="24"/>
                <w:szCs w:val="24"/>
                <w:highlight w:val="none"/>
              </w:rPr>
            </w:pPr>
          </w:p>
        </w:tc>
        <w:tc>
          <w:tcPr>
            <w:tcW w:w="2316" w:type="dxa"/>
          </w:tcPr>
          <w:p>
            <w:pPr>
              <w:spacing w:line="400" w:lineRule="exact"/>
              <w:jc w:val="center"/>
              <w:rPr>
                <w:rFonts w:hint="eastAsia" w:ascii="宋体" w:hAnsi="宋体" w:eastAsia="宋体" w:cs="宋体"/>
                <w:b/>
                <w:bCs/>
                <w:color w:val="auto"/>
                <w:sz w:val="24"/>
                <w:szCs w:val="24"/>
                <w:highlight w:val="none"/>
              </w:rPr>
            </w:pPr>
          </w:p>
        </w:tc>
      </w:tr>
    </w:tbl>
    <w:p>
      <w:pPr>
        <w:spacing w:line="400" w:lineRule="exact"/>
        <w:ind w:left="647" w:hanging="646" w:hangingChars="294"/>
        <w:rPr>
          <w:rFonts w:hint="eastAsia" w:ascii="宋体" w:hAnsi="宋体" w:eastAsia="宋体" w:cs="宋体"/>
          <w:color w:val="auto"/>
          <w:sz w:val="22"/>
          <w:highlight w:val="none"/>
        </w:rPr>
      </w:pPr>
      <w:r>
        <w:rPr>
          <w:rFonts w:hint="eastAsia" w:ascii="宋体" w:hAnsi="宋体" w:eastAsia="宋体" w:cs="宋体"/>
          <w:color w:val="auto"/>
          <w:sz w:val="22"/>
          <w:highlight w:val="none"/>
        </w:rPr>
        <w:t>备注：证明材料附后</w:t>
      </w:r>
    </w:p>
    <w:p>
      <w:pPr>
        <w:widowControl/>
        <w:spacing w:line="400" w:lineRule="exact"/>
        <w:rPr>
          <w:rFonts w:hint="eastAsia" w:ascii="宋体" w:hAnsi="宋体" w:eastAsia="宋体" w:cs="宋体"/>
          <w:color w:val="auto"/>
          <w:kern w:val="0"/>
          <w:sz w:val="22"/>
          <w:highlight w:val="none"/>
        </w:rPr>
      </w:pPr>
    </w:p>
    <w:p>
      <w:pPr>
        <w:widowControl/>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400" w:lineRule="exact"/>
        <w:jc w:val="left"/>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日期：</w:t>
      </w:r>
      <w:r>
        <w:rPr>
          <w:rFonts w:hint="eastAsia" w:ascii="宋体" w:hAnsi="宋体" w:eastAsia="宋体" w:cs="宋体"/>
          <w:color w:val="auto"/>
          <w:kern w:val="0"/>
          <w:sz w:val="22"/>
          <w:highlight w:val="none"/>
          <w:lang w:eastAsia="zh-CN"/>
        </w:rPr>
        <w:t xml:space="preserve">    年  月  日</w:t>
      </w:r>
    </w:p>
    <w:p>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br w:type="page"/>
      </w:r>
    </w:p>
    <w:p>
      <w:pPr>
        <w:spacing w:line="400" w:lineRule="exact"/>
        <w:rPr>
          <w:rFonts w:hint="eastAsia" w:ascii="宋体" w:hAnsi="宋体" w:eastAsia="宋体" w:cs="宋体"/>
          <w:b/>
          <w:color w:val="auto"/>
          <w:szCs w:val="24"/>
          <w:highlight w:val="none"/>
          <w:lang w:eastAsia="zh-CN"/>
        </w:rPr>
      </w:pPr>
      <w:r>
        <w:rPr>
          <w:rFonts w:hint="eastAsia" w:ascii="宋体" w:hAnsi="宋体" w:eastAsia="宋体" w:cs="宋体"/>
          <w:b/>
          <w:color w:val="auto"/>
          <w:sz w:val="24"/>
          <w:szCs w:val="24"/>
          <w:highlight w:val="none"/>
          <w:lang w:eastAsia="zh-CN"/>
        </w:rPr>
        <w:t>附件12</w:t>
      </w:r>
    </w:p>
    <w:p>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8"/>
          <w:szCs w:val="28"/>
          <w:highlight w:val="none"/>
        </w:rPr>
        <w:t>采购需求偏离表</w:t>
      </w:r>
    </w:p>
    <w:p>
      <w:pPr>
        <w:pStyle w:val="14"/>
        <w:spacing w:after="0" w:line="400" w:lineRule="exact"/>
        <w:ind w:left="0" w:leftChars="0" w:right="1470"/>
        <w:rPr>
          <w:rFonts w:hint="eastAsia" w:ascii="宋体" w:hAnsi="宋体" w:eastAsia="宋体" w:cs="宋体"/>
          <w:color w:val="auto"/>
          <w:sz w:val="22"/>
          <w:highlight w:val="none"/>
        </w:rPr>
      </w:pPr>
      <w:r>
        <w:rPr>
          <w:rFonts w:hint="eastAsia" w:ascii="宋体" w:hAnsi="宋体" w:eastAsia="宋体" w:cs="宋体"/>
          <w:b/>
          <w:color w:val="auto"/>
          <w:sz w:val="22"/>
          <w:highlight w:val="none"/>
        </w:rPr>
        <w:t xml:space="preserve">项目名称：                                                项目编号：                  </w:t>
      </w:r>
    </w:p>
    <w:tbl>
      <w:tblPr>
        <w:tblStyle w:val="32"/>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56"/>
        <w:gridCol w:w="3219"/>
        <w:gridCol w:w="1822"/>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序号</w:t>
            </w:r>
          </w:p>
        </w:tc>
        <w:tc>
          <w:tcPr>
            <w:tcW w:w="1656" w:type="dxa"/>
            <w:vAlign w:val="center"/>
          </w:tcPr>
          <w:p>
            <w:pPr>
              <w:snapToGrid w:val="0"/>
              <w:spacing w:line="400" w:lineRule="exact"/>
              <w:jc w:val="center"/>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招标文件要求</w:t>
            </w:r>
          </w:p>
        </w:tc>
        <w:tc>
          <w:tcPr>
            <w:tcW w:w="3219" w:type="dxa"/>
            <w:vAlign w:val="center"/>
          </w:tcPr>
          <w:p>
            <w:pPr>
              <w:snapToGrid w:val="0"/>
              <w:spacing w:line="400" w:lineRule="exact"/>
              <w:jc w:val="center"/>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投标文件对应规范</w:t>
            </w:r>
          </w:p>
        </w:tc>
        <w:tc>
          <w:tcPr>
            <w:tcW w:w="1822" w:type="dxa"/>
            <w:vAlign w:val="center"/>
          </w:tcPr>
          <w:p>
            <w:pPr>
              <w:snapToGrid w:val="0"/>
              <w:spacing w:line="400" w:lineRule="exact"/>
              <w:jc w:val="center"/>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是否偏离</w:t>
            </w:r>
          </w:p>
          <w:p>
            <w:pPr>
              <w:snapToGrid w:val="0"/>
              <w:spacing w:line="400" w:lineRule="exact"/>
              <w:jc w:val="center"/>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（提供说明）</w:t>
            </w:r>
          </w:p>
        </w:tc>
        <w:tc>
          <w:tcPr>
            <w:tcW w:w="2092" w:type="dxa"/>
            <w:vAlign w:val="center"/>
          </w:tcPr>
          <w:p>
            <w:pPr>
              <w:snapToGrid w:val="0"/>
              <w:spacing w:line="400" w:lineRule="exact"/>
              <w:jc w:val="center"/>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要求提供的证明材料页码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pPr>
              <w:snapToGrid w:val="0"/>
              <w:spacing w:line="400" w:lineRule="exact"/>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pPr>
              <w:snapToGrid w:val="0"/>
              <w:spacing w:line="400" w:lineRule="exact"/>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rPr>
                <w:rFonts w:hint="eastAsia" w:ascii="宋体" w:hAnsi="宋体" w:eastAsia="宋体" w:cs="宋体"/>
                <w:color w:val="auto"/>
                <w:spacing w:val="-6"/>
                <w:sz w:val="24"/>
                <w:highlight w:val="none"/>
              </w:rPr>
            </w:pPr>
          </w:p>
        </w:tc>
        <w:tc>
          <w:tcPr>
            <w:tcW w:w="1656" w:type="dxa"/>
            <w:vAlign w:val="center"/>
          </w:tcPr>
          <w:p>
            <w:pPr>
              <w:snapToGrid w:val="0"/>
              <w:spacing w:line="400" w:lineRule="exact"/>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92" w:type="dxa"/>
            <w:vAlign w:val="center"/>
          </w:tcPr>
          <w:p>
            <w:pPr>
              <w:snapToGrid w:val="0"/>
              <w:spacing w:line="400" w:lineRule="exact"/>
              <w:jc w:val="center"/>
              <w:rPr>
                <w:rFonts w:hint="eastAsia" w:ascii="宋体" w:hAnsi="宋体" w:eastAsia="宋体" w:cs="宋体"/>
                <w:color w:val="auto"/>
                <w:spacing w:val="-6"/>
                <w:sz w:val="24"/>
                <w:highlight w:val="none"/>
              </w:rPr>
            </w:pPr>
          </w:p>
        </w:tc>
      </w:tr>
    </w:tbl>
    <w:p>
      <w:pPr>
        <w:adjustRightInd w:val="0"/>
        <w:snapToGrid w:val="0"/>
        <w:spacing w:line="400" w:lineRule="exact"/>
        <w:jc w:val="left"/>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注意：1.逐项按照招标文件要求填写响应规格；</w:t>
      </w:r>
    </w:p>
    <w:p>
      <w:pPr>
        <w:adjustRightInd w:val="0"/>
        <w:snapToGrid w:val="0"/>
        <w:spacing w:line="400" w:lineRule="exact"/>
        <w:ind w:firstLine="627" w:firstLineChars="300"/>
        <w:jc w:val="left"/>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2.偏离说明是指对招标文件要求存在不同之处的解释说明。偏离系指：正偏离（高于采购需求）、负偏离（低于采购需求或未按采购需求提供相应证明材料的）、无偏离（满足采购需求）；</w:t>
      </w:r>
    </w:p>
    <w:p>
      <w:pPr>
        <w:adjustRightInd w:val="0"/>
        <w:snapToGrid w:val="0"/>
        <w:spacing w:line="400" w:lineRule="exact"/>
        <w:ind w:firstLine="627" w:firstLineChars="300"/>
        <w:jc w:val="left"/>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3.此表留空或不填写，则视为完全响应招标文件的要求，自行承担投标风险</w:t>
      </w:r>
      <w:r>
        <w:rPr>
          <w:rFonts w:hint="eastAsia" w:ascii="宋体" w:hAnsi="宋体" w:eastAsia="宋体" w:cs="宋体"/>
          <w:b/>
          <w:color w:val="auto"/>
          <w:spacing w:val="-6"/>
          <w:sz w:val="24"/>
          <w:szCs w:val="24"/>
          <w:highlight w:val="none"/>
        </w:rPr>
        <w:t>。</w:t>
      </w:r>
    </w:p>
    <w:p>
      <w:pPr>
        <w:adjustRightInd w:val="0"/>
        <w:snapToGrid w:val="0"/>
        <w:spacing w:line="400" w:lineRule="exact"/>
        <w:ind w:firstLine="418" w:firstLineChars="200"/>
        <w:jc w:val="left"/>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 xml:space="preserve">  4.建议投标人准备采购需求中要求的证明材料（如证书、检测报告等）条目索引，要求清晰提供的证明材料（如证书、检测报告等），由不清晰或者模糊造成无法判断证明材料是否符合要求的风险由投标人自行承担。</w:t>
      </w:r>
    </w:p>
    <w:p>
      <w:pPr>
        <w:widowControl/>
        <w:spacing w:line="400" w:lineRule="exact"/>
        <w:rPr>
          <w:rFonts w:hint="eastAsia" w:ascii="宋体" w:hAnsi="宋体" w:eastAsia="宋体" w:cs="宋体"/>
          <w:color w:val="auto"/>
          <w:kern w:val="0"/>
          <w:sz w:val="22"/>
          <w:highlight w:val="none"/>
        </w:rPr>
      </w:pPr>
    </w:p>
    <w:p>
      <w:pPr>
        <w:widowControl/>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400" w:lineRule="exact"/>
        <w:jc w:val="left"/>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日期：</w:t>
      </w:r>
      <w:r>
        <w:rPr>
          <w:rFonts w:hint="eastAsia" w:ascii="宋体" w:hAnsi="宋体" w:eastAsia="宋体" w:cs="宋体"/>
          <w:color w:val="auto"/>
          <w:kern w:val="0"/>
          <w:sz w:val="22"/>
          <w:highlight w:val="none"/>
          <w:lang w:eastAsia="zh-CN"/>
        </w:rPr>
        <w:t xml:space="preserve">    年  月  日</w:t>
      </w:r>
    </w:p>
    <w:p>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br w:type="page"/>
      </w:r>
    </w:p>
    <w:p>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附件13</w:t>
      </w: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货物配置清单</w:t>
      </w:r>
    </w:p>
    <w:p>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2"/>
          <w:highlight w:val="none"/>
        </w:rPr>
        <w:t>项目名称：                                                项目编号：</w:t>
      </w:r>
    </w:p>
    <w:tbl>
      <w:tblPr>
        <w:tblStyle w:val="32"/>
        <w:tblW w:w="95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6"/>
        <w:gridCol w:w="1250"/>
        <w:gridCol w:w="950"/>
        <w:gridCol w:w="861"/>
        <w:gridCol w:w="827"/>
        <w:gridCol w:w="1237"/>
        <w:gridCol w:w="1538"/>
        <w:gridCol w:w="1342"/>
        <w:gridCol w:w="7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货物名称</w:t>
            </w: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制造商</w:t>
            </w: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产地</w:t>
            </w: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品牌</w:t>
            </w: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规格型号</w:t>
            </w: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单位及数量</w:t>
            </w: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性能及指标</w:t>
            </w:r>
          </w:p>
        </w:tc>
        <w:tc>
          <w:tcPr>
            <w:tcW w:w="720" w:type="dxa"/>
            <w:tcBorders>
              <w:top w:val="single" w:color="auto" w:sz="4" w:space="0"/>
              <w:left w:val="single" w:color="auto" w:sz="4" w:space="0"/>
              <w:bottom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p>
            <w:pPr>
              <w:snapToGrid w:val="0"/>
              <w:spacing w:line="400" w:lineRule="exact"/>
              <w:jc w:val="center"/>
              <w:rPr>
                <w:rFonts w:hint="eastAsia" w:ascii="宋体" w:hAnsi="宋体" w:eastAsia="宋体" w:cs="宋体"/>
                <w:color w:val="auto"/>
                <w:sz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720" w:type="dxa"/>
            <w:tcBorders>
              <w:top w:val="single" w:color="auto" w:sz="4" w:space="0"/>
              <w:left w:val="single" w:color="auto" w:sz="4" w:space="0"/>
              <w:bottom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720" w:type="dxa"/>
            <w:tcBorders>
              <w:top w:val="single" w:color="auto" w:sz="4" w:space="0"/>
              <w:left w:val="single" w:color="auto" w:sz="4" w:space="0"/>
              <w:bottom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720" w:type="dxa"/>
            <w:tcBorders>
              <w:top w:val="single" w:color="auto" w:sz="4" w:space="0"/>
              <w:left w:val="single" w:color="auto" w:sz="4" w:space="0"/>
              <w:bottom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nil"/>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720" w:type="dxa"/>
            <w:tcBorders>
              <w:top w:val="single" w:color="auto" w:sz="4" w:space="0"/>
              <w:left w:val="single" w:color="auto" w:sz="4" w:space="0"/>
              <w:bottom w:val="nil"/>
            </w:tcBorders>
            <w:vAlign w:val="center"/>
          </w:tcPr>
          <w:p>
            <w:pPr>
              <w:snapToGrid w:val="0"/>
              <w:spacing w:line="40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hint="eastAsia" w:ascii="宋体" w:hAnsi="宋体" w:eastAsia="宋体" w:cs="宋体"/>
                <w:color w:val="auto"/>
                <w:sz w:val="22"/>
                <w:highlight w:val="none"/>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hint="eastAsia" w:ascii="宋体" w:hAnsi="宋体" w:eastAsia="宋体" w:cs="宋体"/>
                <w:color w:val="auto"/>
                <w:sz w:val="22"/>
                <w:highlight w:val="none"/>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720" w:type="dxa"/>
            <w:tcBorders>
              <w:top w:val="single" w:color="auto" w:sz="4" w:space="0"/>
              <w:left w:val="single" w:color="auto" w:sz="4" w:space="0"/>
              <w:bottom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r>
    </w:tbl>
    <w:p>
      <w:pPr>
        <w:adjustRightInd w:val="0"/>
        <w:spacing w:line="360" w:lineRule="auto"/>
        <w:ind w:firstLine="4042" w:firstLineChars="1925"/>
        <w:rPr>
          <w:rFonts w:hint="eastAsia" w:ascii="宋体" w:hAnsi="宋体" w:eastAsia="宋体" w:cs="宋体"/>
          <w:color w:val="auto"/>
          <w:szCs w:val="21"/>
          <w:highlight w:val="none"/>
        </w:rPr>
      </w:pPr>
    </w:p>
    <w:p>
      <w:pPr>
        <w:widowControl/>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400" w:lineRule="exact"/>
        <w:jc w:val="left"/>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日期：</w:t>
      </w:r>
      <w:r>
        <w:rPr>
          <w:rFonts w:hint="eastAsia" w:ascii="宋体" w:hAnsi="宋体" w:eastAsia="宋体" w:cs="宋体"/>
          <w:color w:val="auto"/>
          <w:kern w:val="0"/>
          <w:sz w:val="22"/>
          <w:highlight w:val="none"/>
          <w:lang w:eastAsia="zh-CN"/>
        </w:rPr>
        <w:t xml:space="preserve">    年  月  日</w:t>
      </w:r>
    </w:p>
    <w:p>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pPr>
        <w:adjustRightInd w:val="0"/>
        <w:snapToGrid w:val="0"/>
        <w:spacing w:line="360" w:lineRule="auto"/>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附件14</w:t>
      </w:r>
    </w:p>
    <w:p>
      <w:pPr>
        <w:adjustRightInd w:val="0"/>
        <w:snapToGrid w:val="0"/>
        <w:spacing w:line="360" w:lineRule="auto"/>
        <w:jc w:val="center"/>
        <w:rPr>
          <w:rFonts w:hint="eastAsia" w:ascii="宋体" w:hAnsi="宋体" w:eastAsia="宋体" w:cs="宋体"/>
          <w:b/>
          <w:snapToGrid w:val="0"/>
          <w:color w:val="auto"/>
          <w:sz w:val="24"/>
          <w:szCs w:val="24"/>
          <w:highlight w:val="none"/>
        </w:rPr>
      </w:pPr>
      <w:r>
        <w:rPr>
          <w:rFonts w:hint="eastAsia" w:ascii="宋体" w:hAnsi="宋体" w:eastAsia="宋体" w:cs="宋体"/>
          <w:b/>
          <w:color w:val="auto"/>
          <w:sz w:val="24"/>
          <w:szCs w:val="24"/>
          <w:highlight w:val="none"/>
        </w:rPr>
        <w:t>常用材料、</w:t>
      </w:r>
      <w:r>
        <w:rPr>
          <w:rFonts w:hint="eastAsia" w:ascii="宋体" w:hAnsi="宋体" w:eastAsia="宋体" w:cs="宋体"/>
          <w:b/>
          <w:snapToGrid w:val="0"/>
          <w:color w:val="auto"/>
          <w:sz w:val="24"/>
          <w:szCs w:val="24"/>
          <w:highlight w:val="none"/>
        </w:rPr>
        <w:t>零配件及备品备件报价清单</w:t>
      </w:r>
    </w:p>
    <w:p>
      <w:pPr>
        <w:pStyle w:val="15"/>
        <w:snapToGrid w:val="0"/>
        <w:spacing w:line="288" w:lineRule="auto"/>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项目名称：                                            项目编号：                  </w:t>
      </w:r>
    </w:p>
    <w:p>
      <w:pPr>
        <w:pStyle w:val="15"/>
        <w:snapToGrid w:val="0"/>
        <w:spacing w:line="288" w:lineRule="auto"/>
        <w:jc w:val="right"/>
        <w:rPr>
          <w:rFonts w:hint="eastAsia" w:ascii="宋体" w:hAnsi="宋体" w:eastAsia="宋体" w:cs="宋体"/>
          <w:color w:val="auto"/>
          <w:kern w:val="0"/>
          <w:sz w:val="22"/>
          <w:highlight w:val="none"/>
        </w:rPr>
      </w:pPr>
      <w:r>
        <w:rPr>
          <w:rFonts w:hint="eastAsia" w:ascii="宋体" w:hAnsi="宋体" w:eastAsia="宋体" w:cs="宋体"/>
          <w:color w:val="auto"/>
          <w:spacing w:val="-6"/>
          <w:sz w:val="22"/>
          <w:highlight w:val="none"/>
        </w:rPr>
        <w:t>金额单位：人民币（元）</w:t>
      </w:r>
    </w:p>
    <w:tbl>
      <w:tblPr>
        <w:tblStyle w:val="32"/>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12"/>
        <w:gridCol w:w="992"/>
        <w:gridCol w:w="808"/>
        <w:gridCol w:w="656"/>
        <w:gridCol w:w="1238"/>
        <w:gridCol w:w="675"/>
        <w:gridCol w:w="675"/>
        <w:gridCol w:w="1237"/>
        <w:gridCol w:w="135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767"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序号</w:t>
            </w:r>
          </w:p>
        </w:tc>
        <w:tc>
          <w:tcPr>
            <w:tcW w:w="712"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名称</w:t>
            </w:r>
          </w:p>
        </w:tc>
        <w:tc>
          <w:tcPr>
            <w:tcW w:w="992" w:type="dxa"/>
            <w:vAlign w:val="center"/>
          </w:tcPr>
          <w:p>
            <w:pPr>
              <w:pStyle w:val="69"/>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制造商</w:t>
            </w:r>
          </w:p>
        </w:tc>
        <w:tc>
          <w:tcPr>
            <w:tcW w:w="808" w:type="dxa"/>
            <w:vAlign w:val="center"/>
          </w:tcPr>
          <w:p>
            <w:pPr>
              <w:pStyle w:val="69"/>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产地</w:t>
            </w:r>
          </w:p>
        </w:tc>
        <w:tc>
          <w:tcPr>
            <w:tcW w:w="656" w:type="dxa"/>
            <w:vAlign w:val="center"/>
          </w:tcPr>
          <w:p>
            <w:pPr>
              <w:pStyle w:val="69"/>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品牌</w:t>
            </w:r>
          </w:p>
        </w:tc>
        <w:tc>
          <w:tcPr>
            <w:tcW w:w="1238" w:type="dxa"/>
            <w:vAlign w:val="center"/>
          </w:tcPr>
          <w:p>
            <w:pPr>
              <w:pStyle w:val="69"/>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型号规格</w:t>
            </w: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单位</w:t>
            </w: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数量</w:t>
            </w:r>
          </w:p>
        </w:tc>
        <w:tc>
          <w:tcPr>
            <w:tcW w:w="1237"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单价（元）</w:t>
            </w:r>
          </w:p>
        </w:tc>
        <w:tc>
          <w:tcPr>
            <w:tcW w:w="1350"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总价（元）</w:t>
            </w:r>
          </w:p>
        </w:tc>
        <w:tc>
          <w:tcPr>
            <w:tcW w:w="65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pStyle w:val="22"/>
              <w:pBdr>
                <w:bottom w:val="none" w:color="auto" w:sz="0" w:space="0"/>
              </w:pBdr>
              <w:tabs>
                <w:tab w:val="left" w:pos="420"/>
              </w:tabs>
              <w:spacing w:line="360" w:lineRule="auto"/>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pStyle w:val="17"/>
              <w:adjustRightInd w:val="0"/>
              <w:snapToGrid w:val="0"/>
              <w:spacing w:line="360" w:lineRule="auto"/>
              <w:ind w:left="5250" w:leftChars="0"/>
              <w:rPr>
                <w:rFonts w:hint="eastAsia" w:ascii="宋体" w:hAnsi="宋体" w:eastAsia="宋体" w:cs="宋体"/>
                <w:snapToGrid w:val="0"/>
                <w:color w:val="auto"/>
                <w:kern w:val="0"/>
                <w:sz w:val="22"/>
                <w:szCs w:val="22"/>
                <w:highlight w:val="none"/>
              </w:rPr>
            </w:pPr>
          </w:p>
        </w:tc>
        <w:tc>
          <w:tcPr>
            <w:tcW w:w="71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vAlign w:val="center"/>
          </w:tcPr>
          <w:p>
            <w:pPr>
              <w:adjustRightInd w:val="0"/>
              <w:snapToGrid w:val="0"/>
              <w:spacing w:line="360" w:lineRule="auto"/>
              <w:jc w:val="center"/>
              <w:rPr>
                <w:rFonts w:hint="eastAsia" w:ascii="宋体" w:hAnsi="宋体" w:eastAsia="宋体" w:cs="宋体"/>
                <w:b/>
                <w:bCs/>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bl>
    <w:p>
      <w:pPr>
        <w:pStyle w:val="15"/>
        <w:snapToGrid w:val="0"/>
        <w:spacing w:line="360" w:lineRule="auto"/>
        <w:rPr>
          <w:rFonts w:hint="eastAsia" w:ascii="宋体" w:hAnsi="宋体" w:eastAsia="宋体" w:cs="宋体"/>
          <w:color w:val="auto"/>
          <w:kern w:val="0"/>
          <w:sz w:val="22"/>
          <w:highlight w:val="none"/>
        </w:rPr>
      </w:pPr>
    </w:p>
    <w:p>
      <w:pPr>
        <w:adjustRightInd w:val="0"/>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注：供应商根据实际情况填写</w:t>
      </w:r>
    </w:p>
    <w:p>
      <w:pPr>
        <w:widowControl/>
        <w:spacing w:line="400" w:lineRule="exact"/>
        <w:rPr>
          <w:rFonts w:hint="eastAsia" w:ascii="宋体" w:hAnsi="宋体" w:eastAsia="宋体" w:cs="宋体"/>
          <w:color w:val="auto"/>
          <w:kern w:val="0"/>
          <w:sz w:val="24"/>
          <w:szCs w:val="24"/>
          <w:highlight w:val="none"/>
        </w:rPr>
      </w:pPr>
    </w:p>
    <w:p>
      <w:pPr>
        <w:widowControl/>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400" w:lineRule="exact"/>
        <w:jc w:val="left"/>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日期：</w:t>
      </w:r>
      <w:r>
        <w:rPr>
          <w:rFonts w:hint="eastAsia" w:ascii="宋体" w:hAnsi="宋体" w:eastAsia="宋体" w:cs="宋体"/>
          <w:color w:val="auto"/>
          <w:kern w:val="0"/>
          <w:sz w:val="22"/>
          <w:highlight w:val="none"/>
          <w:lang w:eastAsia="zh-CN"/>
        </w:rPr>
        <w:t xml:space="preserve">    年  月  日</w:t>
      </w:r>
    </w:p>
    <w:p>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br w:type="page"/>
      </w:r>
    </w:p>
    <w:p>
      <w:pPr>
        <w:spacing w:line="400" w:lineRule="exact"/>
        <w:rPr>
          <w:rFonts w:hint="eastAsia" w:ascii="宋体" w:hAnsi="宋体" w:eastAsia="宋体" w:cs="宋体"/>
          <w:b/>
          <w:color w:val="auto"/>
          <w:spacing w:val="-6"/>
          <w:sz w:val="24"/>
          <w:highlight w:val="none"/>
          <w:lang w:val="en-US" w:eastAsia="zh-CN"/>
        </w:rPr>
      </w:pPr>
      <w:r>
        <w:rPr>
          <w:rFonts w:hint="eastAsia" w:ascii="宋体" w:hAnsi="宋体" w:eastAsia="宋体" w:cs="宋体"/>
          <w:b/>
          <w:color w:val="auto"/>
          <w:sz w:val="24"/>
          <w:szCs w:val="24"/>
          <w:highlight w:val="none"/>
          <w:lang w:eastAsia="zh-CN"/>
        </w:rPr>
        <w:t>附件15</w:t>
      </w:r>
    </w:p>
    <w:p>
      <w:pPr>
        <w:pStyle w:val="15"/>
        <w:snapToGrid w:val="0"/>
        <w:spacing w:line="4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承诺书</w:t>
      </w:r>
    </w:p>
    <w:p>
      <w:pPr>
        <w:pStyle w:val="15"/>
        <w:snapToGrid w:val="0"/>
        <w:spacing w:line="400" w:lineRule="exact"/>
        <w:jc w:val="center"/>
        <w:rPr>
          <w:rFonts w:hint="eastAsia" w:ascii="宋体" w:hAnsi="宋体" w:eastAsia="宋体" w:cs="宋体"/>
          <w:b/>
          <w:color w:val="auto"/>
          <w:szCs w:val="24"/>
          <w:highlight w:val="none"/>
        </w:rPr>
      </w:pPr>
    </w:p>
    <w:p>
      <w:pPr>
        <w:spacing w:line="500" w:lineRule="exact"/>
        <w:rPr>
          <w:rFonts w:hint="eastAsia" w:ascii="宋体" w:hAnsi="宋体" w:eastAsia="宋体" w:cs="宋体"/>
          <w:color w:val="auto"/>
          <w:sz w:val="22"/>
          <w:highlight w:val="none"/>
        </w:rPr>
      </w:pPr>
      <w:r>
        <w:rPr>
          <w:rFonts w:hint="eastAsia" w:ascii="宋体" w:hAnsi="宋体" w:cs="宋体"/>
          <w:color w:val="auto"/>
          <w:kern w:val="0"/>
          <w:sz w:val="22"/>
          <w:highlight w:val="none"/>
          <w:u w:val="single"/>
          <w:lang w:eastAsia="zh-CN"/>
        </w:rPr>
        <w:t>文成县卫生健康局</w:t>
      </w:r>
      <w:r>
        <w:rPr>
          <w:rFonts w:hint="eastAsia" w:ascii="宋体" w:hAnsi="宋体" w:eastAsia="宋体" w:cs="宋体"/>
          <w:color w:val="auto"/>
          <w:sz w:val="22"/>
          <w:highlight w:val="none"/>
        </w:rPr>
        <w:t>：</w:t>
      </w:r>
    </w:p>
    <w:p>
      <w:pPr>
        <w:spacing w:line="5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我单位就</w:t>
      </w:r>
      <w:r>
        <w:rPr>
          <w:rFonts w:hint="eastAsia" w:ascii="宋体" w:hAnsi="宋体" w:eastAsia="宋体" w:cs="宋体"/>
          <w:color w:val="auto"/>
          <w:sz w:val="22"/>
          <w:highlight w:val="none"/>
          <w:u w:val="single"/>
        </w:rPr>
        <w:t xml:space="preserve">                   （项目编号：           ）</w:t>
      </w:r>
      <w:r>
        <w:rPr>
          <w:rFonts w:hint="eastAsia" w:ascii="宋体" w:hAnsi="宋体" w:eastAsia="宋体" w:cs="宋体"/>
          <w:color w:val="auto"/>
          <w:sz w:val="22"/>
          <w:highlight w:val="none"/>
        </w:rPr>
        <w:t>项目承诺如下：</w:t>
      </w:r>
    </w:p>
    <w:p>
      <w:pPr>
        <w:spacing w:line="5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xml:space="preserve">                 </w:t>
      </w:r>
    </w:p>
    <w:p>
      <w:pPr>
        <w:spacing w:line="50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 xml:space="preserve">                 </w:t>
      </w:r>
    </w:p>
    <w:p>
      <w:pPr>
        <w:spacing w:line="500" w:lineRule="exact"/>
        <w:ind w:firstLine="440" w:firstLineChars="200"/>
        <w:rPr>
          <w:rFonts w:hint="eastAsia" w:ascii="宋体" w:hAnsi="宋体" w:eastAsia="宋体" w:cs="宋体"/>
          <w:b/>
          <w:color w:val="auto"/>
          <w:sz w:val="22"/>
          <w:highlight w:val="none"/>
        </w:rPr>
      </w:pPr>
      <w:r>
        <w:rPr>
          <w:rFonts w:hint="eastAsia" w:ascii="宋体" w:hAnsi="宋体" w:eastAsia="宋体" w:cs="宋体"/>
          <w:color w:val="auto"/>
          <w:sz w:val="22"/>
          <w:highlight w:val="none"/>
          <w:u w:val="single"/>
        </w:rPr>
        <w:t xml:space="preserve">                 </w:t>
      </w:r>
    </w:p>
    <w:p>
      <w:pPr>
        <w:spacing w:line="4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若不能落实到位，我方无条件接受采购人的任何处理决定，我单位对此无任何异议。</w:t>
      </w:r>
    </w:p>
    <w:p>
      <w:pPr>
        <w:spacing w:line="4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特此承诺！</w:t>
      </w:r>
    </w:p>
    <w:p>
      <w:pPr>
        <w:pStyle w:val="4"/>
        <w:spacing w:before="0" w:after="0"/>
        <w:jc w:val="left"/>
        <w:rPr>
          <w:rFonts w:hint="eastAsia" w:ascii="宋体" w:hAnsi="宋体" w:eastAsia="宋体" w:cs="宋体"/>
          <w:b w:val="0"/>
          <w:bCs w:val="0"/>
          <w:color w:val="auto"/>
          <w:kern w:val="2"/>
          <w:sz w:val="22"/>
          <w:szCs w:val="22"/>
          <w:highlight w:val="none"/>
        </w:rPr>
      </w:pPr>
    </w:p>
    <w:p>
      <w:pPr>
        <w:rPr>
          <w:rFonts w:hint="eastAsia" w:ascii="宋体" w:hAnsi="宋体" w:eastAsia="宋体" w:cs="宋体"/>
          <w:color w:val="auto"/>
          <w:sz w:val="22"/>
          <w:highlight w:val="none"/>
        </w:rPr>
      </w:pPr>
    </w:p>
    <w:p>
      <w:pPr>
        <w:widowControl/>
        <w:spacing w:line="400" w:lineRule="exact"/>
        <w:rPr>
          <w:rFonts w:hint="eastAsia" w:ascii="宋体" w:hAnsi="宋体" w:eastAsia="宋体" w:cs="宋体"/>
          <w:color w:val="auto"/>
          <w:kern w:val="0"/>
          <w:sz w:val="22"/>
          <w:highlight w:val="none"/>
        </w:rPr>
      </w:pPr>
    </w:p>
    <w:p>
      <w:pPr>
        <w:widowControl/>
        <w:spacing w:line="400" w:lineRule="exact"/>
        <w:rPr>
          <w:rFonts w:hint="eastAsia" w:ascii="宋体" w:hAnsi="宋体" w:eastAsia="宋体" w:cs="宋体"/>
          <w:color w:val="auto"/>
          <w:kern w:val="0"/>
          <w:sz w:val="24"/>
          <w:szCs w:val="24"/>
          <w:highlight w:val="none"/>
        </w:rPr>
      </w:pPr>
    </w:p>
    <w:p>
      <w:pPr>
        <w:widowControl/>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400" w:lineRule="exact"/>
        <w:jc w:val="left"/>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日期：</w:t>
      </w:r>
      <w:r>
        <w:rPr>
          <w:rFonts w:hint="eastAsia" w:ascii="宋体" w:hAnsi="宋体" w:eastAsia="宋体" w:cs="宋体"/>
          <w:color w:val="auto"/>
          <w:kern w:val="0"/>
          <w:sz w:val="22"/>
          <w:highlight w:val="none"/>
          <w:lang w:eastAsia="zh-CN"/>
        </w:rPr>
        <w:t xml:space="preserve">    年  月  日</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00" w:lineRule="exact"/>
        <w:rPr>
          <w:rFonts w:hint="eastAsia" w:ascii="宋体" w:hAnsi="宋体" w:eastAsia="宋体" w:cs="宋体"/>
          <w:b/>
          <w:color w:val="auto"/>
          <w:spacing w:val="-6"/>
          <w:sz w:val="24"/>
          <w:highlight w:val="none"/>
          <w:lang w:eastAsia="zh-CN"/>
        </w:rPr>
      </w:pPr>
      <w:r>
        <w:rPr>
          <w:rFonts w:hint="eastAsia" w:ascii="宋体" w:hAnsi="宋体" w:eastAsia="宋体" w:cs="宋体"/>
          <w:b/>
          <w:color w:val="auto"/>
          <w:sz w:val="24"/>
          <w:szCs w:val="24"/>
          <w:highlight w:val="none"/>
          <w:lang w:eastAsia="zh-CN"/>
        </w:rPr>
        <w:t>附件16</w:t>
      </w:r>
    </w:p>
    <w:p>
      <w:pPr>
        <w:spacing w:line="400" w:lineRule="exact"/>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投标</w:t>
      </w:r>
      <w:r>
        <w:rPr>
          <w:rFonts w:hint="eastAsia" w:ascii="宋体" w:hAnsi="宋体" w:eastAsia="宋体" w:cs="宋体"/>
          <w:b/>
          <w:bCs/>
          <w:color w:val="auto"/>
          <w:sz w:val="28"/>
          <w:szCs w:val="28"/>
          <w:highlight w:val="none"/>
        </w:rPr>
        <w:t>产品</w:t>
      </w:r>
      <w:r>
        <w:rPr>
          <w:rFonts w:hint="eastAsia" w:ascii="宋体" w:hAnsi="宋体" w:eastAsia="宋体" w:cs="宋体"/>
          <w:b/>
          <w:color w:val="auto"/>
          <w:spacing w:val="-6"/>
          <w:sz w:val="28"/>
          <w:szCs w:val="28"/>
          <w:highlight w:val="none"/>
        </w:rPr>
        <w:t>技术支持材料</w:t>
      </w:r>
    </w:p>
    <w:p>
      <w:pPr>
        <w:spacing w:line="400" w:lineRule="exact"/>
        <w:rPr>
          <w:rFonts w:hint="eastAsia" w:ascii="宋体" w:hAnsi="宋体" w:eastAsia="宋体" w:cs="宋体"/>
          <w:b/>
          <w:color w:val="auto"/>
          <w:spacing w:val="-6"/>
          <w:sz w:val="24"/>
          <w:highlight w:val="none"/>
        </w:rPr>
      </w:pPr>
    </w:p>
    <w:p>
      <w:pPr>
        <w:spacing w:line="400" w:lineRule="exact"/>
        <w:rPr>
          <w:rFonts w:hint="eastAsia" w:ascii="宋体" w:hAnsi="宋体" w:eastAsia="宋体" w:cs="宋体"/>
          <w:b/>
          <w:color w:val="auto"/>
          <w:spacing w:val="-6"/>
          <w:sz w:val="24"/>
          <w:highlight w:val="none"/>
        </w:rPr>
      </w:pP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说明：</w:t>
      </w:r>
    </w:p>
    <w:p>
      <w:pPr>
        <w:keepNext w:val="0"/>
        <w:keepLines w:val="0"/>
        <w:pageBreakBefore w:val="0"/>
        <w:widowControl w:val="0"/>
        <w:kinsoku/>
        <w:wordWrap/>
        <w:overflowPunct/>
        <w:topLinePunct w:val="0"/>
        <w:autoSpaceDE/>
        <w:autoSpaceDN/>
        <w:bidi w:val="0"/>
        <w:adjustRightInd/>
        <w:snapToGrid/>
        <w:spacing w:line="400" w:lineRule="exact"/>
        <w:ind w:firstLine="458" w:firstLineChars="200"/>
        <w:textAlignment w:val="auto"/>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1.投标人提供技术支持资料以证明其对技术指标的应答；</w:t>
      </w:r>
    </w:p>
    <w:p>
      <w:pPr>
        <w:keepNext w:val="0"/>
        <w:keepLines w:val="0"/>
        <w:pageBreakBefore w:val="0"/>
        <w:widowControl w:val="0"/>
        <w:kinsoku/>
        <w:wordWrap/>
        <w:overflowPunct/>
        <w:topLinePunct w:val="0"/>
        <w:autoSpaceDE/>
        <w:autoSpaceDN/>
        <w:bidi w:val="0"/>
        <w:adjustRightInd/>
        <w:snapToGrid/>
        <w:spacing w:line="400" w:lineRule="exact"/>
        <w:ind w:firstLine="458" w:firstLineChars="200"/>
        <w:textAlignment w:val="auto"/>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2.技术支持资料应是制造商公开发布的印刷资料（彩页、Datasheet）或由有关政府部门或检测机构合法出具的文件或报告；</w:t>
      </w:r>
    </w:p>
    <w:p>
      <w:pPr>
        <w:keepNext w:val="0"/>
        <w:keepLines w:val="0"/>
        <w:pageBreakBefore w:val="0"/>
        <w:widowControl w:val="0"/>
        <w:kinsoku/>
        <w:wordWrap/>
        <w:overflowPunct/>
        <w:topLinePunct w:val="0"/>
        <w:autoSpaceDE/>
        <w:autoSpaceDN/>
        <w:bidi w:val="0"/>
        <w:adjustRightInd/>
        <w:snapToGrid/>
        <w:spacing w:line="400" w:lineRule="exact"/>
        <w:ind w:firstLine="458" w:firstLineChars="200"/>
        <w:textAlignment w:val="auto"/>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3.不符合上述要求的资料，可被视为是无效的技术支持资料；</w:t>
      </w:r>
    </w:p>
    <w:p>
      <w:pPr>
        <w:keepNext w:val="0"/>
        <w:keepLines w:val="0"/>
        <w:pageBreakBefore w:val="0"/>
        <w:widowControl w:val="0"/>
        <w:kinsoku/>
        <w:wordWrap/>
        <w:overflowPunct/>
        <w:topLinePunct w:val="0"/>
        <w:autoSpaceDE/>
        <w:autoSpaceDN/>
        <w:bidi w:val="0"/>
        <w:adjustRightInd/>
        <w:snapToGrid/>
        <w:spacing w:line="400" w:lineRule="exact"/>
        <w:ind w:firstLine="458" w:firstLineChars="200"/>
        <w:textAlignment w:val="auto"/>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4.如上述资料之间存在不一致的，以有关政府部门或检测机构合法出具的文件或报告为准；</w:t>
      </w:r>
    </w:p>
    <w:p>
      <w:pPr>
        <w:keepNext w:val="0"/>
        <w:keepLines w:val="0"/>
        <w:pageBreakBefore w:val="0"/>
        <w:widowControl w:val="0"/>
        <w:kinsoku/>
        <w:wordWrap/>
        <w:overflowPunct/>
        <w:topLinePunct w:val="0"/>
        <w:autoSpaceDE/>
        <w:autoSpaceDN/>
        <w:bidi w:val="0"/>
        <w:adjustRightInd/>
        <w:snapToGrid/>
        <w:spacing w:line="400" w:lineRule="exact"/>
        <w:ind w:firstLine="458" w:firstLineChars="200"/>
        <w:textAlignment w:val="auto"/>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5.若对技术指标的应答无技术支持资料证明，评审小组可不予承认，并可认为该应答不符合招标文件要求，</w:t>
      </w:r>
      <w:r>
        <w:rPr>
          <w:rFonts w:hint="eastAsia" w:ascii="宋体" w:hAnsi="宋体" w:eastAsia="宋体" w:cs="宋体"/>
          <w:b/>
          <w:bCs/>
          <w:color w:val="auto"/>
          <w:spacing w:val="-6"/>
          <w:sz w:val="24"/>
          <w:highlight w:val="none"/>
        </w:rPr>
        <w:t>将作出不利于投标人的技术评审，其后果将由投标人自行承担</w:t>
      </w:r>
      <w:r>
        <w:rPr>
          <w:rFonts w:hint="eastAsia" w:ascii="宋体" w:hAnsi="宋体" w:eastAsia="宋体" w:cs="宋体"/>
          <w:b/>
          <w:color w:val="auto"/>
          <w:spacing w:val="-6"/>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58" w:firstLineChars="200"/>
        <w:textAlignment w:val="auto"/>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6.投标人可提供同等于或优于招标文件要求的产品和服务。</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color w:val="auto"/>
          <w:spacing w:val="-6"/>
          <w:sz w:val="24"/>
          <w:highlight w:val="none"/>
        </w:rPr>
      </w:pPr>
      <w:r>
        <w:rPr>
          <w:rFonts w:hint="eastAsia" w:ascii="宋体" w:hAnsi="宋体" w:eastAsia="宋体" w:cs="宋体"/>
          <w:b/>
          <w:color w:val="auto"/>
          <w:sz w:val="24"/>
          <w:szCs w:val="24"/>
          <w:highlight w:val="none"/>
        </w:rPr>
        <w:t>7.</w:t>
      </w:r>
      <w:r>
        <w:rPr>
          <w:rFonts w:hint="eastAsia" w:ascii="宋体" w:hAnsi="宋体" w:eastAsia="宋体" w:cs="宋体"/>
          <w:b/>
          <w:color w:val="auto"/>
          <w:spacing w:val="-6"/>
          <w:sz w:val="24"/>
          <w:highlight w:val="none"/>
        </w:rPr>
        <w:t>投标人不得提供虚假材料（包括伪造、变造证书、合同等）谋取中标、成交。投标人投标（响应）产品规格型号与官网公布的产品规格型号一致，但技术参数不一致的，应当在投标（响应）文件中阐述技术参数不一致的原因，以及通过何种技术路线来实现投标（响应）产品技术参数。</w:t>
      </w: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spacing w:line="400" w:lineRule="exact"/>
        <w:rPr>
          <w:rFonts w:hint="eastAsia" w:ascii="宋体" w:hAnsi="宋体" w:eastAsia="宋体" w:cs="宋体"/>
          <w:b/>
          <w:color w:val="auto"/>
          <w:spacing w:val="-6"/>
          <w:sz w:val="24"/>
          <w:highlight w:val="none"/>
          <w:lang w:eastAsia="zh-CN"/>
        </w:rPr>
      </w:pPr>
      <w:r>
        <w:rPr>
          <w:rFonts w:hint="eastAsia" w:ascii="宋体" w:hAnsi="宋体" w:eastAsia="宋体" w:cs="宋体"/>
          <w:b/>
          <w:color w:val="auto"/>
          <w:sz w:val="24"/>
          <w:szCs w:val="24"/>
          <w:highlight w:val="none"/>
          <w:lang w:eastAsia="zh-CN"/>
        </w:rPr>
        <w:t>附件17</w:t>
      </w:r>
    </w:p>
    <w:p>
      <w:pPr>
        <w:pStyle w:val="65"/>
        <w:snapToGrid w:val="0"/>
        <w:spacing w:line="600" w:lineRule="exact"/>
        <w:jc w:val="center"/>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政府采购活动现场确认声明书</w:t>
      </w:r>
    </w:p>
    <w:p>
      <w:pPr>
        <w:pStyle w:val="65"/>
        <w:snapToGrid w:val="0"/>
        <w:spacing w:line="400" w:lineRule="exact"/>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u w:val="single"/>
        </w:rPr>
        <w:t>浙江乐诚工程咨询有限公司</w:t>
      </w:r>
      <w:r>
        <w:rPr>
          <w:rFonts w:hint="eastAsia" w:ascii="宋体" w:hAnsi="宋体" w:eastAsia="宋体" w:cs="宋体"/>
          <w:color w:val="auto"/>
          <w:kern w:val="0"/>
          <w:sz w:val="24"/>
          <w:szCs w:val="24"/>
          <w:highlight w:val="none"/>
        </w:rPr>
        <w:t>：</w:t>
      </w:r>
    </w:p>
    <w:p>
      <w:pPr>
        <w:pStyle w:val="65"/>
        <w:snapToGrid w:val="0"/>
        <w:spacing w:line="40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本人经由</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pacing w:val="6"/>
          <w:sz w:val="24"/>
          <w:szCs w:val="24"/>
          <w:highlight w:val="none"/>
          <w:u w:val="single"/>
        </w:rPr>
        <w:t xml:space="preserve">单位）           </w:t>
      </w:r>
      <w:r>
        <w:rPr>
          <w:rFonts w:hint="eastAsia" w:ascii="宋体" w:hAnsi="宋体" w:eastAsia="宋体" w:cs="宋体"/>
          <w:color w:val="auto"/>
          <w:spacing w:val="6"/>
          <w:sz w:val="24"/>
          <w:szCs w:val="24"/>
          <w:highlight w:val="none"/>
        </w:rPr>
        <w:t>法人代表（负责人）</w:t>
      </w:r>
      <w:r>
        <w:rPr>
          <w:rFonts w:hint="eastAsia" w:ascii="宋体" w:hAnsi="宋体" w:eastAsia="宋体" w:cs="宋体"/>
          <w:color w:val="auto"/>
          <w:spacing w:val="6"/>
          <w:sz w:val="24"/>
          <w:szCs w:val="24"/>
          <w:highlight w:val="none"/>
          <w:u w:val="single"/>
        </w:rPr>
        <w:t xml:space="preserve">         （姓名）</w:t>
      </w:r>
      <w:r>
        <w:rPr>
          <w:rFonts w:hint="eastAsia" w:ascii="宋体" w:hAnsi="宋体" w:eastAsia="宋体" w:cs="宋体"/>
          <w:color w:val="auto"/>
          <w:spacing w:val="6"/>
          <w:sz w:val="24"/>
          <w:szCs w:val="24"/>
          <w:highlight w:val="none"/>
        </w:rPr>
        <w:t>合法授权参加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）标项</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 xml:space="preserve">政府采购活动，经与本单位法人代表（负责人）联系确认，现就有关公平竞争事项郑重声明如下： </w:t>
      </w:r>
    </w:p>
    <w:p>
      <w:pPr>
        <w:pStyle w:val="65"/>
        <w:numPr>
          <w:ilvl w:val="0"/>
          <w:numId w:val="7"/>
        </w:numPr>
        <w:snapToGrid w:val="0"/>
        <w:spacing w:line="40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本单位与采购人之间□不存在利害关系 □存在下列利害关系：</w:t>
      </w:r>
    </w:p>
    <w:p>
      <w:pPr>
        <w:pStyle w:val="65"/>
        <w:snapToGrid w:val="0"/>
        <w:spacing w:line="40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A.投资关系    B.行政隶属关系    C.业务指导关系</w:t>
      </w:r>
    </w:p>
    <w:p>
      <w:pPr>
        <w:pStyle w:val="65"/>
        <w:snapToGrid w:val="0"/>
        <w:spacing w:line="40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D.其他可能</w:t>
      </w:r>
      <w:r>
        <w:rPr>
          <w:rFonts w:hint="eastAsia" w:ascii="宋体" w:hAnsi="宋体" w:eastAsia="宋体" w:cs="宋体"/>
          <w:color w:val="auto"/>
          <w:sz w:val="24"/>
          <w:szCs w:val="24"/>
          <w:highlight w:val="none"/>
        </w:rPr>
        <w:t>影响采购公正的</w:t>
      </w:r>
      <w:r>
        <w:rPr>
          <w:rFonts w:hint="eastAsia" w:ascii="宋体" w:hAnsi="宋体" w:eastAsia="宋体" w:cs="宋体"/>
          <w:color w:val="auto"/>
          <w:kern w:val="0"/>
          <w:sz w:val="24"/>
          <w:szCs w:val="24"/>
          <w:highlight w:val="none"/>
        </w:rPr>
        <w:t>利害关系</w:t>
      </w:r>
      <w:r>
        <w:rPr>
          <w:rFonts w:hint="eastAsia" w:ascii="宋体" w:hAnsi="宋体" w:eastAsia="宋体" w:cs="宋体"/>
          <w:color w:val="auto"/>
          <w:kern w:val="0"/>
          <w:sz w:val="24"/>
          <w:szCs w:val="24"/>
          <w:highlight w:val="none"/>
          <w:u w:val="single"/>
        </w:rPr>
        <w:t xml:space="preserve">（如有，请如实说明）                 </w:t>
      </w:r>
      <w:r>
        <w:rPr>
          <w:rFonts w:hint="eastAsia" w:ascii="宋体" w:hAnsi="宋体" w:eastAsia="宋体" w:cs="宋体"/>
          <w:color w:val="auto"/>
          <w:kern w:val="0"/>
          <w:sz w:val="24"/>
          <w:szCs w:val="24"/>
          <w:highlight w:val="none"/>
        </w:rPr>
        <w:t>。</w:t>
      </w:r>
    </w:p>
    <w:p>
      <w:pPr>
        <w:pStyle w:val="66"/>
        <w:widowControl/>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spacing w:val="6"/>
          <w:sz w:val="24"/>
          <w:szCs w:val="24"/>
          <w:highlight w:val="none"/>
        </w:rPr>
        <w:t xml:space="preserve">  二、</w:t>
      </w:r>
      <w:r>
        <w:rPr>
          <w:rFonts w:hint="eastAsia" w:ascii="宋体" w:hAnsi="宋体" w:eastAsia="宋体" w:cs="宋体"/>
          <w:color w:val="auto"/>
          <w:kern w:val="0"/>
          <w:sz w:val="24"/>
          <w:szCs w:val="24"/>
          <w:highlight w:val="none"/>
        </w:rPr>
        <w:t>现已清楚知道参加本项目采购活动的其他所有供应商名称，本单位 □与其他所有供应商之间均不存在利害关系 □与</w:t>
      </w:r>
      <w:r>
        <w:rPr>
          <w:rFonts w:hint="eastAsia" w:ascii="宋体" w:hAnsi="宋体" w:eastAsia="宋体" w:cs="宋体"/>
          <w:color w:val="auto"/>
          <w:kern w:val="0"/>
          <w:sz w:val="24"/>
          <w:szCs w:val="24"/>
          <w:highlight w:val="none"/>
          <w:u w:val="single"/>
        </w:rPr>
        <w:t xml:space="preserve">           （供应商名称）</w:t>
      </w:r>
      <w:r>
        <w:rPr>
          <w:rFonts w:hint="eastAsia" w:ascii="宋体" w:hAnsi="宋体" w:eastAsia="宋体" w:cs="宋体"/>
          <w:color w:val="auto"/>
          <w:kern w:val="0"/>
          <w:sz w:val="24"/>
          <w:szCs w:val="24"/>
          <w:highlight w:val="none"/>
        </w:rPr>
        <w:t>之间存在下列利害关系：</w:t>
      </w:r>
    </w:p>
    <w:p>
      <w:pPr>
        <w:pStyle w:val="65"/>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A.法定代表人或负责人或实际控制人是同一人</w:t>
      </w:r>
    </w:p>
    <w:p>
      <w:pPr>
        <w:pStyle w:val="65"/>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 xml:space="preserve">  B.法定代表人或负责人或实际控制人是夫妻关系</w:t>
      </w:r>
    </w:p>
    <w:p>
      <w:pPr>
        <w:pStyle w:val="65"/>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 xml:space="preserve">  C.法定代表人或负责人或实际控制人是直系血亲关系</w:t>
      </w:r>
    </w:p>
    <w:p>
      <w:pPr>
        <w:pStyle w:val="65"/>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 xml:space="preserve">  D.法定代表人或负责人或实际控制人存在三代以内旁系血亲关系</w:t>
      </w:r>
    </w:p>
    <w:p>
      <w:pPr>
        <w:pStyle w:val="65"/>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E.法定代表人或负责人或实际控制人存在近姻亲关系</w:t>
      </w:r>
    </w:p>
    <w:p>
      <w:pPr>
        <w:pStyle w:val="65"/>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F.法定代表人或负责人或实际控制人存在股份控制或实际控制关系</w:t>
      </w:r>
    </w:p>
    <w:p>
      <w:pPr>
        <w:pStyle w:val="65"/>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G.存在共同直接或间接投资设立子公司、联营企业和合营企业情况</w:t>
      </w:r>
    </w:p>
    <w:p>
      <w:pPr>
        <w:pStyle w:val="65"/>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H.存在分级代理或代销关系、同一生产制造商关系、</w:t>
      </w:r>
      <w:r>
        <w:rPr>
          <w:rFonts w:hint="eastAsia" w:ascii="宋体" w:hAnsi="宋体" w:eastAsia="宋体" w:cs="宋体"/>
          <w:color w:val="auto"/>
          <w:sz w:val="24"/>
          <w:szCs w:val="24"/>
          <w:highlight w:val="none"/>
        </w:rPr>
        <w:t>管理关系、重要业务（占主营业务收入50%以上）或重要财务往来关系（如融资）等其他实质性控制关系</w:t>
      </w:r>
    </w:p>
    <w:p>
      <w:pPr>
        <w:pStyle w:val="65"/>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 xml:space="preserve">  I</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其他利害关系情况</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pPr>
        <w:pStyle w:val="66"/>
        <w:widowControl/>
        <w:numPr>
          <w:ilvl w:val="0"/>
          <w:numId w:val="8"/>
        </w:num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现已清楚知道并</w:t>
      </w:r>
      <w:r>
        <w:rPr>
          <w:rFonts w:hint="eastAsia" w:ascii="宋体" w:hAnsi="宋体" w:eastAsia="宋体" w:cs="宋体"/>
          <w:color w:val="auto"/>
          <w:kern w:val="0"/>
          <w:sz w:val="24"/>
          <w:szCs w:val="24"/>
          <w:highlight w:val="none"/>
        </w:rPr>
        <w:t>严格遵守政府采购法律法规和现场纪律。</w:t>
      </w:r>
    </w:p>
    <w:p>
      <w:pPr>
        <w:pStyle w:val="66"/>
        <w:widowControl/>
        <w:numPr>
          <w:ilvl w:val="0"/>
          <w:numId w:val="8"/>
        </w:num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我发现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供应商之间存在或可能存在上述第二条第</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项利害关系。</w:t>
      </w:r>
    </w:p>
    <w:p>
      <w:pPr>
        <w:pStyle w:val="65"/>
        <w:snapToGrid w:val="0"/>
        <w:spacing w:line="400" w:lineRule="exact"/>
        <w:ind w:firstLine="480" w:firstLineChars="200"/>
        <w:rPr>
          <w:rFonts w:hint="eastAsia" w:ascii="宋体" w:hAnsi="宋体" w:eastAsia="宋体" w:cs="宋体"/>
          <w:color w:val="auto"/>
          <w:sz w:val="24"/>
          <w:szCs w:val="24"/>
          <w:highlight w:val="none"/>
        </w:rPr>
      </w:pPr>
    </w:p>
    <w:p>
      <w:pPr>
        <w:pStyle w:val="65"/>
        <w:snapToGrid w:val="0"/>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供应商授权代表签名：</w:t>
      </w:r>
    </w:p>
    <w:p>
      <w:pPr>
        <w:pStyle w:val="65"/>
        <w:snapToGrid w:val="0"/>
        <w:spacing w:line="600" w:lineRule="exact"/>
        <w:ind w:right="2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2023年  月   日  </w:t>
      </w:r>
    </w:p>
    <w:p>
      <w:pPr>
        <w:spacing w:line="400" w:lineRule="exact"/>
        <w:rPr>
          <w:rFonts w:hint="eastAsia" w:ascii="宋体" w:hAnsi="宋体" w:eastAsia="宋体" w:cs="宋体"/>
          <w:b/>
          <w:color w:val="auto"/>
          <w:sz w:val="24"/>
          <w:szCs w:val="24"/>
          <w:highlight w:val="none"/>
        </w:rPr>
      </w:pPr>
    </w:p>
    <w:p>
      <w:pP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"mailto:投标人在投标文件解密后，通过电子邮件形式，向邮箱地址（1783329431@qq.com）发送《政府采购活动现场确认声明书》（上表）。" </w:instrText>
      </w:r>
      <w:r>
        <w:rPr>
          <w:rFonts w:hint="eastAsia" w:ascii="宋体" w:hAnsi="宋体" w:eastAsia="宋体" w:cs="宋体"/>
          <w:color w:val="auto"/>
          <w:highlight w:val="none"/>
        </w:rPr>
        <w:fldChar w:fldCharType="separate"/>
      </w:r>
      <w:r>
        <w:rPr>
          <w:rStyle w:val="38"/>
          <w:rFonts w:hint="eastAsia" w:ascii="宋体" w:hAnsi="宋体" w:eastAsia="宋体" w:cs="宋体"/>
          <w:b/>
          <w:bCs/>
          <w:color w:val="auto"/>
          <w:sz w:val="24"/>
          <w:highlight w:val="none"/>
        </w:rPr>
        <w:t>投标人在投标文件解密后，通过电子邮件形式，向邮箱地址（</w:t>
      </w:r>
      <w:r>
        <w:rPr>
          <w:rStyle w:val="38"/>
          <w:rFonts w:hint="eastAsia" w:ascii="宋体" w:hAnsi="宋体" w:eastAsia="宋体" w:cs="宋体"/>
          <w:b/>
          <w:bCs/>
          <w:color w:val="auto"/>
          <w:sz w:val="24"/>
          <w:highlight w:val="none"/>
          <w:lang w:eastAsia="zh-CN"/>
        </w:rPr>
        <w:t>2812799762</w:t>
      </w:r>
      <w:r>
        <w:rPr>
          <w:rStyle w:val="38"/>
          <w:rFonts w:hint="eastAsia" w:ascii="宋体" w:hAnsi="宋体" w:eastAsia="宋体" w:cs="宋体"/>
          <w:b/>
          <w:bCs/>
          <w:color w:val="auto"/>
          <w:sz w:val="24"/>
          <w:highlight w:val="none"/>
        </w:rPr>
        <w:t>@qq.com）发送《政府采购活动现场确认声明书》（上表）。</w:t>
      </w:r>
      <w:r>
        <w:rPr>
          <w:rStyle w:val="38"/>
          <w:rFonts w:hint="eastAsia" w:ascii="宋体" w:hAnsi="宋体" w:eastAsia="宋体" w:cs="宋体"/>
          <w:b/>
          <w:bCs/>
          <w:color w:val="auto"/>
          <w:sz w:val="24"/>
          <w:highlight w:val="none"/>
        </w:rPr>
        <w:fldChar w:fldCharType="end"/>
      </w:r>
    </w:p>
    <w:p>
      <w:pPr>
        <w:rPr>
          <w:rFonts w:hint="eastAsia" w:ascii="宋体" w:hAnsi="宋体" w:eastAsia="宋体" w:cs="宋体"/>
          <w:b/>
          <w:color w:val="auto"/>
          <w:spacing w:val="-6"/>
          <w:sz w:val="24"/>
          <w:highlight w:val="none"/>
          <w:lang w:eastAsia="zh-CN"/>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lang w:eastAsia="zh-CN"/>
        </w:rPr>
        <w:t>附件18</w:t>
      </w:r>
    </w:p>
    <w:p>
      <w:pPr>
        <w:widowControl/>
        <w:spacing w:line="315" w:lineRule="atLeast"/>
        <w:jc w:val="center"/>
        <w:rPr>
          <w:rFonts w:hint="eastAsia" w:ascii="宋体" w:hAnsi="宋体" w:eastAsia="宋体" w:cs="宋体"/>
          <w:color w:val="auto"/>
          <w:kern w:val="0"/>
          <w:sz w:val="32"/>
          <w:szCs w:val="32"/>
          <w:highlight w:val="none"/>
          <w:lang w:eastAsia="zh-CN"/>
        </w:rPr>
      </w:pPr>
      <w:r>
        <w:rPr>
          <w:rFonts w:hint="eastAsia" w:ascii="宋体" w:hAnsi="宋体" w:eastAsia="宋体" w:cs="宋体"/>
          <w:b/>
          <w:bCs/>
          <w:color w:val="auto"/>
          <w:kern w:val="0"/>
          <w:sz w:val="32"/>
          <w:szCs w:val="32"/>
          <w:highlight w:val="none"/>
          <w:lang w:eastAsia="zh-CN"/>
        </w:rPr>
        <w:t>质保期外年维保报价</w:t>
      </w:r>
    </w:p>
    <w:p>
      <w:pPr>
        <w:pStyle w:val="15"/>
        <w:snapToGrid w:val="0"/>
        <w:spacing w:line="288" w:lineRule="auto"/>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项目名称：                                            项目编号：                  </w:t>
      </w:r>
    </w:p>
    <w:p>
      <w:pPr>
        <w:pStyle w:val="15"/>
        <w:snapToGrid w:val="0"/>
        <w:spacing w:line="288" w:lineRule="auto"/>
        <w:jc w:val="right"/>
        <w:rPr>
          <w:rFonts w:hint="eastAsia" w:ascii="宋体" w:hAnsi="宋体" w:eastAsia="宋体" w:cs="宋体"/>
          <w:color w:val="auto"/>
          <w:kern w:val="0"/>
          <w:sz w:val="22"/>
          <w:highlight w:val="none"/>
        </w:rPr>
      </w:pPr>
      <w:r>
        <w:rPr>
          <w:rFonts w:hint="eastAsia" w:ascii="宋体" w:hAnsi="宋体" w:eastAsia="宋体" w:cs="宋体"/>
          <w:color w:val="auto"/>
          <w:spacing w:val="-6"/>
          <w:sz w:val="22"/>
          <w:highlight w:val="none"/>
        </w:rPr>
        <w:t>金额单位：人民币（元）</w:t>
      </w:r>
    </w:p>
    <w:tbl>
      <w:tblPr>
        <w:tblStyle w:val="32"/>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3056"/>
        <w:gridCol w:w="2635"/>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序号</w:t>
            </w:r>
          </w:p>
        </w:tc>
        <w:tc>
          <w:tcPr>
            <w:tcW w:w="305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lang w:eastAsia="zh-CN"/>
              </w:rPr>
            </w:pPr>
            <w:r>
              <w:rPr>
                <w:rFonts w:hint="eastAsia" w:ascii="宋体" w:hAnsi="宋体" w:eastAsia="宋体" w:cs="宋体"/>
                <w:snapToGrid w:val="0"/>
                <w:color w:val="auto"/>
                <w:kern w:val="0"/>
                <w:sz w:val="22"/>
                <w:highlight w:val="none"/>
                <w:lang w:val="en-US" w:eastAsia="zh-CN"/>
              </w:rPr>
              <w:t>内容</w:t>
            </w:r>
          </w:p>
        </w:tc>
        <w:tc>
          <w:tcPr>
            <w:tcW w:w="263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lang w:val="en-US" w:eastAsia="zh-CN"/>
              </w:rPr>
              <w:t>报价</w:t>
            </w:r>
            <w:r>
              <w:rPr>
                <w:rFonts w:hint="eastAsia" w:ascii="宋体" w:hAnsi="宋体" w:eastAsia="宋体" w:cs="宋体"/>
                <w:snapToGrid w:val="0"/>
                <w:color w:val="auto"/>
                <w:kern w:val="0"/>
                <w:sz w:val="22"/>
                <w:highlight w:val="none"/>
              </w:rPr>
              <w:t>（元）</w:t>
            </w:r>
          </w:p>
        </w:tc>
        <w:tc>
          <w:tcPr>
            <w:tcW w:w="141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lang w:val="en-US" w:eastAsia="zh-CN"/>
              </w:rPr>
            </w:pPr>
          </w:p>
        </w:tc>
        <w:tc>
          <w:tcPr>
            <w:tcW w:w="305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lang w:val="en-US" w:eastAsia="zh-CN"/>
              </w:rPr>
            </w:pPr>
            <w:r>
              <w:rPr>
                <w:rFonts w:hint="eastAsia" w:ascii="宋体" w:hAnsi="宋体" w:eastAsia="宋体" w:cs="宋体"/>
                <w:snapToGrid w:val="0"/>
                <w:color w:val="auto"/>
                <w:kern w:val="0"/>
                <w:sz w:val="22"/>
                <w:highlight w:val="none"/>
                <w:lang w:val="en-US" w:eastAsia="zh-CN"/>
              </w:rPr>
              <w:t>质保期外1年维保服务</w:t>
            </w:r>
          </w:p>
        </w:tc>
        <w:tc>
          <w:tcPr>
            <w:tcW w:w="2635"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305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lang w:val="en-US" w:eastAsia="zh-CN"/>
              </w:rPr>
            </w:pPr>
          </w:p>
        </w:tc>
        <w:tc>
          <w:tcPr>
            <w:tcW w:w="2635"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305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2635"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pStyle w:val="17"/>
              <w:adjustRightInd w:val="0"/>
              <w:snapToGrid w:val="0"/>
              <w:spacing w:line="360" w:lineRule="auto"/>
              <w:ind w:left="5250" w:leftChars="0"/>
              <w:jc w:val="center"/>
              <w:rPr>
                <w:rFonts w:hint="eastAsia" w:ascii="宋体" w:hAnsi="宋体" w:eastAsia="宋体" w:cs="宋体"/>
                <w:snapToGrid w:val="0"/>
                <w:color w:val="auto"/>
                <w:kern w:val="0"/>
                <w:sz w:val="22"/>
                <w:szCs w:val="22"/>
                <w:highlight w:val="none"/>
              </w:rPr>
            </w:pPr>
          </w:p>
        </w:tc>
        <w:tc>
          <w:tcPr>
            <w:tcW w:w="305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2635"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305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2635"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305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2635"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305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2635"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305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2635"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bl>
    <w:p>
      <w:pPr>
        <w:pStyle w:val="15"/>
        <w:snapToGrid w:val="0"/>
        <w:spacing w:line="360" w:lineRule="auto"/>
        <w:rPr>
          <w:rFonts w:hint="eastAsia" w:ascii="宋体" w:hAnsi="宋体" w:eastAsia="宋体" w:cs="宋体"/>
          <w:color w:val="auto"/>
          <w:kern w:val="0"/>
          <w:sz w:val="22"/>
          <w:highlight w:val="none"/>
        </w:rPr>
      </w:pPr>
    </w:p>
    <w:p>
      <w:pPr>
        <w:adjustRightInd w:val="0"/>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注：供应商根据实际情况填写</w:t>
      </w:r>
    </w:p>
    <w:p>
      <w:pPr>
        <w:widowControl/>
        <w:spacing w:line="400" w:lineRule="exact"/>
        <w:rPr>
          <w:rFonts w:hint="eastAsia" w:ascii="宋体" w:hAnsi="宋体" w:eastAsia="宋体" w:cs="宋体"/>
          <w:color w:val="auto"/>
          <w:kern w:val="0"/>
          <w:sz w:val="24"/>
          <w:szCs w:val="24"/>
          <w:highlight w:val="none"/>
        </w:rPr>
      </w:pPr>
    </w:p>
    <w:p>
      <w:pPr>
        <w:widowControl/>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400" w:lineRule="exact"/>
        <w:jc w:val="left"/>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日期：</w:t>
      </w:r>
      <w:r>
        <w:rPr>
          <w:rFonts w:hint="eastAsia" w:ascii="宋体" w:hAnsi="宋体" w:eastAsia="宋体" w:cs="宋体"/>
          <w:color w:val="auto"/>
          <w:kern w:val="0"/>
          <w:sz w:val="22"/>
          <w:highlight w:val="none"/>
          <w:lang w:eastAsia="zh-CN"/>
        </w:rPr>
        <w:t xml:space="preserve">    年  月  日</w:t>
      </w:r>
    </w:p>
    <w:p>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br w:type="page"/>
      </w:r>
    </w:p>
    <w:p>
      <w:pPr>
        <w:numPr>
          <w:ilvl w:val="0"/>
          <w:numId w:val="9"/>
        </w:numPr>
        <w:spacing w:line="400" w:lineRule="exact"/>
        <w:jc w:val="center"/>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bookmarkStart w:id="107" w:name="_Toc17135"/>
      <w:r>
        <w:rPr>
          <w:rFonts w:hint="eastAsia" w:ascii="宋体" w:hAnsi="宋体" w:eastAsia="宋体" w:cs="宋体"/>
          <w:b/>
          <w:color w:val="auto"/>
          <w:sz w:val="32"/>
          <w:highlight w:val="none"/>
        </w:rPr>
        <w:t>采购需求</w:t>
      </w:r>
      <w:bookmarkEnd w:id="107"/>
    </w:p>
    <w:p>
      <w:pPr>
        <w:pageBreakBefore w:val="0"/>
        <w:kinsoku/>
        <w:wordWrap/>
        <w:topLinePunct w:val="0"/>
        <w:bidi w:val="0"/>
        <w:snapToGrid w:val="0"/>
        <w:spacing w:line="340" w:lineRule="exact"/>
        <w:ind w:left="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z w:val="22"/>
          <w:szCs w:val="22"/>
          <w:highlight w:val="none"/>
        </w:rPr>
        <w:t>一.</w:t>
      </w:r>
      <w:r>
        <w:rPr>
          <w:rFonts w:hint="eastAsia" w:ascii="宋体" w:hAnsi="宋体" w:eastAsia="宋体" w:cs="宋体"/>
          <w:b/>
          <w:bCs/>
          <w:color w:val="auto"/>
          <w:spacing w:val="-6"/>
          <w:sz w:val="22"/>
          <w:szCs w:val="22"/>
          <w:highlight w:val="none"/>
        </w:rPr>
        <w:t>商务要求（技术要求里另有注明的以技术要求为准）</w:t>
      </w:r>
    </w:p>
    <w:tbl>
      <w:tblPr>
        <w:tblStyle w:val="32"/>
        <w:tblW w:w="93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1"/>
        <w:gridCol w:w="78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履约保证金</w:t>
            </w:r>
          </w:p>
        </w:tc>
        <w:tc>
          <w:tcPr>
            <w:tcW w:w="78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line="340" w:lineRule="exact"/>
              <w:ind w:left="0"/>
              <w:rPr>
                <w:rFonts w:hint="eastAsia" w:ascii="宋体" w:hAnsi="宋体" w:eastAsia="宋体" w:cs="宋体"/>
                <w:color w:val="auto"/>
                <w:spacing w:val="-6"/>
                <w:kern w:val="0"/>
                <w:sz w:val="22"/>
                <w:szCs w:val="22"/>
                <w:highlight w:val="none"/>
                <w:u w:val="single"/>
              </w:rPr>
            </w:pPr>
            <w:r>
              <w:rPr>
                <w:rFonts w:hint="eastAsia" w:ascii="宋体" w:hAnsi="宋体" w:eastAsia="宋体" w:cs="宋体"/>
                <w:color w:val="auto"/>
                <w:sz w:val="22"/>
                <w:szCs w:val="22"/>
                <w:highlight w:val="none"/>
                <w:u w:val="single"/>
              </w:rPr>
              <w:t>▲</w:t>
            </w:r>
            <w:r>
              <w:rPr>
                <w:rFonts w:hint="eastAsia" w:ascii="宋体" w:hAnsi="宋体" w:eastAsia="宋体" w:cs="宋体"/>
                <w:color w:val="auto"/>
                <w:spacing w:val="-6"/>
                <w:kern w:val="0"/>
                <w:sz w:val="22"/>
                <w:szCs w:val="22"/>
                <w:highlight w:val="none"/>
                <w:u w:val="single"/>
                <w:lang w:bidi="ar"/>
              </w:rPr>
              <w:t>1.合同签订</w:t>
            </w:r>
            <w:r>
              <w:rPr>
                <w:rFonts w:hint="eastAsia" w:ascii="宋体" w:hAnsi="宋体" w:cs="宋体"/>
                <w:color w:val="auto"/>
                <w:spacing w:val="-6"/>
                <w:kern w:val="0"/>
                <w:sz w:val="22"/>
                <w:szCs w:val="22"/>
                <w:highlight w:val="none"/>
                <w:u w:val="single"/>
                <w:lang w:val="en-US" w:eastAsia="zh-CN" w:bidi="ar"/>
              </w:rPr>
              <w:t>后5个工作日内</w:t>
            </w:r>
            <w:r>
              <w:rPr>
                <w:rFonts w:hint="eastAsia" w:ascii="宋体" w:hAnsi="宋体" w:eastAsia="宋体" w:cs="宋体"/>
                <w:color w:val="auto"/>
                <w:spacing w:val="-6"/>
                <w:kern w:val="0"/>
                <w:sz w:val="22"/>
                <w:szCs w:val="22"/>
                <w:highlight w:val="none"/>
                <w:u w:val="single"/>
                <w:lang w:bidi="ar"/>
              </w:rPr>
              <w:t>，</w:t>
            </w:r>
            <w:r>
              <w:rPr>
                <w:rFonts w:hint="eastAsia" w:ascii="宋体" w:hAnsi="宋体" w:eastAsia="宋体" w:cs="宋体"/>
                <w:color w:val="auto"/>
                <w:spacing w:val="-6"/>
                <w:kern w:val="0"/>
                <w:sz w:val="22"/>
                <w:szCs w:val="22"/>
                <w:highlight w:val="none"/>
                <w:u w:val="single"/>
                <w:lang w:eastAsia="zh-CN" w:bidi="ar"/>
              </w:rPr>
              <w:t>中标人</w:t>
            </w:r>
            <w:r>
              <w:rPr>
                <w:rFonts w:hint="eastAsia" w:ascii="宋体" w:hAnsi="宋体" w:eastAsia="宋体" w:cs="宋体"/>
                <w:color w:val="auto"/>
                <w:spacing w:val="-6"/>
                <w:kern w:val="0"/>
                <w:sz w:val="22"/>
                <w:szCs w:val="22"/>
                <w:highlight w:val="none"/>
                <w:u w:val="single"/>
                <w:lang w:bidi="ar"/>
              </w:rPr>
              <w:t>向采购人提交合同总价1%的履约保证金，履约保证金在合同履约期间无违约情形的，项目验收合格后，于</w:t>
            </w:r>
            <w:r>
              <w:rPr>
                <w:rFonts w:hint="eastAsia" w:ascii="宋体" w:hAnsi="宋体" w:eastAsia="宋体" w:cs="宋体"/>
                <w:color w:val="auto"/>
                <w:spacing w:val="-6"/>
                <w:kern w:val="0"/>
                <w:sz w:val="22"/>
                <w:szCs w:val="22"/>
                <w:highlight w:val="none"/>
                <w:u w:val="single"/>
                <w:lang w:val="en-US" w:eastAsia="zh-CN" w:bidi="ar"/>
              </w:rPr>
              <w:t>7个工作日</w:t>
            </w:r>
            <w:r>
              <w:rPr>
                <w:rFonts w:hint="eastAsia" w:ascii="宋体" w:hAnsi="宋体" w:eastAsia="宋体" w:cs="宋体"/>
                <w:color w:val="auto"/>
                <w:spacing w:val="-6"/>
                <w:kern w:val="0"/>
                <w:sz w:val="22"/>
                <w:szCs w:val="22"/>
                <w:highlight w:val="none"/>
                <w:u w:val="single"/>
                <w:lang w:bidi="ar"/>
              </w:rPr>
              <w:t>内退还（不计息）；</w:t>
            </w:r>
          </w:p>
          <w:p>
            <w:pPr>
              <w:pageBreakBefore w:val="0"/>
              <w:kinsoku/>
              <w:wordWrap/>
              <w:topLinePunct w:val="0"/>
              <w:bidi w:val="0"/>
              <w:adjustRightInd w:val="0"/>
              <w:snapToGrid w:val="0"/>
              <w:spacing w:line="340" w:lineRule="exact"/>
              <w:ind w:left="0"/>
              <w:rPr>
                <w:rFonts w:hint="eastAsia" w:ascii="宋体" w:hAnsi="宋体" w:eastAsia="宋体" w:cs="宋体"/>
                <w:b/>
                <w:bCs/>
                <w:color w:val="auto"/>
                <w:spacing w:val="-6"/>
                <w:sz w:val="22"/>
                <w:szCs w:val="22"/>
                <w:highlight w:val="none"/>
                <w:u w:val="single"/>
              </w:rPr>
            </w:pPr>
            <w:r>
              <w:rPr>
                <w:rFonts w:hint="eastAsia" w:ascii="宋体" w:hAnsi="宋体" w:eastAsia="宋体" w:cs="宋体"/>
                <w:color w:val="auto"/>
                <w:spacing w:val="-6"/>
                <w:kern w:val="0"/>
                <w:sz w:val="22"/>
                <w:szCs w:val="22"/>
                <w:highlight w:val="none"/>
                <w:u w:val="single"/>
                <w:lang w:bidi="ar"/>
              </w:rPr>
              <w:t>2.提交方式：支票、汇票、本票或金融机构、担保机构出具的保函等非现金形式。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支付方式</w:t>
            </w:r>
          </w:p>
        </w:tc>
        <w:tc>
          <w:tcPr>
            <w:tcW w:w="78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autoSpaceDE w:val="0"/>
              <w:autoSpaceDN w:val="0"/>
              <w:bidi w:val="0"/>
              <w:adjustRightInd w:val="0"/>
              <w:snapToGrid w:val="0"/>
              <w:spacing w:line="340" w:lineRule="exact"/>
              <w:ind w:left="0"/>
              <w:jc w:val="left"/>
              <w:rPr>
                <w:rFonts w:hint="eastAsia" w:ascii="宋体" w:hAnsi="宋体" w:eastAsia="宋体" w:cs="宋体"/>
                <w:color w:val="auto"/>
                <w:spacing w:val="-6"/>
                <w:kern w:val="0"/>
                <w:sz w:val="22"/>
                <w:szCs w:val="22"/>
                <w:highlight w:val="none"/>
                <w:u w:val="single"/>
                <w:lang w:val="en-US" w:bidi="ar"/>
              </w:rPr>
            </w:pPr>
            <w:r>
              <w:rPr>
                <w:rFonts w:hint="eastAsia" w:ascii="宋体" w:hAnsi="宋体" w:eastAsia="宋体" w:cs="宋体"/>
                <w:color w:val="auto"/>
                <w:sz w:val="22"/>
                <w:szCs w:val="22"/>
                <w:highlight w:val="none"/>
                <w:u w:val="single"/>
              </w:rPr>
              <w:t>▲</w:t>
            </w:r>
            <w:r>
              <w:rPr>
                <w:rFonts w:hint="eastAsia" w:ascii="宋体" w:hAnsi="宋体" w:eastAsia="宋体" w:cs="宋体"/>
                <w:color w:val="auto"/>
                <w:spacing w:val="-6"/>
                <w:kern w:val="0"/>
                <w:sz w:val="22"/>
                <w:szCs w:val="22"/>
                <w:highlight w:val="none"/>
                <w:u w:val="single"/>
                <w:lang w:bidi="ar"/>
              </w:rPr>
              <w:t>1.合同生效以及具备实施条件后7个工作日内，且</w:t>
            </w:r>
            <w:r>
              <w:rPr>
                <w:rFonts w:hint="eastAsia" w:ascii="宋体" w:hAnsi="宋体" w:eastAsia="宋体" w:cs="宋体"/>
                <w:color w:val="auto"/>
                <w:spacing w:val="-6"/>
                <w:kern w:val="0"/>
                <w:sz w:val="22"/>
                <w:szCs w:val="22"/>
                <w:highlight w:val="none"/>
                <w:u w:val="single"/>
                <w:lang w:eastAsia="zh-CN" w:bidi="ar"/>
              </w:rPr>
              <w:t>中标人</w:t>
            </w:r>
            <w:r>
              <w:rPr>
                <w:rFonts w:hint="eastAsia" w:ascii="宋体" w:hAnsi="宋体" w:eastAsia="宋体" w:cs="宋体"/>
                <w:color w:val="auto"/>
                <w:spacing w:val="-6"/>
                <w:kern w:val="0"/>
                <w:sz w:val="22"/>
                <w:szCs w:val="22"/>
                <w:highlight w:val="none"/>
                <w:u w:val="single"/>
                <w:lang w:bidi="ar"/>
              </w:rPr>
              <w:t>已向</w:t>
            </w:r>
            <w:r>
              <w:rPr>
                <w:rFonts w:hint="eastAsia" w:ascii="宋体" w:hAnsi="宋体" w:cs="宋体"/>
                <w:color w:val="auto"/>
                <w:spacing w:val="-6"/>
                <w:kern w:val="0"/>
                <w:sz w:val="22"/>
                <w:szCs w:val="22"/>
                <w:highlight w:val="none"/>
                <w:u w:val="single"/>
                <w:lang w:val="en-US" w:eastAsia="zh-CN" w:bidi="ar"/>
              </w:rPr>
              <w:t>采购人</w:t>
            </w:r>
            <w:r>
              <w:rPr>
                <w:rFonts w:hint="eastAsia" w:ascii="宋体" w:hAnsi="宋体" w:eastAsia="宋体" w:cs="宋体"/>
                <w:color w:val="auto"/>
                <w:spacing w:val="-6"/>
                <w:kern w:val="0"/>
                <w:sz w:val="22"/>
                <w:szCs w:val="22"/>
                <w:highlight w:val="none"/>
                <w:u w:val="single"/>
                <w:lang w:bidi="ar"/>
              </w:rPr>
              <w:t>提交银行、保险公司等金融机构出具的预付款保函的，</w:t>
            </w:r>
            <w:r>
              <w:rPr>
                <w:rFonts w:hint="eastAsia" w:ascii="宋体" w:hAnsi="宋体" w:eastAsia="宋体" w:cs="宋体"/>
                <w:color w:val="auto"/>
                <w:spacing w:val="-6"/>
                <w:kern w:val="0"/>
                <w:sz w:val="22"/>
                <w:szCs w:val="22"/>
                <w:highlight w:val="none"/>
                <w:u w:val="single"/>
                <w:lang w:val="en-US" w:eastAsia="zh-CN" w:bidi="ar"/>
              </w:rPr>
              <w:t>采购人</w:t>
            </w:r>
            <w:r>
              <w:rPr>
                <w:rFonts w:hint="eastAsia" w:ascii="宋体" w:hAnsi="宋体" w:eastAsia="宋体" w:cs="宋体"/>
                <w:color w:val="auto"/>
                <w:spacing w:val="-6"/>
                <w:kern w:val="0"/>
                <w:sz w:val="22"/>
                <w:szCs w:val="22"/>
                <w:highlight w:val="none"/>
                <w:u w:val="single"/>
                <w:lang w:bidi="ar"/>
              </w:rPr>
              <w:t>向</w:t>
            </w:r>
            <w:r>
              <w:rPr>
                <w:rFonts w:hint="eastAsia" w:ascii="宋体" w:hAnsi="宋体" w:eastAsia="宋体" w:cs="宋体"/>
                <w:color w:val="auto"/>
                <w:spacing w:val="-6"/>
                <w:kern w:val="0"/>
                <w:sz w:val="22"/>
                <w:szCs w:val="22"/>
                <w:highlight w:val="none"/>
                <w:u w:val="single"/>
                <w:lang w:eastAsia="zh-CN" w:bidi="ar"/>
              </w:rPr>
              <w:t>中标人</w:t>
            </w:r>
            <w:r>
              <w:rPr>
                <w:rFonts w:hint="eastAsia" w:ascii="宋体" w:hAnsi="宋体" w:eastAsia="宋体" w:cs="宋体"/>
                <w:color w:val="auto"/>
                <w:spacing w:val="-6"/>
                <w:kern w:val="0"/>
                <w:sz w:val="22"/>
                <w:szCs w:val="22"/>
                <w:highlight w:val="none"/>
                <w:u w:val="single"/>
                <w:lang w:bidi="ar"/>
              </w:rPr>
              <w:t>支付合同总价40%的预付款，</w:t>
            </w:r>
            <w:r>
              <w:rPr>
                <w:rFonts w:hint="eastAsia" w:ascii="宋体" w:hAnsi="宋体" w:eastAsia="宋体" w:cs="宋体"/>
                <w:color w:val="auto"/>
                <w:spacing w:val="-6"/>
                <w:kern w:val="0"/>
                <w:sz w:val="22"/>
                <w:szCs w:val="22"/>
                <w:highlight w:val="none"/>
                <w:u w:val="single"/>
                <w:lang w:val="en-US" w:eastAsia="zh-CN" w:bidi="ar"/>
              </w:rPr>
              <w:t>采购人</w:t>
            </w:r>
            <w:r>
              <w:rPr>
                <w:rFonts w:hint="eastAsia" w:ascii="宋体" w:hAnsi="宋体" w:eastAsia="宋体" w:cs="宋体"/>
                <w:color w:val="auto"/>
                <w:spacing w:val="-6"/>
                <w:kern w:val="0"/>
                <w:sz w:val="22"/>
                <w:szCs w:val="22"/>
                <w:highlight w:val="none"/>
                <w:u w:val="single"/>
                <w:lang w:bidi="ar"/>
              </w:rPr>
              <w:t>在项目</w:t>
            </w:r>
            <w:r>
              <w:rPr>
                <w:rFonts w:hint="eastAsia" w:ascii="宋体" w:hAnsi="宋体" w:eastAsia="宋体" w:cs="宋体"/>
                <w:color w:val="auto"/>
                <w:spacing w:val="-6"/>
                <w:kern w:val="0"/>
                <w:sz w:val="22"/>
                <w:szCs w:val="22"/>
                <w:highlight w:val="none"/>
                <w:u w:val="single"/>
                <w:lang w:val="en-US" w:eastAsia="zh-CN" w:bidi="ar"/>
              </w:rPr>
              <w:t>验收</w:t>
            </w:r>
            <w:r>
              <w:rPr>
                <w:rFonts w:hint="eastAsia" w:ascii="宋体" w:hAnsi="宋体" w:eastAsia="宋体" w:cs="宋体"/>
                <w:color w:val="auto"/>
                <w:spacing w:val="-6"/>
                <w:kern w:val="0"/>
                <w:sz w:val="22"/>
                <w:szCs w:val="22"/>
                <w:highlight w:val="none"/>
                <w:u w:val="single"/>
                <w:lang w:bidi="ar"/>
              </w:rPr>
              <w:t>合格后向</w:t>
            </w:r>
            <w:r>
              <w:rPr>
                <w:rFonts w:hint="eastAsia" w:ascii="宋体" w:hAnsi="宋体" w:eastAsia="宋体" w:cs="宋体"/>
                <w:color w:val="auto"/>
                <w:spacing w:val="-6"/>
                <w:kern w:val="0"/>
                <w:sz w:val="22"/>
                <w:szCs w:val="22"/>
                <w:highlight w:val="none"/>
                <w:u w:val="single"/>
                <w:lang w:eastAsia="zh-CN" w:bidi="ar"/>
              </w:rPr>
              <w:t>中标人</w:t>
            </w:r>
            <w:r>
              <w:rPr>
                <w:rFonts w:hint="eastAsia" w:ascii="宋体" w:hAnsi="宋体" w:eastAsia="宋体" w:cs="宋体"/>
                <w:color w:val="auto"/>
                <w:spacing w:val="-6"/>
                <w:kern w:val="0"/>
                <w:sz w:val="22"/>
                <w:szCs w:val="22"/>
                <w:highlight w:val="none"/>
                <w:u w:val="single"/>
                <w:lang w:bidi="ar"/>
              </w:rPr>
              <w:t>支付</w:t>
            </w:r>
            <w:r>
              <w:rPr>
                <w:rFonts w:hint="eastAsia" w:ascii="宋体" w:hAnsi="宋体" w:eastAsia="宋体" w:cs="宋体"/>
                <w:color w:val="auto"/>
                <w:spacing w:val="-6"/>
                <w:kern w:val="0"/>
                <w:sz w:val="22"/>
                <w:szCs w:val="22"/>
                <w:highlight w:val="none"/>
                <w:u w:val="single"/>
                <w:lang w:val="en-US" w:eastAsia="zh-CN" w:bidi="ar"/>
              </w:rPr>
              <w:t>合同尾款</w:t>
            </w:r>
            <w:r>
              <w:rPr>
                <w:rFonts w:hint="eastAsia" w:ascii="宋体" w:hAnsi="宋体" w:eastAsia="宋体" w:cs="宋体"/>
                <w:color w:val="auto"/>
                <w:spacing w:val="-6"/>
                <w:kern w:val="0"/>
                <w:sz w:val="22"/>
                <w:szCs w:val="22"/>
                <w:highlight w:val="none"/>
                <w:u w:val="single"/>
                <w:lang w:val="zh-CN" w:bidi="ar"/>
              </w:rPr>
              <w:t>。</w:t>
            </w:r>
          </w:p>
          <w:p>
            <w:pPr>
              <w:pageBreakBefore w:val="0"/>
              <w:kinsoku/>
              <w:wordWrap/>
              <w:topLinePunct w:val="0"/>
              <w:autoSpaceDE w:val="0"/>
              <w:autoSpaceDN w:val="0"/>
              <w:bidi w:val="0"/>
              <w:adjustRightInd w:val="0"/>
              <w:snapToGrid w:val="0"/>
              <w:spacing w:line="340" w:lineRule="exact"/>
              <w:ind w:left="0"/>
              <w:jc w:val="left"/>
              <w:rPr>
                <w:rFonts w:hint="eastAsia" w:ascii="宋体" w:hAnsi="宋体" w:eastAsia="宋体" w:cs="宋体"/>
                <w:color w:val="auto"/>
                <w:sz w:val="22"/>
                <w:szCs w:val="22"/>
                <w:highlight w:val="none"/>
                <w:u w:val="single"/>
              </w:rPr>
            </w:pPr>
            <w:r>
              <w:rPr>
                <w:rFonts w:hint="eastAsia" w:ascii="宋体" w:hAnsi="宋体" w:eastAsia="宋体" w:cs="宋体"/>
                <w:color w:val="auto"/>
                <w:spacing w:val="-6"/>
                <w:kern w:val="0"/>
                <w:sz w:val="22"/>
                <w:szCs w:val="22"/>
                <w:highlight w:val="none"/>
                <w:u w:val="single"/>
                <w:lang w:val="en-US" w:eastAsia="zh-CN" w:bidi="ar"/>
              </w:rPr>
              <w:t>注：在合同签订时，</w:t>
            </w:r>
            <w:r>
              <w:rPr>
                <w:rFonts w:hint="eastAsia" w:ascii="宋体" w:hAnsi="宋体" w:eastAsia="宋体" w:cs="宋体"/>
                <w:color w:val="auto"/>
                <w:spacing w:val="-6"/>
                <w:kern w:val="0"/>
                <w:sz w:val="22"/>
                <w:szCs w:val="22"/>
                <w:highlight w:val="none"/>
                <w:u w:val="single"/>
                <w:lang w:eastAsia="zh-CN" w:bidi="ar"/>
              </w:rPr>
              <w:t>中标人</w:t>
            </w:r>
            <w:r>
              <w:rPr>
                <w:rFonts w:hint="eastAsia" w:ascii="宋体" w:hAnsi="宋体" w:eastAsia="宋体" w:cs="宋体"/>
                <w:color w:val="auto"/>
                <w:spacing w:val="-6"/>
                <w:kern w:val="0"/>
                <w:sz w:val="22"/>
                <w:szCs w:val="22"/>
                <w:highlight w:val="none"/>
                <w:u w:val="single"/>
                <w:lang w:val="en-US" w:eastAsia="zh-CN" w:bidi="ar"/>
              </w:rPr>
              <w:t>明确表示无需预付款或者主动要求降低预付款比例的，按实际比例计</w:t>
            </w:r>
            <w:r>
              <w:rPr>
                <w:rFonts w:hint="eastAsia" w:ascii="宋体" w:hAnsi="宋体" w:eastAsia="宋体" w:cs="宋体"/>
                <w:color w:val="auto"/>
                <w:spacing w:val="-6"/>
                <w:kern w:val="0"/>
                <w:sz w:val="22"/>
                <w:szCs w:val="22"/>
                <w:highlight w:val="none"/>
                <w:u w:val="single"/>
                <w:lang w:bidi="ar"/>
              </w:rPr>
              <w:t>（预付款保函同步调整）</w:t>
            </w:r>
            <w:r>
              <w:rPr>
                <w:rFonts w:hint="eastAsia" w:ascii="宋体" w:hAnsi="宋体" w:eastAsia="宋体" w:cs="宋体"/>
                <w:color w:val="auto"/>
                <w:spacing w:val="-6"/>
                <w:kern w:val="0"/>
                <w:sz w:val="22"/>
                <w:szCs w:val="22"/>
                <w:highlight w:val="none"/>
                <w:u w:val="single"/>
                <w:lang w:val="en-US" w:eastAsia="zh-CN" w:bidi="ar"/>
              </w:rPr>
              <w:t>。采购人对于满足合同约定支付条件的，自收到发票后7个工作日内将资金支付到合同约定的</w:t>
            </w:r>
            <w:r>
              <w:rPr>
                <w:rFonts w:hint="eastAsia" w:ascii="宋体" w:hAnsi="宋体" w:eastAsia="宋体" w:cs="宋体"/>
                <w:color w:val="auto"/>
                <w:spacing w:val="-6"/>
                <w:kern w:val="0"/>
                <w:sz w:val="22"/>
                <w:szCs w:val="22"/>
                <w:highlight w:val="none"/>
                <w:u w:val="single"/>
                <w:lang w:eastAsia="zh-CN" w:bidi="ar"/>
              </w:rPr>
              <w:t>中标人</w:t>
            </w:r>
            <w:r>
              <w:rPr>
                <w:rFonts w:hint="eastAsia" w:ascii="宋体" w:hAnsi="宋体" w:eastAsia="宋体" w:cs="宋体"/>
                <w:color w:val="auto"/>
                <w:spacing w:val="-6"/>
                <w:kern w:val="0"/>
                <w:sz w:val="22"/>
                <w:szCs w:val="22"/>
                <w:highlight w:val="none"/>
                <w:u w:val="single"/>
                <w:lang w:val="en-US" w:eastAsia="zh-CN" w:bidi="ar"/>
              </w:rPr>
              <w:t>账户</w:t>
            </w:r>
            <w:r>
              <w:rPr>
                <w:rFonts w:hint="eastAsia" w:ascii="宋体" w:hAnsi="宋体" w:eastAsia="宋体" w:cs="宋体"/>
                <w:color w:val="auto"/>
                <w:spacing w:val="-6"/>
                <w:kern w:val="0"/>
                <w:sz w:val="22"/>
                <w:szCs w:val="22"/>
                <w:highlight w:val="none"/>
                <w:u w:val="single"/>
                <w:lang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质保期</w:t>
            </w:r>
          </w:p>
        </w:tc>
        <w:tc>
          <w:tcPr>
            <w:tcW w:w="78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w:t>
            </w:r>
            <w:r>
              <w:rPr>
                <w:rFonts w:hint="eastAsia" w:ascii="宋体" w:hAnsi="宋体" w:cs="宋体"/>
                <w:color w:val="auto"/>
                <w:kern w:val="2"/>
                <w:sz w:val="22"/>
                <w:szCs w:val="22"/>
                <w:highlight w:val="none"/>
                <w:u w:val="single"/>
                <w:lang w:val="en-US" w:eastAsia="zh-CN" w:bidi="ar-SA"/>
              </w:rPr>
              <w:t>微生物质谱检测系统</w:t>
            </w:r>
            <w:r>
              <w:rPr>
                <w:rFonts w:hint="eastAsia" w:ascii="宋体" w:hAnsi="宋体" w:eastAsia="宋体" w:cs="宋体"/>
                <w:color w:val="auto"/>
                <w:kern w:val="2"/>
                <w:sz w:val="22"/>
                <w:szCs w:val="22"/>
                <w:highlight w:val="none"/>
                <w:u w:val="single"/>
                <w:lang w:val="en-US" w:eastAsia="zh-CN" w:bidi="ar-SA"/>
              </w:rPr>
              <w:t>自验收之日起质保期3年，其他产品自验收之日起质保期</w:t>
            </w:r>
            <w:r>
              <w:rPr>
                <w:rFonts w:hint="eastAsia" w:ascii="宋体" w:hAnsi="宋体" w:cs="宋体"/>
                <w:color w:val="auto"/>
                <w:kern w:val="2"/>
                <w:sz w:val="22"/>
                <w:szCs w:val="22"/>
                <w:highlight w:val="none"/>
                <w:u w:val="single"/>
                <w:lang w:val="en-US" w:eastAsia="zh-CN" w:bidi="ar-SA"/>
              </w:rPr>
              <w:t>2</w:t>
            </w:r>
            <w:r>
              <w:rPr>
                <w:rFonts w:hint="eastAsia" w:ascii="宋体" w:hAnsi="宋体" w:eastAsia="宋体" w:cs="宋体"/>
                <w:color w:val="auto"/>
                <w:kern w:val="2"/>
                <w:sz w:val="22"/>
                <w:szCs w:val="22"/>
                <w:highlight w:val="none"/>
                <w:u w:val="single"/>
                <w:lang w:val="en-US" w:eastAsia="zh-CN" w:bidi="ar-SA"/>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color w:val="auto"/>
                <w:sz w:val="22"/>
                <w:szCs w:val="22"/>
                <w:highlight w:val="none"/>
                <w:u w:val="none"/>
              </w:rPr>
            </w:pPr>
            <w:r>
              <w:rPr>
                <w:rFonts w:hint="eastAsia" w:ascii="宋体" w:hAnsi="宋体" w:eastAsia="宋体" w:cs="宋体"/>
                <w:b/>
                <w:bCs/>
                <w:color w:val="auto"/>
                <w:sz w:val="22"/>
                <w:szCs w:val="22"/>
                <w:highlight w:val="none"/>
                <w:u w:val="none"/>
              </w:rPr>
              <w:t>交付时间</w:t>
            </w:r>
          </w:p>
        </w:tc>
        <w:tc>
          <w:tcPr>
            <w:tcW w:w="78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ind w:lef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自合同签订之日起</w:t>
            </w:r>
            <w:r>
              <w:rPr>
                <w:rFonts w:hint="eastAsia" w:ascii="宋体" w:hAnsi="宋体" w:cs="宋体"/>
                <w:color w:val="auto"/>
                <w:sz w:val="22"/>
                <w:szCs w:val="22"/>
                <w:highlight w:val="none"/>
                <w:lang w:val="en-US" w:eastAsia="zh-CN"/>
              </w:rPr>
              <w:t>60</w:t>
            </w:r>
            <w:r>
              <w:rPr>
                <w:rFonts w:hint="eastAsia" w:ascii="宋体" w:hAnsi="宋体" w:eastAsia="宋体" w:cs="宋体"/>
                <w:color w:val="auto"/>
                <w:sz w:val="22"/>
                <w:szCs w:val="22"/>
                <w:highlight w:val="none"/>
              </w:rPr>
              <w:t>日内交付使用。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交付地点</w:t>
            </w:r>
          </w:p>
        </w:tc>
        <w:tc>
          <w:tcPr>
            <w:tcW w:w="7889"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autoSpaceDE/>
              <w:autoSpaceDN/>
              <w:bidi w:val="0"/>
              <w:adjustRightInd/>
              <w:spacing w:line="340" w:lineRule="exact"/>
              <w:ind w:left="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文成县卫生健康局</w:t>
            </w:r>
            <w:r>
              <w:rPr>
                <w:rFonts w:hint="eastAsia" w:ascii="宋体" w:hAnsi="宋体" w:eastAsia="宋体" w:cs="宋体"/>
                <w:color w:val="auto"/>
                <w:sz w:val="22"/>
                <w:szCs w:val="22"/>
                <w:highlight w:val="none"/>
              </w:rPr>
              <w:t>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line="340" w:lineRule="exact"/>
              <w:ind w:left="0"/>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服务标准、期限、效率</w:t>
            </w:r>
          </w:p>
        </w:tc>
        <w:tc>
          <w:tcPr>
            <w:tcW w:w="78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1.在质保期内，所有服务及配件全部免费。</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应对货物出现的质量及安全问题负责处理解决并承担一切费用。</w:t>
            </w:r>
          </w:p>
          <w:p>
            <w:pPr>
              <w:pageBreakBefore w:val="0"/>
              <w:kinsoku/>
              <w:wordWrap/>
              <w:topLinePunct w:val="0"/>
              <w:bidi w:val="0"/>
              <w:adjustRightInd w:val="0"/>
              <w:snapToGrid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2.质保期内出现无法排除的故障，</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需无条件更换同型号产品。</w:t>
            </w:r>
          </w:p>
          <w:p>
            <w:pPr>
              <w:pageBreakBefore w:val="0"/>
              <w:kinsoku/>
              <w:wordWrap/>
              <w:topLinePunct w:val="0"/>
              <w:bidi w:val="0"/>
              <w:adjustRightInd w:val="0"/>
              <w:snapToGrid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3.质保期满后，</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继续为采购人服务，仅收取零配件成本费。零配件在该设备停产后仍需保证十年的供应。维修过程中所需零配件</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在接到通知后最长不超过3天必须送达采购人。</w:t>
            </w:r>
          </w:p>
          <w:p>
            <w:pPr>
              <w:pageBreakBefore w:val="0"/>
              <w:kinsoku/>
              <w:wordWrap/>
              <w:topLinePunct w:val="0"/>
              <w:bidi w:val="0"/>
              <w:adjustRightInd w:val="0"/>
              <w:snapToGrid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.因人为因素出现的故障不在免费保修范围内。</w:t>
            </w:r>
          </w:p>
          <w:p>
            <w:pPr>
              <w:pageBreakBefore w:val="0"/>
              <w:kinsoku/>
              <w:wordWrap/>
              <w:topLinePunct w:val="0"/>
              <w:bidi w:val="0"/>
              <w:adjustRightInd w:val="0"/>
              <w:snapToGrid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.提供7×24小时技术支持，对采购人的需求应当积极响应，如在使用过程中发生质量问题，</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维修响应时间：4小时以内；电话技术支持时间：8小时以内；若需上门维修，则在</w:t>
            </w:r>
            <w:r>
              <w:rPr>
                <w:rFonts w:hint="eastAsia" w:ascii="宋体" w:hAnsi="宋体" w:eastAsia="宋体" w:cs="宋体"/>
                <w:color w:val="auto"/>
                <w:sz w:val="22"/>
                <w:szCs w:val="22"/>
                <w:highlight w:val="none"/>
                <w:lang w:val="en-US" w:eastAsia="zh-CN"/>
              </w:rPr>
              <w:t>36</w:t>
            </w:r>
            <w:r>
              <w:rPr>
                <w:rFonts w:hint="eastAsia" w:ascii="宋体" w:hAnsi="宋体" w:eastAsia="宋体" w:cs="宋体"/>
                <w:color w:val="auto"/>
                <w:sz w:val="22"/>
                <w:szCs w:val="22"/>
                <w:highlight w:val="none"/>
              </w:rPr>
              <w:t>小时内到达现场并进行维修；以保证系统的正常运行。</w:t>
            </w:r>
          </w:p>
          <w:p>
            <w:pPr>
              <w:pageBreakBefore w:val="0"/>
              <w:kinsoku/>
              <w:wordWrap/>
              <w:topLinePunct w:val="0"/>
              <w:bidi w:val="0"/>
              <w:adjustRightInd w:val="0"/>
              <w:snapToGrid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6.所投为进口产品的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在中国需设有保税库，能更及时地为用户提供备品备件。</w:t>
            </w:r>
          </w:p>
          <w:p>
            <w:pPr>
              <w:pageBreakBefore w:val="0"/>
              <w:kinsoku/>
              <w:wordWrap/>
              <w:topLinePunct w:val="0"/>
              <w:bidi w:val="0"/>
              <w:adjustRightInd w:val="0"/>
              <w:snapToGrid w:val="0"/>
              <w:spacing w:line="340" w:lineRule="exact"/>
              <w:ind w:left="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应在投标文件中提供售后服务方案，如售后服务机构备品备件储备</w:t>
            </w:r>
            <w:r>
              <w:rPr>
                <w:rFonts w:hint="eastAsia" w:ascii="宋体" w:hAnsi="宋体" w:eastAsia="宋体" w:cs="宋体"/>
                <w:color w:val="auto"/>
                <w:sz w:val="22"/>
                <w:szCs w:val="22"/>
                <w:highlight w:val="none"/>
                <w:lang w:val="en-US" w:eastAsia="zh-CN"/>
              </w:rPr>
              <w:t>及仓库地址</w:t>
            </w:r>
            <w:r>
              <w:rPr>
                <w:rFonts w:hint="eastAsia" w:ascii="宋体" w:hAnsi="宋体" w:eastAsia="宋体" w:cs="宋体"/>
                <w:color w:val="auto"/>
                <w:sz w:val="22"/>
                <w:szCs w:val="22"/>
                <w:highlight w:val="none"/>
              </w:rPr>
              <w:t>及联系电话，固定维修点</w:t>
            </w:r>
            <w:r>
              <w:rPr>
                <w:rFonts w:hint="eastAsia" w:ascii="宋体" w:hAnsi="宋体" w:eastAsia="宋体" w:cs="宋体"/>
                <w:color w:val="auto"/>
                <w:sz w:val="22"/>
                <w:szCs w:val="22"/>
                <w:highlight w:val="none"/>
                <w:lang w:val="en-US" w:eastAsia="zh-CN"/>
              </w:rPr>
              <w:t>地址</w:t>
            </w:r>
            <w:r>
              <w:rPr>
                <w:rFonts w:hint="eastAsia" w:ascii="宋体" w:hAnsi="宋体" w:eastAsia="宋体" w:cs="宋体"/>
                <w:color w:val="auto"/>
                <w:sz w:val="22"/>
                <w:szCs w:val="22"/>
                <w:highlight w:val="none"/>
              </w:rPr>
              <w:t>及联系电话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远程维修中心</w:t>
            </w:r>
            <w:r>
              <w:rPr>
                <w:rFonts w:hint="eastAsia" w:ascii="宋体" w:hAnsi="宋体" w:eastAsia="宋体" w:cs="宋体"/>
                <w:color w:val="auto"/>
                <w:sz w:val="22"/>
                <w:szCs w:val="22"/>
                <w:highlight w:val="none"/>
                <w:lang w:val="en-US" w:eastAsia="zh-CN"/>
              </w:rPr>
              <w:t>地址</w:t>
            </w:r>
            <w:r>
              <w:rPr>
                <w:rFonts w:hint="eastAsia" w:ascii="宋体" w:hAnsi="宋体" w:eastAsia="宋体" w:cs="宋体"/>
                <w:color w:val="auto"/>
                <w:sz w:val="22"/>
                <w:szCs w:val="22"/>
                <w:highlight w:val="none"/>
              </w:rPr>
              <w:t>及联系电话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售后服务机构技术服务人员情况</w:t>
            </w:r>
            <w:r>
              <w:rPr>
                <w:rFonts w:hint="eastAsia" w:ascii="宋体" w:hAnsi="宋体" w:eastAsia="宋体" w:cs="宋体"/>
                <w:color w:val="auto"/>
                <w:sz w:val="22"/>
                <w:szCs w:val="22"/>
                <w:highlight w:val="none"/>
                <w:lang w:val="en-US" w:eastAsia="zh-CN"/>
              </w:rPr>
              <w:t>等</w:t>
            </w:r>
            <w:r>
              <w:rPr>
                <w:rFonts w:hint="eastAsia" w:ascii="宋体" w:hAnsi="宋体" w:eastAsia="宋体" w:cs="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line="340" w:lineRule="exact"/>
              <w:ind w:left="0"/>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验收标准</w:t>
            </w:r>
          </w:p>
        </w:tc>
        <w:tc>
          <w:tcPr>
            <w:tcW w:w="78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合同履约验收参照《温州市政府采购履约验收办法》(温财采[2020]6号)相关规定。</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验收依据：</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2.1合同、招标文件、投标文件；</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投标文件中提供的经</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认可的合同货物的验收标准（符合中国有关的国家、地方、行业标准）和检测办法及相应检测手段。</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应派员在所供货物到</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处时进行到货验收，有需要时能联系产品制造商共同验收，若发现任何损坏及质量问题，</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负责妥善处理直至</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满意，由此产生的费用由</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承担。</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验收合格的条件：</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4.1所供货物符合合同的要求；</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4.2在进行测试和验收过程中发现的问题已被解决并得到</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的认可；</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4.3合同中规定的所有货物和材料均已交付；</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4.4所供货物已通过使用单位组织的验收；</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4.5所有相关的技术文件及资料均已提交并得到接受。</w:t>
            </w:r>
          </w:p>
          <w:p>
            <w:pPr>
              <w:keepNext w:val="0"/>
              <w:keepLines w:val="0"/>
              <w:pageBreakBefore w:val="0"/>
              <w:widowControl w:val="0"/>
              <w:kinsoku/>
              <w:wordWrap/>
              <w:overflowPunct/>
              <w:topLinePunct w:val="0"/>
              <w:autoSpaceDE/>
              <w:autoSpaceDN/>
              <w:bidi w:val="0"/>
              <w:adjustRightInd/>
              <w:snapToGrid/>
              <w:spacing w:line="340" w:lineRule="exact"/>
              <w:ind w:left="0" w:right="0" w:right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5.以上验收费用产生的费用由</w:t>
            </w: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lang w:val="en-US" w:eastAsia="zh-CN"/>
              </w:rPr>
              <w:t>承担</w:t>
            </w:r>
            <w:r>
              <w:rPr>
                <w:rFonts w:hint="eastAsia" w:ascii="宋体" w:hAnsi="宋体" w:eastAsia="宋体" w:cs="宋体"/>
                <w:b w:val="0"/>
                <w:bCs w:val="0"/>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line="340" w:lineRule="exact"/>
              <w:ind w:left="0"/>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其他技术、服务要求</w:t>
            </w:r>
          </w:p>
        </w:tc>
        <w:tc>
          <w:tcPr>
            <w:tcW w:w="78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应按</w:t>
            </w:r>
            <w:r>
              <w:rPr>
                <w:rFonts w:hint="eastAsia" w:ascii="宋体" w:hAnsi="宋体" w:eastAsia="宋体" w:cs="宋体"/>
                <w:color w:val="auto"/>
                <w:sz w:val="22"/>
                <w:szCs w:val="22"/>
                <w:highlight w:val="none"/>
                <w:lang w:eastAsia="zh-CN"/>
              </w:rPr>
              <w:t>招标文件</w:t>
            </w:r>
            <w:r>
              <w:rPr>
                <w:rFonts w:hint="eastAsia" w:ascii="宋体" w:hAnsi="宋体" w:eastAsia="宋体" w:cs="宋体"/>
                <w:color w:val="auto"/>
                <w:sz w:val="22"/>
                <w:szCs w:val="22"/>
                <w:highlight w:val="none"/>
              </w:rPr>
              <w:t>规定的货物性能、技术要求、质量标准向采购人提供未经使用的全新产品，符合国家法律规定和技术规格、质量标准的出厂原装合格产品。</w:t>
            </w:r>
          </w:p>
          <w:p>
            <w:pPr>
              <w:pageBreakBefore w:val="0"/>
              <w:kinsoku/>
              <w:wordWrap/>
              <w:topLinePunct w:val="0"/>
              <w:bidi w:val="0"/>
              <w:adjustRightInd w:val="0"/>
              <w:snapToGrid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2.安装调试：</w:t>
            </w:r>
          </w:p>
          <w:p>
            <w:pPr>
              <w:pageBreakBefore w:val="0"/>
              <w:kinsoku/>
              <w:wordWrap/>
              <w:topLinePunct w:val="0"/>
              <w:bidi w:val="0"/>
              <w:adjustRightInd w:val="0"/>
              <w:snapToGrid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2.1安装地点：采购人指定地点；</w:t>
            </w:r>
          </w:p>
          <w:p>
            <w:pPr>
              <w:pageBreakBefore w:val="0"/>
              <w:kinsoku/>
              <w:wordWrap/>
              <w:topLinePunct w:val="0"/>
              <w:bidi w:val="0"/>
              <w:adjustRightInd w:val="0"/>
              <w:snapToGrid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2.2安装完成时间：接到采购人通知后在规定时间内完成安装和调试，如在规定的时间内由于</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的原因不能完成安装和调试，</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应承担由此给采购人造成的损失；</w:t>
            </w:r>
          </w:p>
          <w:p>
            <w:pPr>
              <w:pageBreakBefore w:val="0"/>
              <w:kinsoku/>
              <w:wordWrap/>
              <w:topLinePunct w:val="0"/>
              <w:bidi w:val="0"/>
              <w:adjustRightInd w:val="0"/>
              <w:snapToGrid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2.3如</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委托国内代理（或其他机构）负责安装或配合安装应在签约时指明，但</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仍要对合同货物及其安装质量负全部责任；</w:t>
            </w:r>
          </w:p>
          <w:p>
            <w:pPr>
              <w:pageBreakBefore w:val="0"/>
              <w:kinsoku/>
              <w:wordWrap/>
              <w:topLinePunct w:val="0"/>
              <w:bidi w:val="0"/>
              <w:adjustRightInd w:val="0"/>
              <w:snapToGrid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2.4安装标准：符合我国国家有关技术规范要求和技术标准，所有的软件和硬件必须保证同时安装到位；</w:t>
            </w:r>
          </w:p>
          <w:p>
            <w:pPr>
              <w:pageBreakBefore w:val="0"/>
              <w:kinsoku/>
              <w:wordWrap/>
              <w:topLinePunct w:val="0"/>
              <w:bidi w:val="0"/>
              <w:adjustRightInd w:val="0"/>
              <w:snapToGrid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在</w:t>
            </w:r>
            <w:r>
              <w:rPr>
                <w:rFonts w:hint="eastAsia" w:ascii="宋体" w:hAnsi="宋体" w:eastAsia="宋体" w:cs="宋体"/>
                <w:color w:val="auto"/>
                <w:sz w:val="22"/>
                <w:szCs w:val="22"/>
                <w:highlight w:val="none"/>
                <w:lang w:eastAsia="zh-CN"/>
              </w:rPr>
              <w:t>投标文件</w:t>
            </w:r>
            <w:r>
              <w:rPr>
                <w:rFonts w:hint="eastAsia" w:ascii="宋体" w:hAnsi="宋体" w:eastAsia="宋体" w:cs="宋体"/>
                <w:color w:val="auto"/>
                <w:sz w:val="22"/>
                <w:szCs w:val="22"/>
                <w:highlight w:val="none"/>
              </w:rPr>
              <w:t>中应提供安装调试计划、对安装场地和环境的要求。</w:t>
            </w:r>
          </w:p>
          <w:p>
            <w:pPr>
              <w:pageBreakBefore w:val="0"/>
              <w:kinsoku/>
              <w:wordWrap/>
              <w:topLinePunct w:val="0"/>
              <w:bidi w:val="0"/>
              <w:adjustRightInd w:val="0"/>
              <w:snapToGrid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2.6</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提供仪器的现场安装调试并达到投标</w:t>
            </w:r>
            <w:r>
              <w:rPr>
                <w:rFonts w:hint="eastAsia" w:ascii="宋体" w:hAnsi="宋体" w:eastAsia="宋体" w:cs="宋体"/>
                <w:color w:val="auto"/>
                <w:sz w:val="22"/>
                <w:szCs w:val="22"/>
                <w:highlight w:val="none"/>
                <w:lang w:val="en-US" w:eastAsia="zh-CN"/>
              </w:rPr>
              <w:t>文件</w:t>
            </w:r>
            <w:r>
              <w:rPr>
                <w:rFonts w:hint="eastAsia" w:ascii="宋体" w:hAnsi="宋体" w:eastAsia="宋体" w:cs="宋体"/>
                <w:color w:val="auto"/>
                <w:sz w:val="22"/>
                <w:szCs w:val="22"/>
                <w:highlight w:val="none"/>
              </w:rPr>
              <w:t>指标要求的技术性能，并同时在现场对用户进行操作培训。如果现场安装测试指标未通过，</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rPr>
              <w:t>有权要求退货并要求赔偿损失。</w:t>
            </w:r>
          </w:p>
          <w:p>
            <w:pPr>
              <w:pageBreakBefore w:val="0"/>
              <w:kinsoku/>
              <w:wordWrap/>
              <w:topLinePunct w:val="0"/>
              <w:bidi w:val="0"/>
              <w:adjustRightInd w:val="0"/>
              <w:snapToGrid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3.培训：</w:t>
            </w:r>
          </w:p>
          <w:p>
            <w:pPr>
              <w:pageBreakBefore w:val="0"/>
              <w:kinsoku/>
              <w:wordWrap/>
              <w:topLinePunct w:val="0"/>
              <w:bidi w:val="0"/>
              <w:adjustRightInd w:val="0"/>
              <w:snapToGrid w:val="0"/>
              <w:spacing w:line="340" w:lineRule="exact"/>
              <w:ind w:left="0"/>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.1 对采购人</w:t>
            </w:r>
            <w:r>
              <w:rPr>
                <w:rFonts w:hint="eastAsia" w:ascii="宋体" w:hAnsi="宋体" w:cs="宋体"/>
                <w:color w:val="auto"/>
                <w:sz w:val="22"/>
                <w:szCs w:val="22"/>
                <w:highlight w:val="none"/>
                <w:lang w:val="en-US" w:eastAsia="zh-CN"/>
              </w:rPr>
              <w:t>或使用单位</w:t>
            </w:r>
            <w:r>
              <w:rPr>
                <w:rFonts w:hint="eastAsia" w:ascii="宋体" w:hAnsi="宋体" w:eastAsia="宋体" w:cs="宋体"/>
                <w:color w:val="auto"/>
                <w:sz w:val="22"/>
                <w:szCs w:val="22"/>
                <w:highlight w:val="none"/>
              </w:rPr>
              <w:t>的操作人员</w:t>
            </w:r>
            <w:r>
              <w:rPr>
                <w:rFonts w:hint="eastAsia" w:ascii="宋体" w:hAnsi="宋体" w:eastAsia="宋体" w:cs="宋体"/>
                <w:color w:val="auto"/>
                <w:sz w:val="22"/>
                <w:szCs w:val="22"/>
                <w:highlight w:val="none"/>
                <w:lang w:val="en-US" w:eastAsia="zh-CN"/>
              </w:rPr>
              <w:t>提供</w:t>
            </w:r>
            <w:r>
              <w:rPr>
                <w:rFonts w:hint="eastAsia" w:ascii="宋体" w:hAnsi="宋体" w:cs="宋体"/>
                <w:color w:val="auto"/>
                <w:sz w:val="22"/>
                <w:szCs w:val="22"/>
                <w:highlight w:val="none"/>
                <w:lang w:val="en-US" w:eastAsia="zh-CN"/>
              </w:rPr>
              <w:t>至少4人的免费培训服务，直至能独立操作</w:t>
            </w:r>
            <w:r>
              <w:rPr>
                <w:rFonts w:hint="default" w:ascii="宋体" w:hAnsi="宋体" w:cs="宋体"/>
                <w:color w:val="auto"/>
                <w:sz w:val="22"/>
                <w:szCs w:val="22"/>
                <w:highlight w:val="none"/>
                <w:lang w:val="en-US" w:eastAsia="zh-CN"/>
              </w:rPr>
              <w:t>使用</w:t>
            </w:r>
            <w:r>
              <w:rPr>
                <w:rFonts w:hint="eastAsia" w:ascii="宋体" w:hAnsi="宋体" w:cs="宋体"/>
                <w:color w:val="auto"/>
                <w:sz w:val="22"/>
                <w:szCs w:val="22"/>
                <w:highlight w:val="none"/>
                <w:lang w:val="en-US" w:eastAsia="zh-CN"/>
              </w:rPr>
              <w:t>为止。</w:t>
            </w:r>
          </w:p>
          <w:p>
            <w:pPr>
              <w:pageBreakBefore w:val="0"/>
              <w:kinsoku/>
              <w:wordWrap/>
              <w:topLinePunct w:val="0"/>
              <w:bidi w:val="0"/>
              <w:adjustRightInd w:val="0"/>
              <w:snapToGrid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.2 提供完整详细的实施、培训和运维计划方案，并得到采购人的批准。实施过程严格按照批准后的计划进行，如有变更需再次得到采购人的批准。</w:t>
            </w:r>
          </w:p>
          <w:p>
            <w:pPr>
              <w:pageBreakBefore w:val="0"/>
              <w:kinsoku/>
              <w:wordWrap/>
              <w:topLinePunct w:val="0"/>
              <w:bidi w:val="0"/>
              <w:adjustRightInd w:val="0"/>
              <w:snapToGrid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应提供质保期满后主要零部件报价单、质保期满后维护费、软件升级及其相关服务内容；</w:t>
            </w:r>
          </w:p>
          <w:p>
            <w:pPr>
              <w:pageBreakBefore w:val="0"/>
              <w:kinsoku/>
              <w:wordWrap/>
              <w:topLinePunct w:val="0"/>
              <w:bidi w:val="0"/>
              <w:adjustRightInd w:val="0"/>
              <w:snapToGrid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.供货时提供有关的全套技术文件。</w:t>
            </w:r>
          </w:p>
          <w:p>
            <w:pPr>
              <w:pageBreakBefore w:val="0"/>
              <w:kinsoku/>
              <w:wordWrap/>
              <w:topLinePunct w:val="0"/>
              <w:bidi w:val="0"/>
              <w:adjustRightInd w:val="0"/>
              <w:snapToGrid w:val="0"/>
              <w:spacing w:line="340" w:lineRule="exact"/>
              <w:ind w:left="0"/>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eastAsia="宋体" w:cs="宋体"/>
                <w:color w:val="auto"/>
                <w:spacing w:val="-6"/>
                <w:sz w:val="22"/>
                <w:szCs w:val="22"/>
                <w:highlight w:val="none"/>
                <w:lang w:eastAsia="zh-CN"/>
              </w:rPr>
              <w:t>投标人</w:t>
            </w:r>
            <w:r>
              <w:rPr>
                <w:rFonts w:hint="eastAsia" w:ascii="宋体" w:hAnsi="宋体" w:eastAsia="宋体" w:cs="宋体"/>
                <w:color w:val="auto"/>
                <w:spacing w:val="-6"/>
                <w:sz w:val="22"/>
                <w:szCs w:val="22"/>
                <w:highlight w:val="none"/>
              </w:rPr>
              <w:t>应保证所提供的货物或其中任何一部分均不会侵犯第三方的知识产权。</w:t>
            </w:r>
          </w:p>
          <w:p>
            <w:pPr>
              <w:pageBreakBefore w:val="0"/>
              <w:kinsoku/>
              <w:wordWrap/>
              <w:topLinePunct w:val="0"/>
              <w:bidi w:val="0"/>
              <w:adjustRightInd w:val="0"/>
              <w:snapToGrid w:val="0"/>
              <w:spacing w:line="340" w:lineRule="exact"/>
              <w:ind w:left="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pacing w:val="-6"/>
                <w:sz w:val="22"/>
                <w:szCs w:val="22"/>
                <w:highlight w:val="none"/>
                <w:lang w:val="en-US" w:eastAsia="zh-CN"/>
              </w:rPr>
              <w:t>7</w:t>
            </w:r>
            <w:r>
              <w:rPr>
                <w:rFonts w:hint="eastAsia" w:ascii="宋体" w:hAnsi="宋体" w:eastAsia="宋体" w:cs="宋体"/>
                <w:color w:val="auto"/>
                <w:spacing w:val="-6"/>
                <w:sz w:val="22"/>
                <w:szCs w:val="22"/>
                <w:highlight w:val="none"/>
              </w:rPr>
              <w:t>.</w:t>
            </w:r>
            <w:r>
              <w:rPr>
                <w:rFonts w:hint="eastAsia" w:ascii="宋体" w:hAnsi="宋体" w:eastAsia="宋体" w:cs="宋体"/>
                <w:color w:val="auto"/>
                <w:spacing w:val="-6"/>
                <w:sz w:val="22"/>
                <w:szCs w:val="22"/>
                <w:highlight w:val="none"/>
                <w:lang w:eastAsia="zh-CN"/>
              </w:rPr>
              <w:t>投标人</w:t>
            </w:r>
            <w:r>
              <w:rPr>
                <w:rFonts w:hint="eastAsia" w:ascii="宋体" w:hAnsi="宋体" w:eastAsia="宋体" w:cs="宋体"/>
                <w:color w:val="auto"/>
                <w:spacing w:val="-6"/>
                <w:sz w:val="22"/>
                <w:szCs w:val="22"/>
                <w:highlight w:val="none"/>
              </w:rPr>
              <w:t>在安装调试中造成的人员伤亡及财产损失，由</w:t>
            </w:r>
            <w:r>
              <w:rPr>
                <w:rFonts w:hint="eastAsia" w:ascii="宋体" w:hAnsi="宋体" w:eastAsia="宋体" w:cs="宋体"/>
                <w:color w:val="auto"/>
                <w:spacing w:val="-6"/>
                <w:sz w:val="22"/>
                <w:szCs w:val="22"/>
                <w:highlight w:val="none"/>
                <w:lang w:eastAsia="zh-CN"/>
              </w:rPr>
              <w:t>投标人</w:t>
            </w:r>
            <w:r>
              <w:rPr>
                <w:rFonts w:hint="eastAsia" w:ascii="宋体" w:hAnsi="宋体" w:eastAsia="宋体" w:cs="宋体"/>
                <w:color w:val="auto"/>
                <w:spacing w:val="-6"/>
                <w:sz w:val="22"/>
                <w:szCs w:val="22"/>
                <w:highlight w:val="none"/>
              </w:rPr>
              <w:t>自行承担。</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jc w:val="left"/>
        <w:textAlignment w:val="auto"/>
        <w:rPr>
          <w:rFonts w:hint="eastAsia" w:ascii="宋体" w:hAnsi="宋体" w:eastAsia="宋体" w:cs="宋体"/>
          <w:b/>
          <w:bCs/>
          <w:color w:val="auto"/>
          <w:spacing w:val="-6"/>
          <w:sz w:val="22"/>
          <w:szCs w:val="22"/>
          <w:highlight w:val="none"/>
        </w:rPr>
      </w:pPr>
      <w:r>
        <w:rPr>
          <w:rFonts w:hint="eastAsia" w:ascii="宋体" w:hAnsi="宋体" w:cs="宋体"/>
          <w:b/>
          <w:bCs/>
          <w:color w:val="auto"/>
          <w:spacing w:val="-6"/>
          <w:sz w:val="22"/>
          <w:szCs w:val="22"/>
          <w:highlight w:val="none"/>
          <w:lang w:eastAsia="zh-CN"/>
        </w:rPr>
        <w:t>二．</w:t>
      </w:r>
      <w:r>
        <w:rPr>
          <w:rFonts w:hint="eastAsia" w:ascii="宋体" w:hAnsi="宋体" w:eastAsia="宋体" w:cs="宋体"/>
          <w:b/>
          <w:bCs/>
          <w:color w:val="auto"/>
          <w:spacing w:val="-6"/>
          <w:sz w:val="22"/>
          <w:szCs w:val="22"/>
          <w:highlight w:val="none"/>
        </w:rPr>
        <w:t>技术要求</w:t>
      </w:r>
    </w:p>
    <w:p>
      <w:pPr>
        <w:pStyle w:val="3"/>
        <w:numPr>
          <w:ilvl w:val="0"/>
          <w:numId w:val="0"/>
        </w:numPr>
        <w:rPr>
          <w:rFonts w:hint="eastAsia"/>
          <w:color w:val="auto"/>
          <w:sz w:val="22"/>
          <w:szCs w:val="22"/>
          <w:highlight w:val="none"/>
          <w:lang w:eastAsia="zh-CN"/>
        </w:rPr>
      </w:pPr>
      <w:r>
        <w:rPr>
          <w:rFonts w:hint="eastAsia"/>
          <w:color w:val="auto"/>
          <w:sz w:val="22"/>
          <w:szCs w:val="22"/>
          <w:highlight w:val="none"/>
          <w:lang w:eastAsia="zh-CN"/>
        </w:rPr>
        <w:t>（一）设备清单</w:t>
      </w:r>
    </w:p>
    <w:tbl>
      <w:tblPr>
        <w:tblStyle w:val="32"/>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4246"/>
        <w:gridCol w:w="1238"/>
        <w:gridCol w:w="191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rPr>
              <w:t>序号</w:t>
            </w:r>
          </w:p>
        </w:tc>
        <w:tc>
          <w:tcPr>
            <w:tcW w:w="4246"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lang w:val="en-US" w:eastAsia="zh-CN"/>
              </w:rPr>
            </w:pPr>
            <w:r>
              <w:rPr>
                <w:rFonts w:hint="eastAsia" w:ascii="宋体" w:hAnsi="宋体" w:eastAsia="宋体" w:cs="宋体"/>
                <w:bCs/>
                <w:color w:val="auto"/>
                <w:spacing w:val="-6"/>
                <w:sz w:val="22"/>
                <w:szCs w:val="22"/>
                <w:highlight w:val="none"/>
                <w:lang w:val="en-US" w:eastAsia="zh-CN"/>
              </w:rPr>
              <w:t>设备名称</w:t>
            </w:r>
          </w:p>
        </w:tc>
        <w:tc>
          <w:tcPr>
            <w:tcW w:w="1238"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kern w:val="2"/>
                <w:sz w:val="22"/>
                <w:szCs w:val="22"/>
                <w:highlight w:val="none"/>
                <w:lang w:val="en-US" w:eastAsia="zh-CN" w:bidi="ar-SA"/>
              </w:rPr>
            </w:pPr>
            <w:r>
              <w:rPr>
                <w:rFonts w:hint="eastAsia" w:ascii="宋体" w:hAnsi="宋体" w:eastAsia="宋体" w:cs="宋体"/>
                <w:bCs/>
                <w:color w:val="auto"/>
                <w:spacing w:val="-6"/>
                <w:sz w:val="22"/>
                <w:szCs w:val="22"/>
                <w:highlight w:val="none"/>
              </w:rPr>
              <w:t>数量</w:t>
            </w:r>
          </w:p>
        </w:tc>
        <w:tc>
          <w:tcPr>
            <w:tcW w:w="1912"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lang w:val="en-US" w:eastAsia="zh-CN"/>
              </w:rPr>
            </w:pPr>
            <w:r>
              <w:rPr>
                <w:rFonts w:hint="eastAsia" w:ascii="宋体" w:hAnsi="宋体" w:eastAsia="宋体" w:cs="宋体"/>
                <w:bCs/>
                <w:color w:val="auto"/>
                <w:spacing w:val="-6"/>
                <w:sz w:val="22"/>
                <w:szCs w:val="22"/>
                <w:highlight w:val="none"/>
                <w:lang w:val="en-US" w:eastAsia="zh-CN"/>
              </w:rPr>
              <w:t>是否允许进口</w:t>
            </w:r>
          </w:p>
        </w:tc>
        <w:tc>
          <w:tcPr>
            <w:tcW w:w="993"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vAlign w:val="center"/>
          </w:tcPr>
          <w:p>
            <w:pPr>
              <w:pageBreakBefore w:val="0"/>
              <w:kinsoku/>
              <w:wordWrap/>
              <w:topLinePunct w:val="0"/>
              <w:bidi w:val="0"/>
              <w:spacing w:line="340" w:lineRule="exact"/>
              <w:ind w:lef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w:t>
            </w:r>
          </w:p>
        </w:tc>
        <w:tc>
          <w:tcPr>
            <w:tcW w:w="4246" w:type="dxa"/>
            <w:vAlign w:val="center"/>
          </w:tcPr>
          <w:p>
            <w:pPr>
              <w:pageBreakBefore w:val="0"/>
              <w:kinsoku/>
              <w:wordWrap/>
              <w:topLinePunct w:val="0"/>
              <w:bidi w:val="0"/>
              <w:spacing w:line="340" w:lineRule="exact"/>
              <w:ind w:left="0"/>
              <w:jc w:val="center"/>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sz w:val="22"/>
                <w:szCs w:val="22"/>
                <w:highlight w:val="none"/>
                <w:lang w:val="en-US" w:eastAsia="zh-CN"/>
              </w:rPr>
              <w:t>气相色谱三重四极杆质谱联用仪</w:t>
            </w:r>
          </w:p>
        </w:tc>
        <w:tc>
          <w:tcPr>
            <w:tcW w:w="1238"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kern w:val="2"/>
                <w:sz w:val="22"/>
                <w:szCs w:val="22"/>
                <w:highlight w:val="none"/>
                <w:lang w:val="en-US" w:eastAsia="zh-CN" w:bidi="ar-SA"/>
              </w:rPr>
            </w:pPr>
            <w:r>
              <w:rPr>
                <w:rFonts w:hint="eastAsia" w:ascii="宋体" w:hAnsi="宋体" w:eastAsia="宋体" w:cs="宋体"/>
                <w:bCs/>
                <w:color w:val="auto"/>
                <w:spacing w:val="-6"/>
                <w:sz w:val="22"/>
                <w:szCs w:val="22"/>
                <w:highlight w:val="none"/>
                <w:lang w:val="en-US" w:eastAsia="zh-CN"/>
              </w:rPr>
              <w:t>1套</w:t>
            </w:r>
          </w:p>
        </w:tc>
        <w:tc>
          <w:tcPr>
            <w:tcW w:w="1912"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lang w:val="en-US" w:eastAsia="zh-CN"/>
              </w:rPr>
            </w:pPr>
            <w:r>
              <w:rPr>
                <w:rFonts w:hint="eastAsia" w:ascii="宋体" w:hAnsi="宋体" w:eastAsia="宋体" w:cs="宋体"/>
                <w:bCs/>
                <w:color w:val="auto"/>
                <w:spacing w:val="-6"/>
                <w:sz w:val="22"/>
                <w:szCs w:val="22"/>
                <w:highlight w:val="none"/>
                <w:lang w:val="en-US" w:eastAsia="zh-CN"/>
              </w:rPr>
              <w:t>是</w:t>
            </w:r>
          </w:p>
        </w:tc>
        <w:tc>
          <w:tcPr>
            <w:tcW w:w="993"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vAlign w:val="center"/>
          </w:tcPr>
          <w:p>
            <w:pPr>
              <w:pageBreakBefore w:val="0"/>
              <w:kinsoku/>
              <w:wordWrap/>
              <w:topLinePunct w:val="0"/>
              <w:bidi w:val="0"/>
              <w:spacing w:line="340" w:lineRule="exact"/>
              <w:ind w:lef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w:t>
            </w:r>
          </w:p>
        </w:tc>
        <w:tc>
          <w:tcPr>
            <w:tcW w:w="4246" w:type="dxa"/>
            <w:vAlign w:val="center"/>
          </w:tcPr>
          <w:p>
            <w:pPr>
              <w:pageBreakBefore w:val="0"/>
              <w:kinsoku/>
              <w:wordWrap/>
              <w:topLinePunct w:val="0"/>
              <w:bidi w:val="0"/>
              <w:spacing w:line="340" w:lineRule="exact"/>
              <w:ind w:lef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超纯水机</w:t>
            </w:r>
          </w:p>
        </w:tc>
        <w:tc>
          <w:tcPr>
            <w:tcW w:w="1238"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lang w:val="en-US" w:eastAsia="zh-CN"/>
              </w:rPr>
            </w:pPr>
            <w:r>
              <w:rPr>
                <w:rFonts w:hint="eastAsia" w:ascii="宋体" w:hAnsi="宋体" w:eastAsia="宋体" w:cs="宋体"/>
                <w:color w:val="auto"/>
                <w:sz w:val="22"/>
                <w:szCs w:val="22"/>
                <w:highlight w:val="none"/>
              </w:rPr>
              <w:t>1套</w:t>
            </w:r>
          </w:p>
        </w:tc>
        <w:tc>
          <w:tcPr>
            <w:tcW w:w="1912"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lang w:val="en-US" w:eastAsia="zh-CN"/>
              </w:rPr>
              <w:t>是</w:t>
            </w:r>
          </w:p>
        </w:tc>
        <w:tc>
          <w:tcPr>
            <w:tcW w:w="993"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vAlign w:val="center"/>
          </w:tcPr>
          <w:p>
            <w:pPr>
              <w:pageBreakBefore w:val="0"/>
              <w:kinsoku/>
              <w:wordWrap/>
              <w:topLinePunct w:val="0"/>
              <w:bidi w:val="0"/>
              <w:spacing w:line="340" w:lineRule="exact"/>
              <w:ind w:lef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w:t>
            </w:r>
          </w:p>
        </w:tc>
        <w:tc>
          <w:tcPr>
            <w:tcW w:w="4246" w:type="dxa"/>
            <w:vAlign w:val="center"/>
          </w:tcPr>
          <w:p>
            <w:pPr>
              <w:pageBreakBefore w:val="0"/>
              <w:kinsoku/>
              <w:wordWrap/>
              <w:topLinePunct w:val="0"/>
              <w:bidi w:val="0"/>
              <w:spacing w:line="340" w:lineRule="exact"/>
              <w:ind w:lef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旋转蒸发仪</w:t>
            </w:r>
          </w:p>
        </w:tc>
        <w:tc>
          <w:tcPr>
            <w:tcW w:w="1238"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lang w:val="en-US" w:eastAsia="zh-CN"/>
              </w:rPr>
            </w:pPr>
            <w:r>
              <w:rPr>
                <w:rFonts w:hint="eastAsia" w:ascii="宋体" w:hAnsi="宋体" w:eastAsia="宋体" w:cs="宋体"/>
                <w:bCs/>
                <w:color w:val="auto"/>
                <w:spacing w:val="-6"/>
                <w:sz w:val="22"/>
                <w:szCs w:val="22"/>
                <w:highlight w:val="none"/>
                <w:lang w:val="en-US" w:eastAsia="zh-CN"/>
              </w:rPr>
              <w:t>1台</w:t>
            </w:r>
          </w:p>
        </w:tc>
        <w:tc>
          <w:tcPr>
            <w:tcW w:w="1912"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lang w:val="en-US" w:eastAsia="zh-CN"/>
              </w:rPr>
              <w:t>是</w:t>
            </w:r>
          </w:p>
        </w:tc>
        <w:tc>
          <w:tcPr>
            <w:tcW w:w="993"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vAlign w:val="center"/>
          </w:tcPr>
          <w:p>
            <w:pPr>
              <w:pageBreakBefore w:val="0"/>
              <w:kinsoku/>
              <w:wordWrap/>
              <w:topLinePunct w:val="0"/>
              <w:bidi w:val="0"/>
              <w:spacing w:line="340" w:lineRule="exact"/>
              <w:ind w:lef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4</w:t>
            </w:r>
          </w:p>
        </w:tc>
        <w:tc>
          <w:tcPr>
            <w:tcW w:w="4246" w:type="dxa"/>
            <w:vAlign w:val="center"/>
          </w:tcPr>
          <w:p>
            <w:pPr>
              <w:pageBreakBefore w:val="0"/>
              <w:kinsoku/>
              <w:wordWrap/>
              <w:topLinePunct w:val="0"/>
              <w:bidi w:val="0"/>
              <w:spacing w:line="340" w:lineRule="exact"/>
              <w:ind w:lef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大肠菌群检测系统</w:t>
            </w:r>
          </w:p>
        </w:tc>
        <w:tc>
          <w:tcPr>
            <w:tcW w:w="1238"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lang w:val="en-US"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套</w:t>
            </w:r>
          </w:p>
        </w:tc>
        <w:tc>
          <w:tcPr>
            <w:tcW w:w="1912"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lang w:val="en-US" w:eastAsia="zh-CN"/>
              </w:rPr>
              <w:t>是</w:t>
            </w:r>
          </w:p>
        </w:tc>
        <w:tc>
          <w:tcPr>
            <w:tcW w:w="993"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vAlign w:val="center"/>
          </w:tcPr>
          <w:p>
            <w:pPr>
              <w:pageBreakBefore w:val="0"/>
              <w:kinsoku/>
              <w:wordWrap/>
              <w:topLinePunct w:val="0"/>
              <w:bidi w:val="0"/>
              <w:spacing w:line="340" w:lineRule="exact"/>
              <w:ind w:lef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w:t>
            </w:r>
          </w:p>
        </w:tc>
        <w:tc>
          <w:tcPr>
            <w:tcW w:w="4246" w:type="dxa"/>
            <w:vAlign w:val="center"/>
          </w:tcPr>
          <w:p>
            <w:pPr>
              <w:pageBreakBefore w:val="0"/>
              <w:kinsoku/>
              <w:wordWrap/>
              <w:topLinePunct w:val="0"/>
              <w:bidi w:val="0"/>
              <w:spacing w:line="340" w:lineRule="exact"/>
              <w:ind w:lef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烘箱</w:t>
            </w:r>
          </w:p>
        </w:tc>
        <w:tc>
          <w:tcPr>
            <w:tcW w:w="1238"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lang w:val="en-US" w:eastAsia="zh-CN"/>
              </w:rPr>
            </w:pPr>
            <w:r>
              <w:rPr>
                <w:rFonts w:hint="eastAsia" w:ascii="宋体" w:hAnsi="宋体" w:eastAsia="宋体" w:cs="宋体"/>
                <w:bCs/>
                <w:color w:val="auto"/>
                <w:spacing w:val="-6"/>
                <w:sz w:val="22"/>
                <w:szCs w:val="22"/>
                <w:highlight w:val="none"/>
                <w:lang w:val="en-US" w:eastAsia="zh-CN"/>
              </w:rPr>
              <w:t>1台</w:t>
            </w:r>
          </w:p>
        </w:tc>
        <w:tc>
          <w:tcPr>
            <w:tcW w:w="1912"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lang w:val="en-US" w:eastAsia="zh-CN"/>
              </w:rPr>
              <w:t>是</w:t>
            </w:r>
          </w:p>
        </w:tc>
        <w:tc>
          <w:tcPr>
            <w:tcW w:w="993"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vAlign w:val="center"/>
          </w:tcPr>
          <w:p>
            <w:pPr>
              <w:pageBreakBefore w:val="0"/>
              <w:kinsoku/>
              <w:wordWrap/>
              <w:topLinePunct w:val="0"/>
              <w:bidi w:val="0"/>
              <w:spacing w:line="340" w:lineRule="exact"/>
              <w:ind w:lef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6</w:t>
            </w:r>
          </w:p>
        </w:tc>
        <w:tc>
          <w:tcPr>
            <w:tcW w:w="4246" w:type="dxa"/>
            <w:vAlign w:val="center"/>
          </w:tcPr>
          <w:p>
            <w:pPr>
              <w:pageBreakBefore w:val="0"/>
              <w:kinsoku/>
              <w:wordWrap/>
              <w:topLinePunct w:val="0"/>
              <w:bidi w:val="0"/>
              <w:spacing w:line="340" w:lineRule="exact"/>
              <w:ind w:lef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均质器</w:t>
            </w:r>
          </w:p>
        </w:tc>
        <w:tc>
          <w:tcPr>
            <w:tcW w:w="1238"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lang w:val="en-US"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套</w:t>
            </w:r>
          </w:p>
        </w:tc>
        <w:tc>
          <w:tcPr>
            <w:tcW w:w="1912"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lang w:val="en-US" w:eastAsia="zh-CN"/>
              </w:rPr>
              <w:t>是</w:t>
            </w:r>
          </w:p>
        </w:tc>
        <w:tc>
          <w:tcPr>
            <w:tcW w:w="993"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vAlign w:val="center"/>
          </w:tcPr>
          <w:p>
            <w:pPr>
              <w:pageBreakBefore w:val="0"/>
              <w:kinsoku/>
              <w:wordWrap/>
              <w:topLinePunct w:val="0"/>
              <w:bidi w:val="0"/>
              <w:spacing w:line="340" w:lineRule="exact"/>
              <w:ind w:lef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4246" w:type="dxa"/>
            <w:vAlign w:val="center"/>
          </w:tcPr>
          <w:p>
            <w:pPr>
              <w:pageBreakBefore w:val="0"/>
              <w:kinsoku/>
              <w:wordWrap/>
              <w:topLinePunct w:val="0"/>
              <w:bidi w:val="0"/>
              <w:spacing w:line="340" w:lineRule="exact"/>
              <w:ind w:lef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超低温冰箱</w:t>
            </w:r>
          </w:p>
        </w:tc>
        <w:tc>
          <w:tcPr>
            <w:tcW w:w="1238" w:type="dxa"/>
            <w:vAlign w:val="center"/>
          </w:tcPr>
          <w:p>
            <w:pPr>
              <w:pageBreakBefore w:val="0"/>
              <w:kinsoku/>
              <w:wordWrap/>
              <w:topLinePunct w:val="0"/>
              <w:bidi w:val="0"/>
              <w:spacing w:line="340" w:lineRule="exact"/>
              <w:ind w:left="0"/>
              <w:jc w:val="center"/>
              <w:rPr>
                <w:rFonts w:hint="eastAsia" w:ascii="宋体" w:hAnsi="宋体" w:eastAsia="宋体" w:cs="宋体"/>
                <w:color w:val="auto"/>
                <w:sz w:val="22"/>
                <w:szCs w:val="22"/>
                <w:highlight w:val="none"/>
              </w:rPr>
            </w:pPr>
            <w:r>
              <w:rPr>
                <w:rFonts w:hint="eastAsia" w:ascii="宋体" w:hAnsi="宋体" w:eastAsia="宋体" w:cs="宋体"/>
                <w:bCs/>
                <w:color w:val="auto"/>
                <w:spacing w:val="-6"/>
                <w:sz w:val="22"/>
                <w:szCs w:val="22"/>
                <w:highlight w:val="none"/>
                <w:lang w:val="en-US" w:eastAsia="zh-CN"/>
              </w:rPr>
              <w:t>1台</w:t>
            </w:r>
          </w:p>
        </w:tc>
        <w:tc>
          <w:tcPr>
            <w:tcW w:w="1912"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lang w:val="en-US" w:eastAsia="zh-CN"/>
              </w:rPr>
            </w:pPr>
            <w:r>
              <w:rPr>
                <w:rFonts w:hint="eastAsia" w:ascii="宋体" w:hAnsi="宋体" w:eastAsia="宋体" w:cs="宋体"/>
                <w:bCs/>
                <w:color w:val="auto"/>
                <w:spacing w:val="-6"/>
                <w:sz w:val="22"/>
                <w:szCs w:val="22"/>
                <w:highlight w:val="none"/>
                <w:lang w:val="en-US" w:eastAsia="zh-CN"/>
              </w:rPr>
              <w:t>否</w:t>
            </w:r>
          </w:p>
        </w:tc>
        <w:tc>
          <w:tcPr>
            <w:tcW w:w="993"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vAlign w:val="center"/>
          </w:tcPr>
          <w:p>
            <w:pPr>
              <w:pageBreakBefore w:val="0"/>
              <w:kinsoku/>
              <w:wordWrap/>
              <w:topLinePunct w:val="0"/>
              <w:bidi w:val="0"/>
              <w:spacing w:line="340" w:lineRule="exact"/>
              <w:ind w:lef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4246" w:type="dxa"/>
            <w:vAlign w:val="center"/>
          </w:tcPr>
          <w:p>
            <w:pPr>
              <w:pageBreakBefore w:val="0"/>
              <w:kinsoku/>
              <w:wordWrap/>
              <w:topLinePunct w:val="0"/>
              <w:bidi w:val="0"/>
              <w:spacing w:line="340" w:lineRule="exact"/>
              <w:ind w:left="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微生物质谱检测系统</w:t>
            </w:r>
            <w:r>
              <w:rPr>
                <w:rFonts w:hint="eastAsia" w:ascii="宋体" w:hAnsi="宋体" w:eastAsia="宋体" w:cs="宋体"/>
                <w:color w:val="auto"/>
                <w:sz w:val="22"/>
                <w:szCs w:val="22"/>
                <w:highlight w:val="none"/>
                <w:lang w:val="en-US" w:eastAsia="zh-CN"/>
              </w:rPr>
              <w:t xml:space="preserve"> </w:t>
            </w:r>
          </w:p>
        </w:tc>
        <w:tc>
          <w:tcPr>
            <w:tcW w:w="1238" w:type="dxa"/>
            <w:vAlign w:val="center"/>
          </w:tcPr>
          <w:p>
            <w:pPr>
              <w:pageBreakBefore w:val="0"/>
              <w:kinsoku/>
              <w:wordWrap/>
              <w:topLinePunct w:val="0"/>
              <w:bidi w:val="0"/>
              <w:spacing w:line="340" w:lineRule="exact"/>
              <w:ind w:left="0"/>
              <w:jc w:val="center"/>
              <w:rPr>
                <w:rFonts w:hint="eastAsia" w:ascii="宋体" w:hAnsi="宋体" w:eastAsia="宋体" w:cs="宋体"/>
                <w:color w:val="auto"/>
                <w:sz w:val="22"/>
                <w:szCs w:val="22"/>
                <w:highlight w:val="none"/>
              </w:rPr>
            </w:pPr>
            <w:r>
              <w:rPr>
                <w:rFonts w:hint="eastAsia" w:ascii="宋体" w:hAnsi="宋体" w:eastAsia="宋体" w:cs="宋体"/>
                <w:bCs/>
                <w:color w:val="auto"/>
                <w:spacing w:val="-6"/>
                <w:sz w:val="22"/>
                <w:szCs w:val="22"/>
                <w:highlight w:val="none"/>
                <w:lang w:val="en-US" w:eastAsia="zh-CN"/>
              </w:rPr>
              <w:t>1台</w:t>
            </w:r>
          </w:p>
        </w:tc>
        <w:tc>
          <w:tcPr>
            <w:tcW w:w="1912"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lang w:val="en-US" w:eastAsia="zh-CN"/>
              </w:rPr>
              <w:t>否</w:t>
            </w:r>
          </w:p>
        </w:tc>
        <w:tc>
          <w:tcPr>
            <w:tcW w:w="993"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vAlign w:val="center"/>
          </w:tcPr>
          <w:p>
            <w:pPr>
              <w:pageBreakBefore w:val="0"/>
              <w:kinsoku/>
              <w:wordWrap/>
              <w:topLinePunct w:val="0"/>
              <w:bidi w:val="0"/>
              <w:spacing w:line="340" w:lineRule="exact"/>
              <w:ind w:lef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4246" w:type="dxa"/>
            <w:vAlign w:val="center"/>
          </w:tcPr>
          <w:p>
            <w:pPr>
              <w:pageBreakBefore w:val="0"/>
              <w:kinsoku/>
              <w:wordWrap/>
              <w:topLinePunct w:val="0"/>
              <w:bidi w:val="0"/>
              <w:spacing w:line="340" w:lineRule="exact"/>
              <w:ind w:lef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全自动洗瓶机</w:t>
            </w:r>
          </w:p>
        </w:tc>
        <w:tc>
          <w:tcPr>
            <w:tcW w:w="1238" w:type="dxa"/>
            <w:vAlign w:val="center"/>
          </w:tcPr>
          <w:p>
            <w:pPr>
              <w:pageBreakBefore w:val="0"/>
              <w:kinsoku/>
              <w:wordWrap/>
              <w:topLinePunct w:val="0"/>
              <w:bidi w:val="0"/>
              <w:spacing w:line="340" w:lineRule="exact"/>
              <w:ind w:left="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2台</w:t>
            </w:r>
          </w:p>
        </w:tc>
        <w:tc>
          <w:tcPr>
            <w:tcW w:w="1912"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lang w:val="en-US" w:eastAsia="zh-CN"/>
              </w:rPr>
              <w:t>否</w:t>
            </w:r>
          </w:p>
        </w:tc>
        <w:tc>
          <w:tcPr>
            <w:tcW w:w="993"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vAlign w:val="center"/>
          </w:tcPr>
          <w:p>
            <w:pPr>
              <w:pageBreakBefore w:val="0"/>
              <w:kinsoku/>
              <w:wordWrap/>
              <w:topLinePunct w:val="0"/>
              <w:bidi w:val="0"/>
              <w:spacing w:line="340" w:lineRule="exact"/>
              <w:ind w:lef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4246" w:type="dxa"/>
            <w:vAlign w:val="center"/>
          </w:tcPr>
          <w:p>
            <w:pPr>
              <w:pageBreakBefore w:val="0"/>
              <w:kinsoku/>
              <w:wordWrap/>
              <w:topLinePunct w:val="0"/>
              <w:bidi w:val="0"/>
              <w:spacing w:line="340" w:lineRule="exact"/>
              <w:ind w:lef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全自动高锰酸盐指数分析仪</w:t>
            </w:r>
          </w:p>
        </w:tc>
        <w:tc>
          <w:tcPr>
            <w:tcW w:w="1238" w:type="dxa"/>
            <w:vAlign w:val="center"/>
          </w:tcPr>
          <w:p>
            <w:pPr>
              <w:pageBreakBefore w:val="0"/>
              <w:kinsoku/>
              <w:wordWrap/>
              <w:topLinePunct w:val="0"/>
              <w:bidi w:val="0"/>
              <w:spacing w:line="340" w:lineRule="exact"/>
              <w:ind w:left="0"/>
              <w:jc w:val="center"/>
              <w:rPr>
                <w:rFonts w:hint="eastAsia" w:ascii="宋体" w:hAnsi="宋体" w:eastAsia="宋体" w:cs="宋体"/>
                <w:color w:val="auto"/>
                <w:sz w:val="22"/>
                <w:szCs w:val="22"/>
                <w:highlight w:val="none"/>
              </w:rPr>
            </w:pPr>
            <w:r>
              <w:rPr>
                <w:rFonts w:hint="eastAsia" w:ascii="宋体" w:hAnsi="宋体" w:eastAsia="宋体" w:cs="宋体"/>
                <w:bCs/>
                <w:color w:val="auto"/>
                <w:spacing w:val="-6"/>
                <w:sz w:val="22"/>
                <w:szCs w:val="22"/>
                <w:highlight w:val="none"/>
                <w:lang w:val="en-US" w:eastAsia="zh-CN"/>
              </w:rPr>
              <w:t>1台</w:t>
            </w:r>
          </w:p>
        </w:tc>
        <w:tc>
          <w:tcPr>
            <w:tcW w:w="1912"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lang w:val="en-US" w:eastAsia="zh-CN"/>
              </w:rPr>
              <w:t>否</w:t>
            </w:r>
          </w:p>
        </w:tc>
        <w:tc>
          <w:tcPr>
            <w:tcW w:w="993"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vAlign w:val="center"/>
          </w:tcPr>
          <w:p>
            <w:pPr>
              <w:pageBreakBefore w:val="0"/>
              <w:kinsoku/>
              <w:wordWrap/>
              <w:topLinePunct w:val="0"/>
              <w:bidi w:val="0"/>
              <w:spacing w:line="340" w:lineRule="exact"/>
              <w:ind w:lef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4246" w:type="dxa"/>
            <w:vAlign w:val="center"/>
          </w:tcPr>
          <w:p>
            <w:pPr>
              <w:pageBreakBefore w:val="0"/>
              <w:kinsoku/>
              <w:wordWrap/>
              <w:topLinePunct w:val="0"/>
              <w:bidi w:val="0"/>
              <w:spacing w:line="340" w:lineRule="exact"/>
              <w:ind w:lef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显微镜</w:t>
            </w:r>
          </w:p>
        </w:tc>
        <w:tc>
          <w:tcPr>
            <w:tcW w:w="1238" w:type="dxa"/>
            <w:vAlign w:val="center"/>
          </w:tcPr>
          <w:p>
            <w:pPr>
              <w:pageBreakBefore w:val="0"/>
              <w:kinsoku/>
              <w:wordWrap/>
              <w:topLinePunct w:val="0"/>
              <w:bidi w:val="0"/>
              <w:spacing w:line="340" w:lineRule="exact"/>
              <w:ind w:left="0"/>
              <w:jc w:val="center"/>
              <w:rPr>
                <w:rFonts w:hint="eastAsia" w:ascii="宋体" w:hAnsi="宋体" w:eastAsia="宋体" w:cs="宋体"/>
                <w:color w:val="auto"/>
                <w:sz w:val="22"/>
                <w:szCs w:val="22"/>
                <w:highlight w:val="none"/>
              </w:rPr>
            </w:pPr>
            <w:r>
              <w:rPr>
                <w:rFonts w:hint="eastAsia" w:ascii="宋体" w:hAnsi="宋体" w:eastAsia="宋体" w:cs="宋体"/>
                <w:bCs/>
                <w:color w:val="auto"/>
                <w:spacing w:val="-6"/>
                <w:sz w:val="22"/>
                <w:szCs w:val="22"/>
                <w:highlight w:val="none"/>
                <w:lang w:val="en-US" w:eastAsia="zh-CN"/>
              </w:rPr>
              <w:t>1台</w:t>
            </w:r>
          </w:p>
        </w:tc>
        <w:tc>
          <w:tcPr>
            <w:tcW w:w="1912"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lang w:val="en-US" w:eastAsia="zh-CN"/>
              </w:rPr>
              <w:t>否</w:t>
            </w:r>
          </w:p>
        </w:tc>
        <w:tc>
          <w:tcPr>
            <w:tcW w:w="993"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vAlign w:val="center"/>
          </w:tcPr>
          <w:p>
            <w:pPr>
              <w:pageBreakBefore w:val="0"/>
              <w:kinsoku/>
              <w:wordWrap/>
              <w:topLinePunct w:val="0"/>
              <w:bidi w:val="0"/>
              <w:spacing w:line="340" w:lineRule="exact"/>
              <w:ind w:lef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w:t>
            </w:r>
          </w:p>
        </w:tc>
        <w:tc>
          <w:tcPr>
            <w:tcW w:w="4246" w:type="dxa"/>
            <w:vAlign w:val="center"/>
          </w:tcPr>
          <w:p>
            <w:pPr>
              <w:pageBreakBefore w:val="0"/>
              <w:kinsoku/>
              <w:wordWrap/>
              <w:topLinePunct w:val="0"/>
              <w:bidi w:val="0"/>
              <w:spacing w:line="340" w:lineRule="exact"/>
              <w:ind w:left="0" w:lef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振荡器</w:t>
            </w:r>
          </w:p>
        </w:tc>
        <w:tc>
          <w:tcPr>
            <w:tcW w:w="1238" w:type="dxa"/>
            <w:vAlign w:val="center"/>
          </w:tcPr>
          <w:p>
            <w:pPr>
              <w:pageBreakBefore w:val="0"/>
              <w:kinsoku/>
              <w:wordWrap/>
              <w:topLinePunct w:val="0"/>
              <w:bidi w:val="0"/>
              <w:spacing w:line="340" w:lineRule="exact"/>
              <w:ind w:left="0" w:lef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pacing w:val="-6"/>
                <w:sz w:val="22"/>
                <w:szCs w:val="22"/>
                <w:highlight w:val="none"/>
                <w:lang w:val="en-US" w:eastAsia="zh-CN"/>
              </w:rPr>
              <w:t>1台</w:t>
            </w:r>
          </w:p>
        </w:tc>
        <w:tc>
          <w:tcPr>
            <w:tcW w:w="1912" w:type="dxa"/>
            <w:vAlign w:val="center"/>
          </w:tcPr>
          <w:p>
            <w:pPr>
              <w:pageBreakBefore w:val="0"/>
              <w:kinsoku/>
              <w:wordWrap/>
              <w:topLinePunct w:val="0"/>
              <w:bidi w:val="0"/>
              <w:spacing w:line="340" w:lineRule="exact"/>
              <w:ind w:left="0" w:leftChars="0"/>
              <w:jc w:val="center"/>
              <w:rPr>
                <w:rFonts w:hint="eastAsia" w:ascii="宋体" w:hAnsi="宋体" w:eastAsia="宋体" w:cs="宋体"/>
                <w:bCs/>
                <w:color w:val="auto"/>
                <w:spacing w:val="-6"/>
                <w:kern w:val="2"/>
                <w:sz w:val="22"/>
                <w:szCs w:val="22"/>
                <w:highlight w:val="none"/>
                <w:lang w:val="en-US" w:eastAsia="zh-CN" w:bidi="ar-SA"/>
              </w:rPr>
            </w:pPr>
            <w:r>
              <w:rPr>
                <w:rFonts w:hint="eastAsia" w:ascii="宋体" w:hAnsi="宋体" w:eastAsia="宋体" w:cs="宋体"/>
                <w:bCs/>
                <w:color w:val="auto"/>
                <w:spacing w:val="-6"/>
                <w:sz w:val="22"/>
                <w:szCs w:val="22"/>
                <w:highlight w:val="none"/>
                <w:lang w:val="en-US" w:eastAsia="zh-CN"/>
              </w:rPr>
              <w:t>否</w:t>
            </w:r>
          </w:p>
        </w:tc>
        <w:tc>
          <w:tcPr>
            <w:tcW w:w="993"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vAlign w:val="center"/>
          </w:tcPr>
          <w:p>
            <w:pPr>
              <w:pageBreakBefore w:val="0"/>
              <w:kinsoku/>
              <w:wordWrap/>
              <w:topLinePunct w:val="0"/>
              <w:bidi w:val="0"/>
              <w:spacing w:line="340" w:lineRule="exact"/>
              <w:ind w:lef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w:t>
            </w:r>
          </w:p>
        </w:tc>
        <w:tc>
          <w:tcPr>
            <w:tcW w:w="4246" w:type="dxa"/>
            <w:vAlign w:val="center"/>
          </w:tcPr>
          <w:p>
            <w:pPr>
              <w:pageBreakBefore w:val="0"/>
              <w:kinsoku/>
              <w:wordWrap/>
              <w:topLinePunct w:val="0"/>
              <w:bidi w:val="0"/>
              <w:spacing w:line="340" w:lineRule="exact"/>
              <w:ind w:left="0" w:lef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电子天平</w:t>
            </w:r>
          </w:p>
        </w:tc>
        <w:tc>
          <w:tcPr>
            <w:tcW w:w="1238" w:type="dxa"/>
            <w:vAlign w:val="center"/>
          </w:tcPr>
          <w:p>
            <w:pPr>
              <w:pageBreakBefore w:val="0"/>
              <w:kinsoku/>
              <w:wordWrap/>
              <w:topLinePunct w:val="0"/>
              <w:bidi w:val="0"/>
              <w:spacing w:line="340" w:lineRule="exact"/>
              <w:ind w:left="0" w:lef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bCs/>
                <w:color w:val="auto"/>
                <w:spacing w:val="-6"/>
                <w:sz w:val="22"/>
                <w:szCs w:val="22"/>
                <w:highlight w:val="none"/>
                <w:lang w:val="en-US" w:eastAsia="zh-CN"/>
              </w:rPr>
              <w:t>4</w:t>
            </w:r>
            <w:r>
              <w:rPr>
                <w:rFonts w:hint="eastAsia" w:ascii="宋体" w:hAnsi="宋体" w:eastAsia="宋体" w:cs="宋体"/>
                <w:bCs/>
                <w:color w:val="auto"/>
                <w:spacing w:val="-6"/>
                <w:sz w:val="22"/>
                <w:szCs w:val="22"/>
                <w:highlight w:val="none"/>
                <w:lang w:val="en-US" w:eastAsia="zh-CN"/>
              </w:rPr>
              <w:t>台</w:t>
            </w:r>
          </w:p>
        </w:tc>
        <w:tc>
          <w:tcPr>
            <w:tcW w:w="1912" w:type="dxa"/>
            <w:vAlign w:val="center"/>
          </w:tcPr>
          <w:p>
            <w:pPr>
              <w:pageBreakBefore w:val="0"/>
              <w:kinsoku/>
              <w:wordWrap/>
              <w:topLinePunct w:val="0"/>
              <w:bidi w:val="0"/>
              <w:spacing w:line="340" w:lineRule="exact"/>
              <w:ind w:left="0" w:leftChars="0"/>
              <w:jc w:val="center"/>
              <w:rPr>
                <w:rFonts w:hint="eastAsia" w:ascii="宋体" w:hAnsi="宋体" w:eastAsia="宋体" w:cs="宋体"/>
                <w:bCs/>
                <w:color w:val="auto"/>
                <w:spacing w:val="-6"/>
                <w:kern w:val="2"/>
                <w:sz w:val="22"/>
                <w:szCs w:val="22"/>
                <w:highlight w:val="none"/>
                <w:lang w:val="en-US" w:eastAsia="zh-CN" w:bidi="ar-SA"/>
              </w:rPr>
            </w:pPr>
            <w:r>
              <w:rPr>
                <w:rFonts w:hint="eastAsia" w:ascii="宋体" w:hAnsi="宋体" w:eastAsia="宋体" w:cs="宋体"/>
                <w:bCs/>
                <w:color w:val="auto"/>
                <w:spacing w:val="-6"/>
                <w:sz w:val="22"/>
                <w:szCs w:val="22"/>
                <w:highlight w:val="none"/>
                <w:lang w:val="en-US" w:eastAsia="zh-CN"/>
              </w:rPr>
              <w:t>否</w:t>
            </w:r>
          </w:p>
        </w:tc>
        <w:tc>
          <w:tcPr>
            <w:tcW w:w="993"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vAlign w:val="center"/>
          </w:tcPr>
          <w:p>
            <w:pPr>
              <w:pageBreakBefore w:val="0"/>
              <w:kinsoku/>
              <w:wordWrap/>
              <w:topLinePunct w:val="0"/>
              <w:bidi w:val="0"/>
              <w:spacing w:line="340" w:lineRule="exact"/>
              <w:ind w:lef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14</w:t>
            </w:r>
          </w:p>
        </w:tc>
        <w:tc>
          <w:tcPr>
            <w:tcW w:w="4246" w:type="dxa"/>
            <w:vAlign w:val="center"/>
          </w:tcPr>
          <w:p>
            <w:pPr>
              <w:pageBreakBefore w:val="0"/>
              <w:kinsoku/>
              <w:wordWrap/>
              <w:topLinePunct w:val="0"/>
              <w:bidi w:val="0"/>
              <w:spacing w:line="340" w:lineRule="exact"/>
              <w:ind w:left="0" w:lef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低速</w:t>
            </w:r>
            <w:r>
              <w:rPr>
                <w:rFonts w:hint="eastAsia" w:ascii="宋体" w:hAnsi="宋体" w:eastAsia="宋体" w:cs="宋体"/>
                <w:color w:val="auto"/>
                <w:sz w:val="22"/>
                <w:szCs w:val="22"/>
                <w:highlight w:val="none"/>
                <w:lang w:val="en-US" w:eastAsia="zh-CN"/>
              </w:rPr>
              <w:t>离心机</w:t>
            </w:r>
          </w:p>
        </w:tc>
        <w:tc>
          <w:tcPr>
            <w:tcW w:w="1238" w:type="dxa"/>
            <w:vAlign w:val="center"/>
          </w:tcPr>
          <w:p>
            <w:pPr>
              <w:pageBreakBefore w:val="0"/>
              <w:kinsoku/>
              <w:wordWrap/>
              <w:topLinePunct w:val="0"/>
              <w:bidi w:val="0"/>
              <w:spacing w:line="340" w:lineRule="exact"/>
              <w:ind w:left="0" w:lef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pacing w:val="-6"/>
                <w:sz w:val="22"/>
                <w:szCs w:val="22"/>
                <w:highlight w:val="none"/>
                <w:lang w:val="en-US" w:eastAsia="zh-CN"/>
              </w:rPr>
              <w:t>1台</w:t>
            </w:r>
          </w:p>
        </w:tc>
        <w:tc>
          <w:tcPr>
            <w:tcW w:w="1912" w:type="dxa"/>
            <w:vAlign w:val="center"/>
          </w:tcPr>
          <w:p>
            <w:pPr>
              <w:pageBreakBefore w:val="0"/>
              <w:kinsoku/>
              <w:wordWrap/>
              <w:topLinePunct w:val="0"/>
              <w:bidi w:val="0"/>
              <w:spacing w:line="340" w:lineRule="exact"/>
              <w:ind w:left="0" w:leftChars="0"/>
              <w:jc w:val="center"/>
              <w:rPr>
                <w:rFonts w:hint="eastAsia" w:ascii="宋体" w:hAnsi="宋体" w:eastAsia="宋体" w:cs="宋体"/>
                <w:bCs/>
                <w:color w:val="auto"/>
                <w:spacing w:val="-6"/>
                <w:kern w:val="2"/>
                <w:sz w:val="22"/>
                <w:szCs w:val="22"/>
                <w:highlight w:val="none"/>
                <w:lang w:val="en-US" w:eastAsia="zh-CN" w:bidi="ar-SA"/>
              </w:rPr>
            </w:pPr>
            <w:r>
              <w:rPr>
                <w:rFonts w:hint="eastAsia" w:ascii="宋体" w:hAnsi="宋体" w:eastAsia="宋体" w:cs="宋体"/>
                <w:bCs/>
                <w:color w:val="auto"/>
                <w:spacing w:val="-6"/>
                <w:sz w:val="22"/>
                <w:szCs w:val="22"/>
                <w:highlight w:val="none"/>
                <w:lang w:val="en-US" w:eastAsia="zh-CN"/>
              </w:rPr>
              <w:t>否</w:t>
            </w:r>
          </w:p>
        </w:tc>
        <w:tc>
          <w:tcPr>
            <w:tcW w:w="993"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vAlign w:val="center"/>
          </w:tcPr>
          <w:p>
            <w:pPr>
              <w:pageBreakBefore w:val="0"/>
              <w:kinsoku/>
              <w:wordWrap/>
              <w:topLinePunct w:val="0"/>
              <w:bidi w:val="0"/>
              <w:spacing w:line="340" w:lineRule="exact"/>
              <w:ind w:lef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w:t>
            </w:r>
          </w:p>
        </w:tc>
        <w:tc>
          <w:tcPr>
            <w:tcW w:w="4246" w:type="dxa"/>
            <w:vAlign w:val="center"/>
          </w:tcPr>
          <w:p>
            <w:pPr>
              <w:pageBreakBefore w:val="0"/>
              <w:kinsoku/>
              <w:wordWrap/>
              <w:topLinePunct w:val="0"/>
              <w:bidi w:val="0"/>
              <w:spacing w:line="340" w:lineRule="exact"/>
              <w:ind w:left="0" w:lef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高速离心机</w:t>
            </w:r>
          </w:p>
        </w:tc>
        <w:tc>
          <w:tcPr>
            <w:tcW w:w="1238" w:type="dxa"/>
            <w:vAlign w:val="center"/>
          </w:tcPr>
          <w:p>
            <w:pPr>
              <w:pageBreakBefore w:val="0"/>
              <w:kinsoku/>
              <w:wordWrap/>
              <w:topLinePunct w:val="0"/>
              <w:bidi w:val="0"/>
              <w:spacing w:line="340" w:lineRule="exact"/>
              <w:ind w:left="0" w:lef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pacing w:val="-6"/>
                <w:sz w:val="22"/>
                <w:szCs w:val="22"/>
                <w:highlight w:val="none"/>
                <w:lang w:val="en-US" w:eastAsia="zh-CN"/>
              </w:rPr>
              <w:t>1台</w:t>
            </w:r>
          </w:p>
        </w:tc>
        <w:tc>
          <w:tcPr>
            <w:tcW w:w="1912" w:type="dxa"/>
            <w:vAlign w:val="center"/>
          </w:tcPr>
          <w:p>
            <w:pPr>
              <w:pageBreakBefore w:val="0"/>
              <w:kinsoku/>
              <w:wordWrap/>
              <w:topLinePunct w:val="0"/>
              <w:bidi w:val="0"/>
              <w:spacing w:line="340" w:lineRule="exact"/>
              <w:ind w:left="0" w:leftChars="0"/>
              <w:jc w:val="center"/>
              <w:rPr>
                <w:rFonts w:hint="eastAsia" w:ascii="宋体" w:hAnsi="宋体" w:eastAsia="宋体" w:cs="宋体"/>
                <w:bCs/>
                <w:color w:val="auto"/>
                <w:spacing w:val="-6"/>
                <w:kern w:val="2"/>
                <w:sz w:val="22"/>
                <w:szCs w:val="22"/>
                <w:highlight w:val="none"/>
                <w:lang w:val="en-US" w:eastAsia="zh-CN" w:bidi="ar-SA"/>
              </w:rPr>
            </w:pPr>
            <w:r>
              <w:rPr>
                <w:rFonts w:hint="eastAsia" w:ascii="宋体" w:hAnsi="宋体" w:eastAsia="宋体" w:cs="宋体"/>
                <w:bCs/>
                <w:color w:val="auto"/>
                <w:spacing w:val="-6"/>
                <w:sz w:val="22"/>
                <w:szCs w:val="22"/>
                <w:highlight w:val="none"/>
                <w:lang w:val="en-US" w:eastAsia="zh-CN"/>
              </w:rPr>
              <w:t>否</w:t>
            </w:r>
          </w:p>
        </w:tc>
        <w:tc>
          <w:tcPr>
            <w:tcW w:w="993" w:type="dxa"/>
            <w:vAlign w:val="center"/>
          </w:tcPr>
          <w:p>
            <w:pPr>
              <w:pageBreakBefore w:val="0"/>
              <w:kinsoku/>
              <w:wordWrap/>
              <w:topLinePunct w:val="0"/>
              <w:bidi w:val="0"/>
              <w:spacing w:line="340" w:lineRule="exact"/>
              <w:ind w:left="0"/>
              <w:jc w:val="center"/>
              <w:rPr>
                <w:rFonts w:hint="eastAsia" w:ascii="宋体" w:hAnsi="宋体" w:eastAsia="宋体" w:cs="宋体"/>
                <w:bCs/>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26" w:type="dxa"/>
            <w:gridSpan w:val="5"/>
            <w:vAlign w:val="center"/>
          </w:tcPr>
          <w:p>
            <w:pPr>
              <w:pageBreakBefore w:val="0"/>
              <w:kinsoku/>
              <w:wordWrap/>
              <w:topLinePunct w:val="0"/>
              <w:bidi w:val="0"/>
              <w:spacing w:line="340" w:lineRule="exact"/>
              <w:ind w:left="0"/>
              <w:jc w:val="center"/>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kern w:val="0"/>
                <w:sz w:val="22"/>
                <w:szCs w:val="22"/>
                <w:highlight w:val="none"/>
              </w:rPr>
              <w:t>核心产品</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u w:val="none"/>
                <w:lang w:eastAsia="zh-CN"/>
              </w:rPr>
              <w:t>气相色谱三重四极杆质谱联用仪</w:t>
            </w:r>
            <w:r>
              <w:rPr>
                <w:rFonts w:hint="eastAsia" w:ascii="宋体" w:hAnsi="宋体" w:eastAsia="宋体" w:cs="宋体"/>
                <w:b/>
                <w:bCs/>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26" w:type="dxa"/>
            <w:gridSpan w:val="5"/>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pacing w:val="-6"/>
                <w:sz w:val="22"/>
                <w:szCs w:val="22"/>
                <w:highlight w:val="none"/>
              </w:rPr>
            </w:pPr>
            <w:r>
              <w:rPr>
                <w:rFonts w:hint="eastAsia"/>
                <w:color w:val="auto"/>
                <w:sz w:val="22"/>
                <w:szCs w:val="22"/>
                <w:highlight w:val="none"/>
                <w:lang w:eastAsia="zh-CN"/>
              </w:rPr>
              <w:t>说明：</w:t>
            </w:r>
            <w:r>
              <w:rPr>
                <w:rFonts w:hint="eastAsia" w:ascii="宋体" w:hAnsi="宋体" w:eastAsia="宋体" w:cs="宋体"/>
                <w:b/>
                <w:bCs/>
                <w:color w:val="auto"/>
                <w:spacing w:val="-6"/>
                <w:sz w:val="22"/>
                <w:szCs w:val="22"/>
                <w:highlight w:val="none"/>
                <w:u w:val="single"/>
              </w:rPr>
              <w:t>▲</w:t>
            </w:r>
            <w:r>
              <w:rPr>
                <w:rFonts w:hint="eastAsia" w:ascii="宋体" w:hAnsi="宋体" w:cs="宋体"/>
                <w:color w:val="auto"/>
                <w:sz w:val="22"/>
                <w:szCs w:val="22"/>
                <w:highlight w:val="none"/>
                <w:u w:val="single"/>
                <w:lang w:eastAsia="zh-CN"/>
              </w:rPr>
              <w:t>中标后中标人7个工作日内提供</w:t>
            </w:r>
            <w:r>
              <w:rPr>
                <w:rFonts w:hint="eastAsia" w:ascii="宋体" w:hAnsi="宋体" w:eastAsia="宋体" w:cs="宋体"/>
                <w:color w:val="auto"/>
                <w:sz w:val="22"/>
                <w:szCs w:val="22"/>
                <w:highlight w:val="none"/>
                <w:u w:val="single"/>
                <w:lang w:val="en-US" w:eastAsia="zh-CN"/>
              </w:rPr>
              <w:t>气相色谱三重四极杆质谱联用仪</w:t>
            </w:r>
            <w:r>
              <w:rPr>
                <w:rFonts w:hint="eastAsia" w:ascii="宋体" w:hAnsi="宋体" w:cs="宋体"/>
                <w:color w:val="auto"/>
                <w:sz w:val="22"/>
                <w:szCs w:val="22"/>
                <w:highlight w:val="none"/>
                <w:u w:val="single"/>
                <w:lang w:eastAsia="zh-CN"/>
              </w:rPr>
              <w:t>和</w:t>
            </w:r>
            <w:r>
              <w:rPr>
                <w:rFonts w:hint="eastAsia" w:ascii="宋体" w:hAnsi="宋体" w:cs="宋体"/>
                <w:color w:val="auto"/>
                <w:sz w:val="22"/>
                <w:szCs w:val="22"/>
                <w:highlight w:val="none"/>
                <w:u w:val="single"/>
                <w:lang w:val="en-US" w:eastAsia="zh-CN"/>
              </w:rPr>
              <w:t>微生物质谱检测系统</w:t>
            </w:r>
            <w:r>
              <w:rPr>
                <w:rFonts w:hint="eastAsia" w:ascii="宋体" w:hAnsi="宋体" w:cs="宋体"/>
                <w:color w:val="auto"/>
                <w:sz w:val="22"/>
                <w:szCs w:val="22"/>
                <w:highlight w:val="none"/>
                <w:u w:val="single"/>
                <w:lang w:eastAsia="zh-CN"/>
              </w:rPr>
              <w:t>原厂商授权证明，不提供按无效投标处理。</w:t>
            </w:r>
          </w:p>
        </w:tc>
      </w:tr>
    </w:tbl>
    <w:p>
      <w:pPr>
        <w:pStyle w:val="3"/>
        <w:numPr>
          <w:ilvl w:val="0"/>
          <w:numId w:val="0"/>
        </w:numPr>
        <w:rPr>
          <w:rFonts w:hint="eastAsia" w:eastAsia="宋体"/>
          <w:color w:val="auto"/>
          <w:sz w:val="22"/>
          <w:szCs w:val="22"/>
          <w:highlight w:val="none"/>
          <w:lang w:eastAsia="zh-CN"/>
        </w:rPr>
      </w:pPr>
      <w:r>
        <w:rPr>
          <w:rFonts w:hint="eastAsia"/>
          <w:color w:val="auto"/>
          <w:sz w:val="22"/>
          <w:szCs w:val="22"/>
          <w:highlight w:val="none"/>
          <w:lang w:eastAsia="zh-CN"/>
        </w:rPr>
        <w:t>（二）货物技术参数要求</w:t>
      </w:r>
    </w:p>
    <w:tbl>
      <w:tblPr>
        <w:tblStyle w:val="32"/>
        <w:tblW w:w="93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9"/>
        <w:gridCol w:w="1424"/>
        <w:gridCol w:w="72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line="340" w:lineRule="exact"/>
              <w:ind w:left="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序号</w:t>
            </w:r>
          </w:p>
        </w:tc>
        <w:tc>
          <w:tcPr>
            <w:tcW w:w="1424"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line="340" w:lineRule="exact"/>
              <w:ind w:left="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pacing w:val="-6"/>
                <w:sz w:val="22"/>
                <w:szCs w:val="22"/>
                <w:highlight w:val="none"/>
                <w:lang w:val="en-US" w:eastAsia="zh-CN"/>
              </w:rPr>
              <w:t>设备名称</w:t>
            </w:r>
          </w:p>
        </w:tc>
        <w:tc>
          <w:tcPr>
            <w:tcW w:w="721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line="340" w:lineRule="exact"/>
              <w:ind w:left="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技术参数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1</w:t>
            </w:r>
          </w:p>
        </w:tc>
        <w:tc>
          <w:tcPr>
            <w:tcW w:w="1424"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气相色谱三重四极杆质谱联用仪</w:t>
            </w:r>
          </w:p>
        </w:tc>
        <w:tc>
          <w:tcPr>
            <w:tcW w:w="72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jc w:val="lef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一、</w:t>
            </w:r>
            <w:r>
              <w:rPr>
                <w:rFonts w:hint="eastAsia" w:ascii="宋体" w:hAnsi="宋体" w:eastAsia="宋体" w:cs="宋体"/>
                <w:b/>
                <w:bCs/>
                <w:color w:val="auto"/>
                <w:sz w:val="22"/>
                <w:szCs w:val="22"/>
                <w:highlight w:val="none"/>
              </w:rPr>
              <w:t>具体用途：</w:t>
            </w:r>
            <w:r>
              <w:rPr>
                <w:rFonts w:hint="eastAsia" w:ascii="宋体" w:hAnsi="宋体" w:eastAsia="宋体" w:cs="宋体"/>
                <w:color w:val="auto"/>
                <w:sz w:val="22"/>
                <w:szCs w:val="22"/>
                <w:highlight w:val="none"/>
              </w:rPr>
              <w:t>能对目标化合物进行高灵敏度、高选择性的筛查和对痕量化合物的准确定量。能够满足食品中痕量和超痕量农药残留、非法添加等样品的筛查和定量分析，环境样品中污染物的分析，水质、大气、土壤中有机物分析等，并符合国际、国内相关标准和法规的要求。</w:t>
            </w:r>
          </w:p>
          <w:p>
            <w:pPr>
              <w:keepNext w:val="0"/>
              <w:keepLines w:val="0"/>
              <w:pageBreakBefore w:val="0"/>
              <w:widowControl w:val="0"/>
              <w:kinsoku/>
              <w:wordWrap/>
              <w:overflowPunct/>
              <w:topLinePunct w:val="0"/>
              <w:autoSpaceDE/>
              <w:autoSpaceDN/>
              <w:bidi w:val="0"/>
              <w:adjustRightInd/>
              <w:snapToGrid/>
              <w:spacing w:line="340" w:lineRule="exact"/>
              <w:ind w:left="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rPr>
              <w:t>技术规格和性能要求</w:t>
            </w:r>
          </w:p>
          <w:p>
            <w:pPr>
              <w:keepNext w:val="0"/>
              <w:keepLines w:val="0"/>
              <w:pageBreakBefore w:val="0"/>
              <w:widowControl w:val="0"/>
              <w:kinsoku/>
              <w:wordWrap/>
              <w:overflowPunct/>
              <w:topLinePunct w:val="0"/>
              <w:autoSpaceDE/>
              <w:autoSpaceDN/>
              <w:bidi w:val="0"/>
              <w:adjustRightInd/>
              <w:snapToGrid/>
              <w:spacing w:line="340" w:lineRule="exact"/>
              <w:ind w:left="0"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1、工作条件</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1.1电源</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220V，50Hz</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1.2温度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操作环境20˚C-35˚C</w:t>
            </w:r>
          </w:p>
          <w:p>
            <w:pPr>
              <w:keepNext w:val="0"/>
              <w:keepLines w:val="0"/>
              <w:pageBreakBefore w:val="0"/>
              <w:widowControl w:val="0"/>
              <w:numPr>
                <w:ilvl w:val="1"/>
                <w:numId w:val="10"/>
              </w:numPr>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湿度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操作状态25-50%，非操作状态20-80%</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1.4仪器具备绿色实验室标识，实现实验室效率、生产力和可持续性的相互联系，助力实验室可持续发展目标，以应对碳中和的节能化实验室变化要求。</w:t>
            </w:r>
          </w:p>
          <w:p>
            <w:pPr>
              <w:keepNext w:val="0"/>
              <w:keepLines w:val="0"/>
              <w:pageBreakBefore w:val="0"/>
              <w:widowControl w:val="0"/>
              <w:kinsoku/>
              <w:wordWrap/>
              <w:overflowPunct/>
              <w:topLinePunct w:val="0"/>
              <w:autoSpaceDE/>
              <w:autoSpaceDN/>
              <w:bidi w:val="0"/>
              <w:adjustRightInd/>
              <w:snapToGrid/>
              <w:spacing w:line="340" w:lineRule="exact"/>
              <w:ind w:left="0"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2、性能指标</w:t>
            </w:r>
          </w:p>
          <w:p>
            <w:pPr>
              <w:keepNext w:val="0"/>
              <w:keepLines w:val="0"/>
              <w:pageBreakBefore w:val="0"/>
              <w:widowControl w:val="0"/>
              <w:kinsoku/>
              <w:wordWrap/>
              <w:overflowPunct/>
              <w:topLinePunct w:val="0"/>
              <w:autoSpaceDE/>
              <w:autoSpaceDN/>
              <w:bidi w:val="0"/>
              <w:adjustRightInd/>
              <w:snapToGrid/>
              <w:spacing w:line="340" w:lineRule="exact"/>
              <w:ind w:left="0"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2.1气相色谱仪</w:t>
            </w:r>
          </w:p>
          <w:p>
            <w:pPr>
              <w:keepNext w:val="0"/>
              <w:keepLines w:val="0"/>
              <w:pageBreakBefore w:val="0"/>
              <w:widowControl w:val="0"/>
              <w:kinsoku/>
              <w:wordWrap/>
              <w:overflowPunct/>
              <w:topLinePunct w:val="0"/>
              <w:autoSpaceDE/>
              <w:autoSpaceDN/>
              <w:bidi w:val="0"/>
              <w:adjustRightInd/>
              <w:snapToGrid/>
              <w:spacing w:line="340" w:lineRule="exact"/>
              <w:ind w:left="0"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2.1.1柱箱</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2.1.1.1柱箱温度：室温上5˚C-450˚C，19梯度/20平台程序升温</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2.1.1.2升温速率：最大升温速度120˚C/min，以0.01˚C/min增加。</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2.1.1.3降温速率：从450˚C降至50˚C&lt;220秒。</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2.1.1.4控温准确性：0.01℃</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2.1.1.5气相主机具有彩色电容触摸屏操作界面，有三种用户操作界面，即软件、彩色触摸屏和浏览器界面，用户无论在实验室还是远程均可自在操作和监控仪器的状态。仪器的电子压力控制模块具有在线过滤器，可以大幅减少油气和机械杂质对于系统的干扰，减少仪器停机时间.气质联用中，不仅可以从软件上监控质谱状态，GC彩色触摸屏上也可以显示质谱参数。例如分子涡轮泵转速，离子源温度和真空状态等关键参数，便于用户及时了解仪器运行状态</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投标时商务技术文件中提供官方彩页或截图作为证明，否则视为负偏离</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2.1.1.6</w:t>
            </w:r>
            <w:bookmarkStart w:id="108" w:name="_Hlk66355314"/>
            <w:r>
              <w:rPr>
                <w:rFonts w:hint="eastAsia" w:ascii="宋体" w:hAnsi="宋体" w:eastAsia="宋体" w:cs="宋体"/>
                <w:color w:val="auto"/>
                <w:sz w:val="22"/>
                <w:szCs w:val="22"/>
                <w:highlight w:val="none"/>
              </w:rPr>
              <w:t>气相主机操作系统包含四种以上不同操作语言，适合不同客户需求。</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2.1.1.7软件内嵌消耗品目录，可通过货号直接选择对应衬管及色谱柱，避免误操作。</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jc w:val="lef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rPr>
              <w:t>★2.1.1.8具有保留时间锁定功能，该功能需具有使待测物保留时间完全一致的保留时间锁定效果（</w:t>
            </w:r>
            <w:r>
              <w:rPr>
                <w:rFonts w:hint="eastAsia" w:ascii="宋体" w:hAnsi="宋体" w:eastAsia="宋体" w:cs="宋体"/>
                <w:b/>
                <w:bCs/>
                <w:color w:val="auto"/>
                <w:sz w:val="22"/>
                <w:szCs w:val="22"/>
                <w:highlight w:val="none"/>
                <w:lang w:val="en-US" w:eastAsia="zh-CN"/>
              </w:rPr>
              <w:t>投标时商务和技术文件中</w:t>
            </w:r>
            <w:r>
              <w:rPr>
                <w:rFonts w:hint="eastAsia" w:ascii="宋体" w:hAnsi="宋体" w:eastAsia="宋体" w:cs="宋体"/>
                <w:b/>
                <w:bCs/>
                <w:color w:val="auto"/>
                <w:sz w:val="22"/>
                <w:szCs w:val="22"/>
                <w:highlight w:val="none"/>
              </w:rPr>
              <w:t>提</w:t>
            </w:r>
            <w:r>
              <w:rPr>
                <w:rFonts w:hint="eastAsia" w:ascii="宋体" w:hAnsi="宋体" w:eastAsia="宋体" w:cs="宋体"/>
                <w:b/>
                <w:bCs/>
                <w:color w:val="auto"/>
                <w:sz w:val="22"/>
                <w:szCs w:val="22"/>
                <w:highlight w:val="none"/>
                <w:lang w:val="en-US" w:eastAsia="zh-CN"/>
              </w:rPr>
              <w:t>供软件截图证明材料，否则视为负偏离）。</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jc w:val="left"/>
              <w:textAlignment w:val="auto"/>
              <w:rPr>
                <w:rFonts w:hint="eastAsia" w:ascii="宋体" w:hAnsi="宋体" w:eastAsia="宋体" w:cs="宋体"/>
                <w:color w:val="auto"/>
                <w:sz w:val="22"/>
                <w:szCs w:val="22"/>
                <w:highlight w:val="none"/>
              </w:rPr>
            </w:pPr>
            <w:bookmarkStart w:id="109" w:name="OLE_LINK3"/>
            <w:r>
              <w:rPr>
                <w:rFonts w:hint="eastAsia" w:ascii="宋体" w:hAnsi="宋体" w:eastAsia="宋体" w:cs="宋体"/>
                <w:color w:val="auto"/>
                <w:sz w:val="22"/>
                <w:szCs w:val="22"/>
                <w:highlight w:val="none"/>
              </w:rPr>
              <w:t>★2.1.1.9具有柱中和柱后反吹功能，增加色谱柱寿命，降低仪器维护频率，且反吹条件的优化和自由设定都由内嵌工作站的窗口直接完成，无需独立的软件进行</w:t>
            </w:r>
            <w:bookmarkEnd w:id="109"/>
            <w:r>
              <w:rPr>
                <w:rFonts w:hint="eastAsia" w:ascii="宋体" w:hAnsi="宋体" w:eastAsia="宋体" w:cs="宋体"/>
                <w:color w:val="auto"/>
                <w:sz w:val="22"/>
                <w:szCs w:val="22"/>
                <w:highlight w:val="none"/>
              </w:rPr>
              <w:t>，反吹功能需按应用方法现场验收。（</w:t>
            </w:r>
            <w:r>
              <w:rPr>
                <w:rFonts w:hint="eastAsia" w:ascii="宋体" w:hAnsi="宋体" w:eastAsia="宋体" w:cs="宋体"/>
                <w:b/>
                <w:bCs/>
                <w:color w:val="auto"/>
                <w:sz w:val="22"/>
                <w:szCs w:val="22"/>
                <w:highlight w:val="none"/>
                <w:lang w:val="en-US" w:eastAsia="zh-CN"/>
              </w:rPr>
              <w:t>投标时商务和技术文件中提供软件中柱前、柱中和柱后反吹条件优化和设定窗口的截屏证明文件和反吹功能在中药农残分析项目中的应用文章，否则视为</w:t>
            </w:r>
            <w:r>
              <w:rPr>
                <w:rFonts w:hint="eastAsia" w:ascii="宋体" w:hAnsi="宋体" w:eastAsia="宋体" w:cs="宋体"/>
                <w:b/>
                <w:bCs/>
                <w:color w:val="auto"/>
                <w:sz w:val="22"/>
                <w:szCs w:val="22"/>
                <w:highlight w:val="none"/>
              </w:rPr>
              <w:t>负偏离</w:t>
            </w:r>
            <w:r>
              <w:rPr>
                <w:rFonts w:hint="eastAsia" w:ascii="宋体" w:hAnsi="宋体" w:eastAsia="宋体" w:cs="宋体"/>
                <w:color w:val="auto"/>
                <w:sz w:val="22"/>
                <w:szCs w:val="22"/>
                <w:highlight w:val="none"/>
              </w:rPr>
              <w:t>）</w:t>
            </w:r>
          </w:p>
          <w:bookmarkEnd w:id="108"/>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2.1.2</w:t>
            </w:r>
            <w:r>
              <w:rPr>
                <w:rFonts w:hint="eastAsia" w:ascii="宋体" w:hAnsi="宋体" w:eastAsia="宋体" w:cs="宋体"/>
                <w:b/>
                <w:bCs/>
                <w:color w:val="auto"/>
                <w:sz w:val="22"/>
                <w:szCs w:val="22"/>
                <w:highlight w:val="none"/>
              </w:rPr>
              <w:t>流路控制系统</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2.1.2.1最大压力设定范围：0-148 psi</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2.1.2.2压力设定精度：0.001 psi</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2.1.2.3流量设定范围：0-1250mL/min</w:t>
            </w:r>
          </w:p>
          <w:p>
            <w:pPr>
              <w:keepNext w:val="0"/>
              <w:keepLines w:val="0"/>
              <w:pageBreakBefore w:val="0"/>
              <w:widowControl w:val="0"/>
              <w:kinsoku/>
              <w:wordWrap/>
              <w:overflowPunct/>
              <w:topLinePunct w:val="0"/>
              <w:autoSpaceDE/>
              <w:autoSpaceDN/>
              <w:bidi w:val="0"/>
              <w:adjustRightInd/>
              <w:snapToGrid/>
              <w:spacing w:line="340" w:lineRule="exact"/>
              <w:ind w:left="0"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2.2质谱部分</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2.2.1质量数范围：10-1080 m/z</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2.2.2仪器检测限指标及灵敏度：</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IDL(MRM)</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≤4.0fg，10fg OFN连续8次进样，峰面积RSD≤15%。</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2.2.3具有氢气惰性化离子源（非标配）</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氢气做载气，IDL(MRM)</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≤8.0fg，10fg OFN连续8次进样，99%置信区间。</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2.2.4分辨率：0.4-4amu分辨可调。</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2.2.5碰撞池具有氦气消除功能，可有效消除</w:t>
            </w:r>
            <w:bookmarkStart w:id="110" w:name="OLE_LINK20"/>
            <w:r>
              <w:rPr>
                <w:rFonts w:hint="eastAsia" w:ascii="宋体" w:hAnsi="宋体" w:eastAsia="宋体" w:cs="宋体"/>
                <w:color w:val="auto"/>
                <w:sz w:val="22"/>
                <w:szCs w:val="22"/>
                <w:highlight w:val="none"/>
              </w:rPr>
              <w:t>载气氦气所带来的背景噪音干扰，氦气消除气体流量范围在0-5.0ml/min</w:t>
            </w:r>
            <w:bookmarkEnd w:id="110"/>
            <w:r>
              <w:rPr>
                <w:rFonts w:hint="eastAsia" w:ascii="宋体" w:hAnsi="宋体" w:eastAsia="宋体" w:cs="宋体"/>
                <w:color w:val="auto"/>
                <w:sz w:val="22"/>
                <w:szCs w:val="22"/>
                <w:highlight w:val="none"/>
              </w:rPr>
              <w:t>可调</w:t>
            </w:r>
            <w:r>
              <w:rPr>
                <w:rFonts w:hint="eastAsia" w:ascii="宋体" w:hAnsi="宋体" w:cs="宋体"/>
                <w:color w:val="auto"/>
                <w:sz w:val="22"/>
                <w:szCs w:val="22"/>
                <w:highlight w:val="none"/>
                <w:lang w:eastAsia="zh-CN"/>
              </w:rPr>
              <w:t>。</w:t>
            </w:r>
          </w:p>
          <w:p>
            <w:pPr>
              <w:keepNext w:val="0"/>
              <w:keepLines w:val="0"/>
              <w:pageBreakBefore w:val="0"/>
              <w:widowControl w:val="0"/>
              <w:tabs>
                <w:tab w:val="left" w:pos="851"/>
              </w:tabs>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2.2.6扫描速率：最大800</w:t>
            </w:r>
            <w:bookmarkStart w:id="111" w:name="OLE_LINK32"/>
            <w:bookmarkStart w:id="112" w:name="OLE_LINK33"/>
            <w:r>
              <w:rPr>
                <w:rFonts w:hint="eastAsia" w:ascii="宋体" w:hAnsi="宋体" w:eastAsia="宋体" w:cs="宋体"/>
                <w:color w:val="auto"/>
                <w:sz w:val="22"/>
                <w:szCs w:val="22"/>
                <w:highlight w:val="none"/>
              </w:rPr>
              <w:t>个MRM/秒</w:t>
            </w:r>
            <w:bookmarkEnd w:id="111"/>
            <w:bookmarkEnd w:id="112"/>
            <w:r>
              <w:rPr>
                <w:rFonts w:hint="eastAsia" w:ascii="宋体" w:hAnsi="宋体" w:eastAsia="宋体" w:cs="宋体"/>
                <w:color w:val="auto"/>
                <w:sz w:val="22"/>
                <w:szCs w:val="22"/>
                <w:highlight w:val="none"/>
              </w:rPr>
              <w:t>，最小SRM扫描时间：0.5ms</w:t>
            </w:r>
          </w:p>
          <w:p>
            <w:pPr>
              <w:keepNext w:val="0"/>
              <w:keepLines w:val="0"/>
              <w:pageBreakBefore w:val="0"/>
              <w:widowControl w:val="0"/>
              <w:tabs>
                <w:tab w:val="left" w:pos="851"/>
              </w:tabs>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2.2.7无损双灯丝设计，灯丝受长效保护，提高灯丝寿命，灯丝电流：0-280uA</w:t>
            </w:r>
          </w:p>
          <w:p>
            <w:pPr>
              <w:keepNext w:val="0"/>
              <w:keepLines w:val="0"/>
              <w:pageBreakBefore w:val="0"/>
              <w:widowControl w:val="0"/>
              <w:tabs>
                <w:tab w:val="left" w:pos="851"/>
              </w:tabs>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2.2.8最大离子化能量：280eV</w:t>
            </w:r>
          </w:p>
          <w:p>
            <w:pPr>
              <w:keepNext w:val="0"/>
              <w:keepLines w:val="0"/>
              <w:pageBreakBefore w:val="0"/>
              <w:widowControl w:val="0"/>
              <w:tabs>
                <w:tab w:val="left" w:pos="851"/>
              </w:tabs>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2.2.9离子源</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配置EI源，独立控温，最高温度可到350</w:t>
            </w:r>
            <w:bookmarkStart w:id="113" w:name="OLE_LINK35"/>
            <w:bookmarkStart w:id="114" w:name="OLE_LINK34"/>
            <w:r>
              <w:rPr>
                <w:rFonts w:hint="eastAsia" w:ascii="宋体" w:hAnsi="宋体" w:eastAsia="宋体" w:cs="宋体"/>
                <w:color w:val="auto"/>
                <w:sz w:val="22"/>
                <w:szCs w:val="22"/>
                <w:highlight w:val="none"/>
              </w:rPr>
              <w:t>˚C</w:t>
            </w:r>
            <w:bookmarkEnd w:id="113"/>
            <w:bookmarkEnd w:id="114"/>
            <w:r>
              <w:rPr>
                <w:rFonts w:hint="eastAsia" w:ascii="宋体" w:hAnsi="宋体" w:eastAsia="宋体" w:cs="宋体"/>
                <w:color w:val="auto"/>
                <w:sz w:val="22"/>
                <w:szCs w:val="22"/>
                <w:highlight w:val="none"/>
                <w:lang w:eastAsia="zh-CN"/>
              </w:rPr>
              <w:t>。</w:t>
            </w:r>
          </w:p>
          <w:p>
            <w:pPr>
              <w:keepNext w:val="0"/>
              <w:keepLines w:val="0"/>
              <w:pageBreakBefore w:val="0"/>
              <w:widowControl w:val="0"/>
              <w:tabs>
                <w:tab w:val="left" w:pos="851"/>
              </w:tabs>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★2.2.10四极杆质量分析器：石英镀金共轭双曲面四极杆，能独立温控，最高可达190˚C(非预四极杆加热)（</w:t>
            </w:r>
            <w:r>
              <w:rPr>
                <w:rFonts w:hint="eastAsia" w:ascii="宋体" w:hAnsi="宋体" w:eastAsia="宋体" w:cs="宋体"/>
                <w:b/>
                <w:bCs/>
                <w:color w:val="auto"/>
                <w:sz w:val="22"/>
                <w:szCs w:val="22"/>
                <w:highlight w:val="none"/>
                <w:lang w:val="en-US" w:eastAsia="zh-CN"/>
              </w:rPr>
              <w:t>投标时商务和技术文件中提供四极杆控温软件截图</w:t>
            </w:r>
            <w:r>
              <w:rPr>
                <w:rFonts w:hint="eastAsia" w:ascii="宋体" w:hAnsi="宋体" w:eastAsia="宋体" w:cs="宋体"/>
                <w:b/>
                <w:bCs/>
                <w:color w:val="auto"/>
                <w:sz w:val="22"/>
                <w:szCs w:val="22"/>
                <w:highlight w:val="none"/>
              </w:rPr>
              <w:t>，否则视为负偏离</w:t>
            </w:r>
            <w:r>
              <w:rPr>
                <w:rFonts w:hint="eastAsia" w:ascii="宋体" w:hAnsi="宋体" w:eastAsia="宋体" w:cs="宋体"/>
                <w:color w:val="auto"/>
                <w:sz w:val="22"/>
                <w:szCs w:val="22"/>
                <w:highlight w:val="none"/>
              </w:rPr>
              <w:t>）</w:t>
            </w:r>
          </w:p>
          <w:p>
            <w:pPr>
              <w:keepNext w:val="0"/>
              <w:keepLines w:val="0"/>
              <w:pageBreakBefore w:val="0"/>
              <w:widowControl w:val="0"/>
              <w:tabs>
                <w:tab w:val="left" w:pos="851"/>
              </w:tabs>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2.2.11气质接口温度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独立控温，最高温度可到380</w:t>
            </w:r>
            <w:bookmarkStart w:id="115" w:name="OLE_LINK11"/>
            <w:r>
              <w:rPr>
                <w:rFonts w:hint="eastAsia" w:ascii="宋体" w:hAnsi="宋体" w:eastAsia="宋体" w:cs="宋体"/>
                <w:color w:val="auto"/>
                <w:sz w:val="22"/>
                <w:szCs w:val="22"/>
                <w:highlight w:val="none"/>
              </w:rPr>
              <w:t>˚C</w:t>
            </w:r>
            <w:bookmarkEnd w:id="115"/>
          </w:p>
          <w:p>
            <w:pPr>
              <w:keepNext w:val="0"/>
              <w:keepLines w:val="0"/>
              <w:pageBreakBefore w:val="0"/>
              <w:widowControl w:val="0"/>
              <w:tabs>
                <w:tab w:val="left" w:pos="851"/>
              </w:tabs>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2.2.12扫描功能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全扫描(Full Scan)、子离子扫描( Product Ion Scan)、母离子扫描(Precursor Ion Scan)、中性丢失扫描(Neutral Loss Scan)、选择离子扫描模式(SIM)、多反应扫描模式（SRM）</w:t>
            </w:r>
          </w:p>
          <w:p>
            <w:pPr>
              <w:keepNext w:val="0"/>
              <w:keepLines w:val="0"/>
              <w:pageBreakBefore w:val="0"/>
              <w:widowControl w:val="0"/>
              <w:tabs>
                <w:tab w:val="left" w:pos="851"/>
              </w:tabs>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★2.2.13质谱工作站同时具有分段扫描功能和dMRM功能（</w:t>
            </w:r>
            <w:r>
              <w:rPr>
                <w:rFonts w:hint="eastAsia" w:ascii="宋体" w:hAnsi="宋体" w:eastAsia="宋体" w:cs="宋体"/>
                <w:b/>
                <w:bCs/>
                <w:color w:val="auto"/>
                <w:sz w:val="22"/>
                <w:szCs w:val="22"/>
                <w:highlight w:val="none"/>
              </w:rPr>
              <w:t>提</w:t>
            </w:r>
            <w:r>
              <w:rPr>
                <w:rFonts w:hint="eastAsia" w:ascii="宋体" w:hAnsi="宋体" w:eastAsia="宋体" w:cs="宋体"/>
                <w:b/>
                <w:bCs/>
                <w:color w:val="auto"/>
                <w:sz w:val="22"/>
                <w:szCs w:val="22"/>
                <w:highlight w:val="none"/>
                <w:lang w:val="en-US" w:eastAsia="zh-CN"/>
              </w:rPr>
              <w:t>投标时商务和技术文件中提供软件截图证明，否则</w:t>
            </w:r>
            <w:r>
              <w:rPr>
                <w:rFonts w:hint="eastAsia" w:ascii="宋体" w:hAnsi="宋体" w:eastAsia="宋体" w:cs="宋体"/>
                <w:b/>
                <w:bCs/>
                <w:color w:val="auto"/>
                <w:sz w:val="22"/>
                <w:szCs w:val="22"/>
                <w:highlight w:val="none"/>
              </w:rPr>
              <w:t>视为负偏离</w:t>
            </w:r>
            <w:r>
              <w:rPr>
                <w:rFonts w:hint="eastAsia" w:ascii="宋体" w:hAnsi="宋体" w:eastAsia="宋体" w:cs="宋体"/>
                <w:color w:val="auto"/>
                <w:sz w:val="22"/>
                <w:szCs w:val="22"/>
                <w:highlight w:val="none"/>
              </w:rPr>
              <w:t>）。</w:t>
            </w:r>
          </w:p>
          <w:p>
            <w:pPr>
              <w:keepNext w:val="0"/>
              <w:keepLines w:val="0"/>
              <w:pageBreakBefore w:val="0"/>
              <w:widowControl w:val="0"/>
              <w:tabs>
                <w:tab w:val="left" w:pos="851"/>
              </w:tabs>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★2.2.14二级质谱MRM数据分析应用套件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包含超过1100种农药和环境污染物的MRM数据库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每个化合物提供经保留时间锁定的确切保留时间，同时每个化合物包含不少8个MRM离子对数据。同时还包含8种不同基质(至少包含多水、多糖、多淀粉、多色素、多油、高有机酸、茶叶和洋葱8种基质)中7000对MRM离子对信息，目标化合物自动查找软件、化合物自动分组软件、驰豫时间自动优化软件及应用方法开发。（</w:t>
            </w:r>
            <w:r>
              <w:rPr>
                <w:rFonts w:hint="eastAsia" w:ascii="宋体" w:hAnsi="宋体" w:eastAsia="宋体" w:cs="宋体"/>
                <w:b/>
                <w:bCs/>
                <w:color w:val="auto"/>
                <w:sz w:val="22"/>
                <w:szCs w:val="22"/>
                <w:highlight w:val="none"/>
                <w:lang w:val="en-US" w:eastAsia="zh-CN"/>
              </w:rPr>
              <w:t>投标时商务和技术文件中提供随附数据库所包含的超过1100个化合物的证明，及这些化合物总计超过5000对离子对的证明，8种不同基质中800对MRM离子对信息。否则视为负偏离）</w:t>
            </w:r>
          </w:p>
          <w:p>
            <w:pPr>
              <w:keepNext w:val="0"/>
              <w:keepLines w:val="0"/>
              <w:pageBreakBefore w:val="0"/>
              <w:widowControl w:val="0"/>
              <w:tabs>
                <w:tab w:val="left" w:pos="851"/>
              </w:tabs>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★2.2.15可以满足针对GB2763全流程解决方案，可以实现气质质结合液质质一天筛查农药种类超过400种</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lang w:val="en-US" w:eastAsia="zh-CN"/>
              </w:rPr>
              <w:t>投标时商务和技术文件中</w:t>
            </w:r>
            <w:r>
              <w:rPr>
                <w:rFonts w:hint="eastAsia" w:ascii="宋体" w:hAnsi="宋体" w:eastAsia="宋体" w:cs="宋体"/>
                <w:b/>
                <w:bCs/>
                <w:color w:val="auto"/>
                <w:sz w:val="22"/>
                <w:szCs w:val="22"/>
                <w:highlight w:val="none"/>
              </w:rPr>
              <w:t>提供</w:t>
            </w:r>
            <w:r>
              <w:rPr>
                <w:rFonts w:hint="eastAsia" w:ascii="宋体" w:hAnsi="宋体" w:eastAsia="宋体" w:cs="宋体"/>
                <w:b/>
                <w:bCs/>
                <w:color w:val="auto"/>
                <w:sz w:val="22"/>
                <w:szCs w:val="22"/>
                <w:highlight w:val="none"/>
                <w:lang w:val="en-US" w:eastAsia="zh-CN"/>
              </w:rPr>
              <w:t>官方发表所投型号产品彩页文章，否则视为负偏离</w:t>
            </w:r>
            <w:r>
              <w:rPr>
                <w:rFonts w:hint="eastAsia" w:ascii="宋体" w:hAnsi="宋体" w:cs="宋体"/>
                <w:b/>
                <w:bCs/>
                <w:color w:val="auto"/>
                <w:sz w:val="22"/>
                <w:szCs w:val="22"/>
                <w:highlight w:val="none"/>
                <w:lang w:val="en-US" w:eastAsia="zh-CN"/>
              </w:rPr>
              <w:t>。</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340" w:lineRule="exact"/>
              <w:ind w:left="0"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2.3数据处理系统</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2.3.1软件：气质串接软件应该同时包含中文和英文两种软件</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2.3.2通用谱库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NIST17谱库和化学结构式库(不少于24万张)</w:t>
            </w:r>
          </w:p>
          <w:p>
            <w:pPr>
              <w:pStyle w:val="84"/>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rPr>
              <w:t>★2.3.3目标物解卷积：集成的解卷积和谱图匹配用于定量定性分析复杂基质中的低浓度目标物（</w:t>
            </w:r>
            <w:r>
              <w:rPr>
                <w:rFonts w:hint="eastAsia" w:ascii="宋体" w:hAnsi="宋体" w:eastAsia="宋体" w:cs="宋体"/>
                <w:b/>
                <w:bCs/>
                <w:color w:val="auto"/>
                <w:sz w:val="22"/>
                <w:szCs w:val="22"/>
                <w:highlight w:val="none"/>
                <w:lang w:val="en-US" w:eastAsia="zh-CN"/>
              </w:rPr>
              <w:t>投标时商务和技术文件中</w:t>
            </w:r>
            <w:r>
              <w:rPr>
                <w:rFonts w:hint="eastAsia" w:ascii="宋体" w:hAnsi="宋体" w:eastAsia="宋体" w:cs="宋体"/>
                <w:b/>
                <w:bCs/>
                <w:color w:val="auto"/>
                <w:sz w:val="22"/>
                <w:szCs w:val="22"/>
                <w:highlight w:val="none"/>
              </w:rPr>
              <w:t>提</w:t>
            </w:r>
            <w:r>
              <w:rPr>
                <w:rFonts w:hint="eastAsia" w:ascii="宋体" w:hAnsi="宋体" w:eastAsia="宋体" w:cs="宋体"/>
                <w:b/>
                <w:bCs/>
                <w:color w:val="auto"/>
                <w:sz w:val="22"/>
                <w:szCs w:val="22"/>
                <w:highlight w:val="none"/>
                <w:lang w:val="en-US" w:eastAsia="zh-CN"/>
              </w:rPr>
              <w:t>供官方参数表证明及其正式出版号，否则视为负</w:t>
            </w:r>
            <w:r>
              <w:rPr>
                <w:rFonts w:hint="eastAsia" w:ascii="宋体" w:hAnsi="宋体" w:eastAsia="宋体" w:cs="宋体"/>
                <w:b/>
                <w:bCs/>
                <w:color w:val="auto"/>
                <w:sz w:val="22"/>
                <w:szCs w:val="22"/>
                <w:highlight w:val="none"/>
              </w:rPr>
              <w:t>偏离</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kern w:val="2"/>
                <w:sz w:val="22"/>
                <w:szCs w:val="22"/>
                <w:highlight w:val="none"/>
              </w:rPr>
              <w:t>）</w:t>
            </w:r>
            <w:r>
              <w:rPr>
                <w:rFonts w:hint="eastAsia" w:ascii="宋体" w:hAnsi="宋体" w:cs="宋体"/>
                <w:b/>
                <w:bCs/>
                <w:color w:val="auto"/>
                <w:kern w:val="2"/>
                <w:sz w:val="22"/>
                <w:szCs w:val="22"/>
                <w:highlight w:val="none"/>
                <w:lang w:eastAsia="zh-CN"/>
              </w:rPr>
              <w:t>。</w:t>
            </w:r>
          </w:p>
          <w:p>
            <w:pPr>
              <w:pStyle w:val="84"/>
              <w:keepNext w:val="0"/>
              <w:keepLines w:val="0"/>
              <w:pageBreakBefore w:val="0"/>
              <w:widowControl w:val="0"/>
              <w:kinsoku/>
              <w:wordWrap/>
              <w:overflowPunct/>
              <w:topLinePunct w:val="0"/>
              <w:autoSpaceDE/>
              <w:autoSpaceDN/>
              <w:bidi w:val="0"/>
              <w:adjustRightInd/>
              <w:snapToGrid/>
              <w:spacing w:line="340" w:lineRule="exact"/>
              <w:ind w:left="0"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2.4.多功能三合一进样器</w:t>
            </w:r>
          </w:p>
          <w:p>
            <w:pPr>
              <w:pStyle w:val="84"/>
              <w:keepNext w:val="0"/>
              <w:keepLines w:val="0"/>
              <w:pageBreakBefore w:val="0"/>
              <w:widowControl w:val="0"/>
              <w:kinsoku/>
              <w:wordWrap/>
              <w:overflowPunct/>
              <w:topLinePunct w:val="0"/>
              <w:autoSpaceDE/>
              <w:autoSpaceDN/>
              <w:bidi w:val="0"/>
              <w:adjustRightInd/>
              <w:snapToGrid/>
              <w:spacing w:line="340" w:lineRule="exact"/>
              <w:ind w:left="0"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2.4.1.液体进样模块</w:t>
            </w:r>
          </w:p>
          <w:p>
            <w:pPr>
              <w:pStyle w:val="84"/>
              <w:keepNext w:val="0"/>
              <w:keepLines w:val="0"/>
              <w:pageBreakBefore w:val="0"/>
              <w:widowControl w:val="0"/>
              <w:kinsoku/>
              <w:wordWrap/>
              <w:overflowPunct/>
              <w:topLinePunct w:val="0"/>
              <w:autoSpaceDE/>
              <w:autoSpaceDN/>
              <w:bidi w:val="0"/>
              <w:adjustRightInd/>
              <w:snapToGrid/>
              <w:spacing w:line="340" w:lineRule="exact"/>
              <w:ind w:left="0"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2.4.1.1.位数：≥160位2ml样品瓶，最大可升级至640位</w:t>
            </w:r>
          </w:p>
          <w:p>
            <w:pPr>
              <w:pStyle w:val="84"/>
              <w:keepNext w:val="0"/>
              <w:keepLines w:val="0"/>
              <w:pageBreakBefore w:val="0"/>
              <w:widowControl w:val="0"/>
              <w:kinsoku/>
              <w:wordWrap/>
              <w:overflowPunct/>
              <w:topLinePunct w:val="0"/>
              <w:autoSpaceDE/>
              <w:autoSpaceDN/>
              <w:bidi w:val="0"/>
              <w:adjustRightInd/>
              <w:snapToGrid/>
              <w:spacing w:line="340" w:lineRule="exact"/>
              <w:ind w:left="0"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2.4.1.2.进样体积：1.2μL到10</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bCs/>
                <w:color w:val="auto"/>
                <w:sz w:val="22"/>
                <w:szCs w:val="22"/>
                <w:highlight w:val="none"/>
              </w:rPr>
              <w:t>000μL</w:t>
            </w:r>
          </w:p>
          <w:p>
            <w:pPr>
              <w:pStyle w:val="84"/>
              <w:keepNext w:val="0"/>
              <w:keepLines w:val="0"/>
              <w:pageBreakBefore w:val="0"/>
              <w:widowControl w:val="0"/>
              <w:kinsoku/>
              <w:wordWrap/>
              <w:overflowPunct/>
              <w:topLinePunct w:val="0"/>
              <w:autoSpaceDE/>
              <w:autoSpaceDN/>
              <w:bidi w:val="0"/>
              <w:adjustRightInd/>
              <w:snapToGrid/>
              <w:spacing w:line="340" w:lineRule="exact"/>
              <w:ind w:left="0"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2.4.2.顶空进样模块</w:t>
            </w:r>
          </w:p>
          <w:p>
            <w:pPr>
              <w:pStyle w:val="84"/>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2.4.2.1.顶空样品处理量：≥40位10/20ml样品瓶</w:t>
            </w:r>
          </w:p>
          <w:p>
            <w:pPr>
              <w:pStyle w:val="84"/>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2.4.2.2.注射器使用惰性载气吹扫，全流路无阀设计</w:t>
            </w:r>
          </w:p>
          <w:p>
            <w:pPr>
              <w:pStyle w:val="84"/>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2.4.2.3.配2.5ml注射器，注射体积250－2500µl</w:t>
            </w:r>
          </w:p>
          <w:p>
            <w:pPr>
              <w:pStyle w:val="84"/>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2.4.2.4.顶空注射器加热温度：40-150℃；</w:t>
            </w:r>
          </w:p>
          <w:p>
            <w:pPr>
              <w:pStyle w:val="84"/>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2.4.2.5.具有6位加热搅拌器：40-200℃，1℃温度增量</w:t>
            </w:r>
          </w:p>
          <w:p>
            <w:pPr>
              <w:pStyle w:val="84"/>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2.4.2.6.可以采用2mL</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10mL</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and</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20mL顶空瓶</w:t>
            </w:r>
          </w:p>
          <w:p>
            <w:pPr>
              <w:pStyle w:val="84"/>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rPr>
              <w:t>2.4.3.固相微萃取模块</w:t>
            </w:r>
          </w:p>
          <w:p>
            <w:pPr>
              <w:pStyle w:val="84"/>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2.4.3.1.样品处理量：≥40位10/20ml样品瓶；</w:t>
            </w:r>
          </w:p>
          <w:p>
            <w:pPr>
              <w:pStyle w:val="84"/>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2.4.3.2.液体、顶空SPME两种萃取模式</w:t>
            </w:r>
            <w:r>
              <w:rPr>
                <w:rFonts w:hint="eastAsia" w:ascii="宋体" w:hAnsi="宋体" w:cs="宋体"/>
                <w:color w:val="auto"/>
                <w:sz w:val="22"/>
                <w:szCs w:val="22"/>
                <w:highlight w:val="none"/>
                <w:lang w:eastAsia="zh-CN"/>
              </w:rPr>
              <w:t>；</w:t>
            </w:r>
          </w:p>
          <w:p>
            <w:pPr>
              <w:pStyle w:val="84"/>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2.4.3.3.具有6位加热搅拌器：40-200℃，1℃温度增量</w:t>
            </w:r>
            <w:r>
              <w:rPr>
                <w:rFonts w:hint="eastAsia" w:ascii="宋体" w:hAnsi="宋体" w:cs="宋体"/>
                <w:color w:val="auto"/>
                <w:sz w:val="22"/>
                <w:szCs w:val="22"/>
                <w:highlight w:val="none"/>
                <w:lang w:eastAsia="zh-CN"/>
              </w:rPr>
              <w:t>；</w:t>
            </w:r>
          </w:p>
          <w:p>
            <w:pPr>
              <w:pStyle w:val="84"/>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2.4.3.4.带自动干吹（Dry purge）功能，去除萃取头表面附着的水分</w:t>
            </w:r>
            <w:r>
              <w:rPr>
                <w:rFonts w:hint="eastAsia" w:ascii="宋体" w:hAnsi="宋体" w:cs="宋体"/>
                <w:color w:val="auto"/>
                <w:sz w:val="22"/>
                <w:szCs w:val="22"/>
                <w:highlight w:val="none"/>
                <w:lang w:eastAsia="zh-CN"/>
              </w:rPr>
              <w:t>。</w:t>
            </w:r>
          </w:p>
          <w:p>
            <w:pPr>
              <w:pStyle w:val="48"/>
              <w:keepNext w:val="0"/>
              <w:keepLines w:val="0"/>
              <w:pageBreakBefore w:val="0"/>
              <w:widowControl w:val="0"/>
              <w:kinsoku/>
              <w:wordWrap/>
              <w:overflowPunct/>
              <w:topLinePunct w:val="0"/>
              <w:autoSpaceDE/>
              <w:autoSpaceDN/>
              <w:bidi w:val="0"/>
              <w:adjustRightInd/>
              <w:snapToGrid/>
              <w:spacing w:line="340" w:lineRule="exact"/>
              <w:ind w:left="0"/>
              <w:textAlignment w:val="auto"/>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三、配置要求</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1、三重四极杆质谱仪主机(含EI离子源，分子涡轮泵，前级机械泵)，1套；</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2、反吹系统套装，1套；</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3、安装工具包，1套；</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4、气相色谱主机，1套；</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5、惰性分流不分流进样口(含电子流量控制)，2套；</w:t>
            </w:r>
          </w:p>
          <w:p>
            <w:pPr>
              <w:keepNext w:val="0"/>
              <w:keepLines w:val="0"/>
              <w:pageBreakBefore w:val="0"/>
              <w:widowControl w:val="0"/>
              <w:kinsoku/>
              <w:wordWrap/>
              <w:overflowPunct/>
              <w:topLinePunct w:val="0"/>
              <w:autoSpaceDE/>
              <w:autoSpaceDN/>
              <w:bidi w:val="0"/>
              <w:adjustRightInd/>
              <w:snapToGrid/>
              <w:spacing w:line="340" w:lineRule="exact"/>
              <w:ind w:left="0" w:firstLine="440" w:firstLineChars="200"/>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color w:val="auto"/>
                <w:sz w:val="22"/>
                <w:szCs w:val="22"/>
                <w:highlight w:val="none"/>
              </w:rPr>
              <w:t>6、多功能进样系统（含液体、顶空、固相微萃取模块），1套</w:t>
            </w:r>
            <w:r>
              <w:rPr>
                <w:rFonts w:hint="eastAsia" w:ascii="宋体" w:hAnsi="宋体" w:cs="宋体"/>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2</w:t>
            </w:r>
          </w:p>
        </w:tc>
        <w:tc>
          <w:tcPr>
            <w:tcW w:w="1424"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超纯水机</w:t>
            </w:r>
          </w:p>
        </w:tc>
        <w:tc>
          <w:tcPr>
            <w:tcW w:w="721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0"/>
              </w:numPr>
              <w:kinsoku/>
              <w:wordWrap/>
              <w:topLinePunct w:val="0"/>
              <w:bidi w:val="0"/>
              <w:adjustRightInd w:val="0"/>
              <w:snapToGrid w:val="0"/>
              <w:spacing w:line="340" w:lineRule="exact"/>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一、</w:t>
            </w:r>
            <w:r>
              <w:rPr>
                <w:rFonts w:hint="eastAsia" w:ascii="宋体" w:hAnsi="宋体" w:eastAsia="宋体" w:cs="宋体"/>
                <w:b/>
                <w:color w:val="auto"/>
                <w:sz w:val="22"/>
                <w:szCs w:val="22"/>
                <w:highlight w:val="none"/>
              </w:rPr>
              <w:t>主要用途：</w:t>
            </w:r>
          </w:p>
          <w:p>
            <w:pPr>
              <w:pageBreakBefore w:val="0"/>
              <w:numPr>
                <w:ilvl w:val="0"/>
                <w:numId w:val="0"/>
              </w:numPr>
              <w:tabs>
                <w:tab w:val="left" w:pos="180"/>
                <w:tab w:val="left" w:pos="540"/>
              </w:tabs>
              <w:kinsoku/>
              <w:wordWrap/>
              <w:topLinePunct w:val="0"/>
              <w:bidi w:val="0"/>
              <w:spacing w:line="34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玻璃器皿的最终冲洗，化学/生化试剂配制；</w:t>
            </w:r>
          </w:p>
          <w:p>
            <w:pPr>
              <w:pageBreakBefore w:val="0"/>
              <w:numPr>
                <w:ilvl w:val="0"/>
                <w:numId w:val="0"/>
              </w:numPr>
              <w:tabs>
                <w:tab w:val="left" w:pos="180"/>
                <w:tab w:val="left" w:pos="540"/>
              </w:tabs>
              <w:kinsoku/>
              <w:wordWrap/>
              <w:topLinePunct w:val="0"/>
              <w:bidi w:val="0"/>
              <w:spacing w:line="340" w:lineRule="exact"/>
              <w:rPr>
                <w:rFonts w:hint="eastAsia" w:ascii="宋体" w:hAnsi="宋体" w:eastAsia="宋体" w:cs="宋体"/>
                <w:b/>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微生物培养基配制，水栽法用水；</w:t>
            </w:r>
          </w:p>
          <w:p>
            <w:pPr>
              <w:pageBreakBefore w:val="0"/>
              <w:numPr>
                <w:ilvl w:val="0"/>
                <w:numId w:val="0"/>
              </w:numPr>
              <w:tabs>
                <w:tab w:val="left" w:pos="180"/>
                <w:tab w:val="left" w:pos="540"/>
              </w:tabs>
              <w:kinsoku/>
              <w:wordWrap/>
              <w:topLinePunct w:val="0"/>
              <w:bidi w:val="0"/>
              <w:spacing w:line="34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毒理学研究，细胞培养及分子生物学实验；</w:t>
            </w:r>
          </w:p>
          <w:p>
            <w:pPr>
              <w:pageBreakBefore w:val="0"/>
              <w:numPr>
                <w:ilvl w:val="0"/>
                <w:numId w:val="0"/>
              </w:numPr>
              <w:tabs>
                <w:tab w:val="left" w:pos="180"/>
                <w:tab w:val="left" w:pos="540"/>
              </w:tabs>
              <w:kinsoku/>
              <w:wordWrap/>
              <w:topLinePunct w:val="0"/>
              <w:bidi w:val="0"/>
              <w:spacing w:line="340" w:lineRule="exact"/>
              <w:rPr>
                <w:rFonts w:hint="eastAsia" w:ascii="宋体" w:hAnsi="宋体" w:eastAsia="宋体" w:cs="宋体"/>
                <w:b/>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精密分析仪器用水(HPLC、IC、AA、TOC、ICP、MS等)。</w:t>
            </w:r>
          </w:p>
          <w:p>
            <w:pPr>
              <w:pageBreakBefore w:val="0"/>
              <w:numPr>
                <w:ilvl w:val="0"/>
                <w:numId w:val="0"/>
              </w:numPr>
              <w:kinsoku/>
              <w:wordWrap/>
              <w:topLinePunct w:val="0"/>
              <w:bidi w:val="0"/>
              <w:adjustRightInd w:val="0"/>
              <w:snapToGrid w:val="0"/>
              <w:spacing w:line="340" w:lineRule="exact"/>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二、</w:t>
            </w:r>
            <w:r>
              <w:rPr>
                <w:rFonts w:hint="eastAsia" w:ascii="宋体" w:hAnsi="宋体" w:eastAsia="宋体" w:cs="宋体"/>
                <w:b/>
                <w:color w:val="auto"/>
                <w:sz w:val="22"/>
                <w:szCs w:val="22"/>
                <w:highlight w:val="none"/>
              </w:rPr>
              <w:t>技术规格</w:t>
            </w:r>
          </w:p>
          <w:p>
            <w:pPr>
              <w:pageBreakBefore w:val="0"/>
              <w:numPr>
                <w:ilvl w:val="0"/>
                <w:numId w:val="0"/>
              </w:numPr>
              <w:tabs>
                <w:tab w:val="left" w:pos="180"/>
                <w:tab w:val="left" w:pos="540"/>
              </w:tabs>
              <w:kinsoku/>
              <w:wordWrap/>
              <w:topLinePunct w:val="0"/>
              <w:bidi w:val="0"/>
              <w:spacing w:line="340" w:lineRule="exact"/>
              <w:rPr>
                <w:rFonts w:hint="eastAsia" w:ascii="宋体" w:hAnsi="宋体" w:eastAsia="宋体" w:cs="宋体"/>
                <w:bCs/>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系统是以城市自来水为进水，连续生产III级（纯）水和I级（超纯）水的一体化系统。</w:t>
            </w:r>
          </w:p>
          <w:p>
            <w:pPr>
              <w:pageBreakBefore w:val="0"/>
              <w:numPr>
                <w:ilvl w:val="0"/>
                <w:numId w:val="0"/>
              </w:numPr>
              <w:tabs>
                <w:tab w:val="left" w:pos="180"/>
                <w:tab w:val="left" w:pos="540"/>
              </w:tabs>
              <w:kinsoku/>
              <w:wordWrap/>
              <w:topLinePunct w:val="0"/>
              <w:bidi w:val="0"/>
              <w:spacing w:line="340" w:lineRule="exact"/>
              <w:rPr>
                <w:rFonts w:hint="eastAsia" w:ascii="宋体" w:hAnsi="宋体" w:eastAsia="宋体" w:cs="宋体"/>
                <w:color w:val="auto"/>
                <w:kern w:val="0"/>
                <w:sz w:val="22"/>
                <w:szCs w:val="22"/>
                <w:highlight w:val="none"/>
                <w:lang w:eastAsia="zh-CN"/>
              </w:rPr>
            </w:pPr>
            <w:r>
              <w:rPr>
                <w:rFonts w:hint="eastAsia" w:ascii="宋体" w:hAnsi="宋体" w:cs="宋体"/>
                <w:bCs/>
                <w:color w:val="auto"/>
                <w:sz w:val="22"/>
                <w:szCs w:val="22"/>
                <w:highlight w:val="none"/>
                <w:lang w:val="en-US" w:eastAsia="zh-CN"/>
              </w:rPr>
              <w:t>2、</w:t>
            </w:r>
            <w:r>
              <w:rPr>
                <w:rFonts w:hint="eastAsia" w:ascii="宋体" w:hAnsi="宋体" w:eastAsia="宋体" w:cs="宋体"/>
                <w:bCs/>
                <w:color w:val="auto"/>
                <w:sz w:val="22"/>
                <w:szCs w:val="22"/>
                <w:highlight w:val="none"/>
              </w:rPr>
              <w:t>纯水产水指标：</w:t>
            </w:r>
            <w:r>
              <w:rPr>
                <w:rFonts w:hint="eastAsia" w:ascii="宋体" w:hAnsi="宋体" w:eastAsia="宋体" w:cs="宋体"/>
                <w:color w:val="auto"/>
                <w:kern w:val="0"/>
                <w:sz w:val="22"/>
                <w:szCs w:val="22"/>
                <w:highlight w:val="none"/>
              </w:rPr>
              <w:t>系统反渗透膜截留率达97-99%，并可在线监测和显示反渗透膜的截留率</w:t>
            </w:r>
            <w:r>
              <w:rPr>
                <w:rFonts w:hint="eastAsia" w:ascii="宋体" w:hAnsi="宋体" w:eastAsia="宋体" w:cs="宋体"/>
                <w:color w:val="auto"/>
                <w:kern w:val="0"/>
                <w:sz w:val="22"/>
                <w:szCs w:val="22"/>
                <w:highlight w:val="none"/>
                <w:lang w:eastAsia="zh-CN"/>
              </w:rPr>
              <w:t>。</w:t>
            </w:r>
          </w:p>
          <w:p>
            <w:pPr>
              <w:pageBreakBefore w:val="0"/>
              <w:numPr>
                <w:ilvl w:val="0"/>
                <w:numId w:val="0"/>
              </w:numPr>
              <w:tabs>
                <w:tab w:val="left" w:pos="180"/>
                <w:tab w:val="left" w:pos="540"/>
              </w:tabs>
              <w:kinsoku/>
              <w:wordWrap/>
              <w:topLinePunct w:val="0"/>
              <w:bidi w:val="0"/>
              <w:spacing w:line="340" w:lineRule="exact"/>
              <w:rPr>
                <w:rFonts w:hint="eastAsia" w:ascii="宋体" w:hAnsi="宋体" w:eastAsia="宋体" w:cs="宋体"/>
                <w:color w:val="auto"/>
                <w:sz w:val="22"/>
                <w:szCs w:val="22"/>
                <w:highlight w:val="none"/>
              </w:rPr>
            </w:pP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sz w:val="22"/>
                <w:szCs w:val="22"/>
                <w:highlight w:val="none"/>
              </w:rPr>
              <w:t>产水流速：≥8L/h</w:t>
            </w:r>
          </w:p>
          <w:p>
            <w:pPr>
              <w:pageBreakBefore w:val="0"/>
              <w:numPr>
                <w:ilvl w:val="0"/>
                <w:numId w:val="0"/>
              </w:numPr>
              <w:tabs>
                <w:tab w:val="left" w:pos="180"/>
                <w:tab w:val="left" w:pos="540"/>
              </w:tabs>
              <w:kinsoku/>
              <w:wordWrap/>
              <w:topLinePunct w:val="0"/>
              <w:bidi w:val="0"/>
              <w:spacing w:line="340" w:lineRule="exact"/>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4、</w:t>
            </w:r>
            <w:r>
              <w:rPr>
                <w:rFonts w:hint="eastAsia" w:ascii="宋体" w:hAnsi="宋体" w:eastAsia="宋体" w:cs="宋体"/>
                <w:bCs/>
                <w:color w:val="auto"/>
                <w:sz w:val="22"/>
                <w:szCs w:val="22"/>
                <w:highlight w:val="none"/>
              </w:rPr>
              <w:t>超纯水产水指标：电阻率：18.2MΩ·cm＠25℃</w:t>
            </w:r>
          </w:p>
          <w:p>
            <w:pPr>
              <w:pageBreakBefore w:val="0"/>
              <w:numPr>
                <w:ilvl w:val="0"/>
                <w:numId w:val="0"/>
              </w:numPr>
              <w:tabs>
                <w:tab w:val="left" w:pos="180"/>
                <w:tab w:val="left" w:pos="540"/>
              </w:tabs>
              <w:kinsoku/>
              <w:wordWrap/>
              <w:topLinePunct w:val="0"/>
              <w:bidi w:val="0"/>
              <w:spacing w:line="340" w:lineRule="exact"/>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5、</w:t>
            </w:r>
            <w:r>
              <w:rPr>
                <w:rFonts w:hint="eastAsia" w:ascii="宋体" w:hAnsi="宋体" w:eastAsia="宋体" w:cs="宋体"/>
                <w:bCs/>
                <w:color w:val="auto"/>
                <w:sz w:val="22"/>
                <w:szCs w:val="22"/>
                <w:highlight w:val="none"/>
              </w:rPr>
              <w:t>总有机碳含量(TOC)</w:t>
            </w:r>
            <w:r>
              <w:rPr>
                <w:rFonts w:hint="eastAsia" w:ascii="宋体" w:hAnsi="宋体" w:eastAsia="宋体" w:cs="宋体"/>
                <w:color w:val="auto"/>
                <w:kern w:val="0"/>
                <w:sz w:val="22"/>
                <w:szCs w:val="22"/>
                <w:highlight w:val="none"/>
              </w:rPr>
              <w:t>≤</w:t>
            </w:r>
            <w:r>
              <w:rPr>
                <w:rFonts w:hint="eastAsia" w:ascii="宋体" w:hAnsi="宋体" w:eastAsia="宋体" w:cs="宋体"/>
                <w:bCs/>
                <w:color w:val="auto"/>
                <w:sz w:val="22"/>
                <w:szCs w:val="22"/>
                <w:highlight w:val="none"/>
              </w:rPr>
              <w:t>5ppb</w:t>
            </w:r>
          </w:p>
          <w:p>
            <w:pPr>
              <w:pageBreakBefore w:val="0"/>
              <w:numPr>
                <w:ilvl w:val="0"/>
                <w:numId w:val="0"/>
              </w:numPr>
              <w:tabs>
                <w:tab w:val="left" w:pos="180"/>
                <w:tab w:val="left" w:pos="540"/>
              </w:tabs>
              <w:kinsoku/>
              <w:wordWrap/>
              <w:topLinePunct w:val="0"/>
              <w:bidi w:val="0"/>
              <w:spacing w:line="340" w:lineRule="exact"/>
              <w:rPr>
                <w:rFonts w:hint="eastAsia" w:ascii="宋体" w:hAnsi="宋体" w:eastAsia="宋体" w:cs="宋体"/>
                <w:color w:val="auto"/>
                <w:sz w:val="22"/>
                <w:szCs w:val="22"/>
                <w:highlight w:val="none"/>
              </w:rPr>
            </w:pPr>
            <w:r>
              <w:rPr>
                <w:rFonts w:hint="eastAsia" w:ascii="宋体" w:hAnsi="宋体" w:cs="宋体"/>
                <w:bCs/>
                <w:color w:val="auto"/>
                <w:sz w:val="22"/>
                <w:szCs w:val="22"/>
                <w:highlight w:val="none"/>
                <w:lang w:val="en-US" w:eastAsia="zh-CN"/>
              </w:rPr>
              <w:t>6、</w:t>
            </w:r>
            <w:r>
              <w:rPr>
                <w:rFonts w:hint="eastAsia" w:ascii="宋体" w:hAnsi="宋体" w:eastAsia="宋体" w:cs="宋体"/>
                <w:bCs/>
                <w:color w:val="auto"/>
                <w:sz w:val="22"/>
                <w:szCs w:val="22"/>
                <w:highlight w:val="none"/>
              </w:rPr>
              <w:t>颗粒物（直径大于0.22μm）数量</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＜1/ml</w:t>
            </w:r>
          </w:p>
          <w:p>
            <w:pPr>
              <w:pageBreakBefore w:val="0"/>
              <w:numPr>
                <w:ilvl w:val="0"/>
                <w:numId w:val="0"/>
              </w:numPr>
              <w:tabs>
                <w:tab w:val="left" w:pos="180"/>
                <w:tab w:val="left" w:pos="540"/>
              </w:tabs>
              <w:kinsoku/>
              <w:wordWrap/>
              <w:topLinePunct w:val="0"/>
              <w:bidi w:val="0"/>
              <w:spacing w:line="340" w:lineRule="exact"/>
              <w:rPr>
                <w:rFonts w:hint="eastAsia" w:ascii="宋体" w:hAnsi="宋体" w:eastAsia="宋体" w:cs="宋体"/>
                <w:color w:val="auto"/>
                <w:sz w:val="22"/>
                <w:szCs w:val="22"/>
                <w:highlight w:val="none"/>
              </w:rPr>
            </w:pPr>
            <w:r>
              <w:rPr>
                <w:rFonts w:hint="eastAsia" w:ascii="宋体" w:hAnsi="宋体" w:cs="宋体"/>
                <w:bCs/>
                <w:color w:val="auto"/>
                <w:sz w:val="22"/>
                <w:szCs w:val="22"/>
                <w:highlight w:val="none"/>
                <w:lang w:val="en-US" w:eastAsia="zh-CN"/>
              </w:rPr>
              <w:t>7、</w:t>
            </w:r>
            <w:r>
              <w:rPr>
                <w:rFonts w:hint="eastAsia" w:ascii="宋体" w:hAnsi="宋体" w:eastAsia="宋体" w:cs="宋体"/>
                <w:bCs/>
                <w:color w:val="auto"/>
                <w:sz w:val="22"/>
                <w:szCs w:val="22"/>
                <w:highlight w:val="none"/>
              </w:rPr>
              <w:t>微生物：＜0.1cfu/ml</w:t>
            </w:r>
          </w:p>
          <w:p>
            <w:pPr>
              <w:pageBreakBefore w:val="0"/>
              <w:numPr>
                <w:ilvl w:val="0"/>
                <w:numId w:val="0"/>
              </w:numPr>
              <w:tabs>
                <w:tab w:val="left" w:pos="180"/>
                <w:tab w:val="left" w:pos="540"/>
              </w:tabs>
              <w:kinsoku/>
              <w:wordWrap/>
              <w:topLinePunct w:val="0"/>
              <w:bidi w:val="0"/>
              <w:spacing w:line="340" w:lineRule="exact"/>
              <w:rPr>
                <w:rFonts w:hint="eastAsia" w:ascii="宋体" w:hAnsi="宋体" w:eastAsia="宋体" w:cs="宋体"/>
                <w:bCs/>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热源含量＜0.001Eu/ml</w:t>
            </w:r>
          </w:p>
          <w:p>
            <w:pPr>
              <w:pageBreakBefore w:val="0"/>
              <w:numPr>
                <w:ilvl w:val="0"/>
                <w:numId w:val="0"/>
              </w:numPr>
              <w:tabs>
                <w:tab w:val="left" w:pos="180"/>
                <w:tab w:val="left" w:pos="540"/>
              </w:tabs>
              <w:kinsoku/>
              <w:wordWrap/>
              <w:topLinePunct w:val="0"/>
              <w:bidi w:val="0"/>
              <w:spacing w:line="340" w:lineRule="exact"/>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9、</w:t>
            </w:r>
            <w:r>
              <w:rPr>
                <w:rFonts w:hint="eastAsia" w:ascii="宋体" w:hAnsi="宋体" w:eastAsia="宋体" w:cs="宋体"/>
                <w:bCs/>
                <w:color w:val="auto"/>
                <w:sz w:val="22"/>
                <w:szCs w:val="22"/>
                <w:highlight w:val="none"/>
              </w:rPr>
              <w:t>产水流速：最大高达2L/min，四种流速0.5至2L/min可调</w:t>
            </w:r>
          </w:p>
          <w:p>
            <w:pPr>
              <w:pageBreakBefore w:val="0"/>
              <w:numPr>
                <w:ilvl w:val="0"/>
                <w:numId w:val="0"/>
              </w:numPr>
              <w:kinsoku/>
              <w:wordWrap/>
              <w:topLinePunct w:val="0"/>
              <w:bidi w:val="0"/>
              <w:spacing w:line="340" w:lineRule="exact"/>
              <w:rPr>
                <w:rFonts w:hint="eastAsia" w:ascii="宋体" w:hAnsi="宋体" w:eastAsia="宋体" w:cs="宋体"/>
                <w:bCs/>
                <w:color w:val="auto"/>
                <w:sz w:val="22"/>
                <w:szCs w:val="22"/>
                <w:highlight w:val="none"/>
              </w:rPr>
            </w:pPr>
            <w:r>
              <w:rPr>
                <w:rFonts w:hint="eastAsia" w:ascii="宋体" w:hAnsi="宋体" w:cs="宋体"/>
                <w:color w:val="auto"/>
                <w:kern w:val="0"/>
                <w:sz w:val="22"/>
                <w:szCs w:val="22"/>
                <w:highlight w:val="none"/>
                <w:lang w:val="en-US" w:eastAsia="zh-CN"/>
              </w:rPr>
              <w:t>10、</w:t>
            </w:r>
            <w:r>
              <w:rPr>
                <w:rFonts w:hint="eastAsia" w:ascii="宋体" w:hAnsi="宋体" w:eastAsia="宋体" w:cs="宋体"/>
                <w:color w:val="auto"/>
                <w:kern w:val="0"/>
                <w:sz w:val="22"/>
                <w:szCs w:val="22"/>
                <w:highlight w:val="none"/>
              </w:rPr>
              <w:t>超纯水部分具有185&amp;254nm双波长紫外灯，用于降低产水TOC。</w:t>
            </w:r>
            <w:r>
              <w:rPr>
                <w:rFonts w:hint="eastAsia" w:ascii="宋体" w:hAnsi="宋体" w:eastAsia="宋体" w:cs="宋体"/>
                <w:bCs/>
                <w:color w:val="auto"/>
                <w:sz w:val="22"/>
                <w:szCs w:val="22"/>
                <w:highlight w:val="none"/>
              </w:rPr>
              <w:t>系统内置在线TOC监测模块，每隔24小时自动进行TOC曲线检准，保证在线监测超纯水产水TOC的精确性；主机液晶屏上可实时显示TOC数值，显示范围1～999ppb。</w:t>
            </w:r>
          </w:p>
          <w:p>
            <w:pPr>
              <w:pageBreakBefore w:val="0"/>
              <w:numPr>
                <w:ilvl w:val="0"/>
                <w:numId w:val="0"/>
              </w:numPr>
              <w:kinsoku/>
              <w:wordWrap/>
              <w:topLinePunct w:val="0"/>
              <w:bidi w:val="0"/>
              <w:spacing w:line="34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11、</w:t>
            </w:r>
            <w:r>
              <w:rPr>
                <w:rFonts w:hint="eastAsia" w:ascii="宋体" w:hAnsi="宋体" w:eastAsia="宋体" w:cs="宋体"/>
                <w:color w:val="auto"/>
                <w:sz w:val="22"/>
                <w:szCs w:val="22"/>
                <w:highlight w:val="none"/>
              </w:rPr>
              <w:t>系统内置高精度电阻率检测仪，电极常数为0.01cm-1，温度灵敏度达到0.1℃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采用同轴电极设计。</w:t>
            </w:r>
          </w:p>
          <w:p>
            <w:pPr>
              <w:pageBreakBefore w:val="0"/>
              <w:numPr>
                <w:ilvl w:val="0"/>
                <w:numId w:val="0"/>
              </w:numPr>
              <w:kinsoku/>
              <w:wordWrap/>
              <w:topLinePunct w:val="0"/>
              <w:bidi w:val="0"/>
              <w:spacing w:line="340" w:lineRule="exac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rPr>
              <w:t>采用主机外置超滤技术，避免采用内置超滤技术而需要定期专业技术人员清洗超滤柱产生额外维护费用</w:t>
            </w:r>
            <w:r>
              <w:rPr>
                <w:rFonts w:hint="eastAsia" w:ascii="宋体" w:hAnsi="宋体" w:eastAsia="宋体" w:cs="宋体"/>
                <w:color w:val="auto"/>
                <w:sz w:val="22"/>
                <w:szCs w:val="22"/>
                <w:highlight w:val="none"/>
                <w:lang w:eastAsia="zh-CN"/>
              </w:rPr>
              <w:t>。</w:t>
            </w:r>
          </w:p>
          <w:p>
            <w:pPr>
              <w:pageBreakBefore w:val="0"/>
              <w:numPr>
                <w:ilvl w:val="0"/>
                <w:numId w:val="0"/>
              </w:numPr>
              <w:kinsoku/>
              <w:wordWrap/>
              <w:topLinePunct w:val="0"/>
              <w:bidi w:val="0"/>
              <w:spacing w:line="340" w:lineRule="exact"/>
              <w:rPr>
                <w:rFonts w:hint="eastAsia" w:ascii="宋体" w:hAnsi="宋体" w:eastAsia="宋体" w:cs="宋体"/>
                <w:bCs/>
                <w:color w:val="auto"/>
                <w:sz w:val="22"/>
                <w:szCs w:val="22"/>
                <w:highlight w:val="none"/>
              </w:rPr>
            </w:pPr>
            <w:r>
              <w:rPr>
                <w:rFonts w:hint="eastAsia" w:ascii="宋体" w:hAnsi="宋体" w:cs="宋体"/>
                <w:color w:val="auto"/>
                <w:sz w:val="22"/>
                <w:szCs w:val="22"/>
                <w:highlight w:val="none"/>
                <w:lang w:val="en-US" w:eastAsia="zh-CN"/>
              </w:rPr>
              <w:t>13、</w:t>
            </w:r>
            <w:r>
              <w:rPr>
                <w:rFonts w:hint="eastAsia" w:ascii="宋体" w:hAnsi="宋体" w:eastAsia="宋体" w:cs="宋体"/>
                <w:bCs/>
                <w:color w:val="auto"/>
                <w:sz w:val="22"/>
                <w:szCs w:val="22"/>
                <w:highlight w:val="none"/>
              </w:rPr>
              <w:t>系统自带活动支臂取水枪，方便实验室所有规格容器取水，取水过程中无需用手固定容器；取水高度上下可调，取水角度360°可调，并具有定量自动取水功能。</w:t>
            </w:r>
          </w:p>
          <w:p>
            <w:pPr>
              <w:pageBreakBefore w:val="0"/>
              <w:numPr>
                <w:ilvl w:val="0"/>
                <w:numId w:val="0"/>
              </w:numPr>
              <w:kinsoku/>
              <w:wordWrap/>
              <w:topLinePunct w:val="0"/>
              <w:bidi w:val="0"/>
              <w:spacing w:line="340" w:lineRule="exact"/>
              <w:rPr>
                <w:rFonts w:hint="eastAsia" w:ascii="宋体" w:hAnsi="宋体" w:eastAsia="宋体" w:cs="宋体"/>
                <w:color w:val="auto"/>
                <w:sz w:val="22"/>
                <w:szCs w:val="22"/>
                <w:highlight w:val="none"/>
              </w:rPr>
            </w:pPr>
            <w:r>
              <w:rPr>
                <w:rFonts w:hint="eastAsia" w:ascii="宋体" w:hAnsi="宋体" w:cs="宋体"/>
                <w:bCs/>
                <w:color w:val="auto"/>
                <w:sz w:val="22"/>
                <w:szCs w:val="22"/>
                <w:highlight w:val="none"/>
                <w:lang w:val="en-US" w:eastAsia="zh-CN"/>
              </w:rPr>
              <w:t>14、</w:t>
            </w:r>
            <w:r>
              <w:rPr>
                <w:rFonts w:hint="eastAsia" w:ascii="宋体" w:hAnsi="宋体" w:eastAsia="宋体" w:cs="宋体"/>
                <w:color w:val="auto"/>
                <w:sz w:val="22"/>
                <w:szCs w:val="22"/>
                <w:highlight w:val="none"/>
              </w:rPr>
              <w:t>系统配备PE型材吹塑制备的水箱，水箱具有液位显示控制模块，空气进出口有除菌、CO2及挥发性有机物的过滤器。</w:t>
            </w:r>
          </w:p>
          <w:p>
            <w:pPr>
              <w:pageBreakBefore w:val="0"/>
              <w:numPr>
                <w:ilvl w:val="0"/>
                <w:numId w:val="0"/>
              </w:numPr>
              <w:kinsoku/>
              <w:wordWrap/>
              <w:topLinePunct w:val="0"/>
              <w:bidi w:val="0"/>
              <w:spacing w:line="340" w:lineRule="exact"/>
              <w:rPr>
                <w:rFonts w:hint="eastAsia" w:ascii="宋体" w:hAnsi="宋体" w:eastAsia="宋体" w:cs="宋体"/>
                <w:bCs/>
                <w:color w:val="auto"/>
                <w:sz w:val="22"/>
                <w:szCs w:val="22"/>
                <w:highlight w:val="none"/>
              </w:rPr>
            </w:pPr>
            <w:r>
              <w:rPr>
                <w:rFonts w:hint="eastAsia" w:ascii="宋体" w:hAnsi="宋体" w:cs="宋体"/>
                <w:color w:val="auto"/>
                <w:sz w:val="22"/>
                <w:szCs w:val="22"/>
                <w:highlight w:val="none"/>
                <w:lang w:val="en-US" w:eastAsia="zh-CN"/>
              </w:rPr>
              <w:t>15、</w:t>
            </w:r>
            <w:r>
              <w:rPr>
                <w:rFonts w:hint="eastAsia" w:ascii="宋体" w:hAnsi="宋体" w:eastAsia="宋体" w:cs="宋体"/>
                <w:bCs/>
                <w:color w:val="auto"/>
                <w:sz w:val="22"/>
                <w:szCs w:val="22"/>
                <w:highlight w:val="none"/>
              </w:rPr>
              <w:t>主机自带液晶显示屏，具有含中文在内的多国语言操作界面，并显示实时出水水质等关键信息。</w:t>
            </w:r>
          </w:p>
          <w:p>
            <w:pPr>
              <w:pageBreakBefore w:val="0"/>
              <w:numPr>
                <w:ilvl w:val="0"/>
                <w:numId w:val="0"/>
              </w:numPr>
              <w:tabs>
                <w:tab w:val="left" w:pos="180"/>
                <w:tab w:val="left" w:pos="540"/>
              </w:tabs>
              <w:kinsoku/>
              <w:wordWrap/>
              <w:topLinePunct w:val="0"/>
              <w:bidi w:val="0"/>
              <w:spacing w:line="340" w:lineRule="exact"/>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16、</w:t>
            </w:r>
            <w:r>
              <w:rPr>
                <w:rFonts w:hint="eastAsia" w:ascii="宋体" w:hAnsi="宋体" w:eastAsia="宋体" w:cs="宋体"/>
                <w:bCs/>
                <w:color w:val="auto"/>
                <w:sz w:val="22"/>
                <w:szCs w:val="22"/>
                <w:highlight w:val="none"/>
              </w:rPr>
              <w:t>系统自动记录一整年水质资料</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制造商需具备提供超纯水系统校验和校准服务的能力，可对内置电阻率仪进行校验和校准以满足ISO17025及CNAS合格评审的要求，结果可溯源至中国计量院。</w:t>
            </w:r>
          </w:p>
          <w:p>
            <w:pPr>
              <w:pageBreakBefore w:val="0"/>
              <w:numPr>
                <w:ilvl w:val="0"/>
                <w:numId w:val="0"/>
              </w:numPr>
              <w:tabs>
                <w:tab w:val="left" w:pos="180"/>
                <w:tab w:val="left" w:pos="540"/>
              </w:tabs>
              <w:kinsoku/>
              <w:wordWrap/>
              <w:topLinePunct w:val="0"/>
              <w:bidi w:val="0"/>
              <w:spacing w:line="340" w:lineRule="exact"/>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17、</w:t>
            </w:r>
            <w:r>
              <w:rPr>
                <w:rFonts w:hint="eastAsia" w:ascii="宋体" w:hAnsi="宋体" w:eastAsia="宋体" w:cs="宋体"/>
                <w:bCs/>
                <w:color w:val="auto"/>
                <w:sz w:val="22"/>
                <w:szCs w:val="22"/>
                <w:highlight w:val="none"/>
              </w:rPr>
              <w:t>具有极大应用拓展性，在无需改变制水主机情况下可以选择配置多达6种终端精制器，分别用于常规理化精密实验、分子生物学实验、免疫及生化分析仪、内分泌干扰物研究实验、超痕量理化分析实验、去挥发性有机物实验。</w:t>
            </w:r>
          </w:p>
          <w:p>
            <w:pPr>
              <w:pageBreakBefore w:val="0"/>
              <w:numPr>
                <w:ilvl w:val="0"/>
                <w:numId w:val="0"/>
              </w:numPr>
              <w:kinsoku/>
              <w:wordWrap/>
              <w:topLinePunct w:val="0"/>
              <w:bidi w:val="0"/>
              <w:adjustRightInd w:val="0"/>
              <w:snapToGrid w:val="0"/>
              <w:spacing w:line="340" w:lineRule="exact"/>
              <w:rPr>
                <w:rFonts w:hint="eastAsia" w:ascii="宋体" w:hAnsi="宋体" w:eastAsia="宋体" w:cs="宋体"/>
                <w:b/>
                <w:color w:val="auto"/>
                <w:kern w:val="0"/>
                <w:sz w:val="22"/>
                <w:szCs w:val="22"/>
                <w:highlight w:val="none"/>
              </w:rPr>
            </w:pPr>
            <w:r>
              <w:rPr>
                <w:rFonts w:hint="eastAsia" w:ascii="宋体" w:hAnsi="宋体" w:cs="宋体"/>
                <w:b/>
                <w:color w:val="auto"/>
                <w:kern w:val="0"/>
                <w:sz w:val="22"/>
                <w:szCs w:val="22"/>
                <w:highlight w:val="none"/>
                <w:lang w:val="en-US" w:eastAsia="zh-CN"/>
              </w:rPr>
              <w:t>三、</w:t>
            </w:r>
            <w:r>
              <w:rPr>
                <w:rFonts w:hint="eastAsia" w:ascii="宋体" w:hAnsi="宋体" w:eastAsia="宋体" w:cs="宋体"/>
                <w:b/>
                <w:color w:val="auto"/>
                <w:kern w:val="0"/>
                <w:sz w:val="22"/>
                <w:szCs w:val="22"/>
                <w:highlight w:val="none"/>
              </w:rPr>
              <w:t>基本配置</w:t>
            </w:r>
            <w:r>
              <w:rPr>
                <w:rFonts w:hint="eastAsia" w:ascii="宋体" w:hAnsi="宋体" w:eastAsia="宋体" w:cs="宋体"/>
                <w:b/>
                <w:color w:val="auto"/>
                <w:kern w:val="0"/>
                <w:sz w:val="22"/>
                <w:szCs w:val="22"/>
                <w:highlight w:val="none"/>
                <w:lang w:eastAsia="zh-CN"/>
              </w:rPr>
              <w:t>：</w:t>
            </w:r>
          </w:p>
          <w:p>
            <w:pPr>
              <w:pageBreakBefore w:val="0"/>
              <w:numPr>
                <w:ilvl w:val="1"/>
                <w:numId w:val="11"/>
              </w:numPr>
              <w:tabs>
                <w:tab w:val="left" w:pos="180"/>
                <w:tab w:val="left" w:pos="540"/>
              </w:tabs>
              <w:kinsoku/>
              <w:wordWrap/>
              <w:topLinePunct w:val="0"/>
              <w:bidi w:val="0"/>
              <w:spacing w:line="340" w:lineRule="exact"/>
              <w:ind w:left="0" w:hanging="54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超纯水主机系统        1 套 </w:t>
            </w:r>
          </w:p>
          <w:p>
            <w:pPr>
              <w:pageBreakBefore w:val="0"/>
              <w:numPr>
                <w:ilvl w:val="1"/>
                <w:numId w:val="11"/>
              </w:numPr>
              <w:tabs>
                <w:tab w:val="left" w:pos="180"/>
                <w:tab w:val="left" w:pos="540"/>
              </w:tabs>
              <w:kinsoku/>
              <w:wordWrap/>
              <w:topLinePunct w:val="0"/>
              <w:bidi w:val="0"/>
              <w:spacing w:line="340" w:lineRule="exact"/>
              <w:ind w:left="0" w:hanging="54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系统内置带芯片的纯化柱   1 根</w:t>
            </w:r>
          </w:p>
          <w:p>
            <w:pPr>
              <w:pageBreakBefore w:val="0"/>
              <w:numPr>
                <w:ilvl w:val="1"/>
                <w:numId w:val="11"/>
              </w:numPr>
              <w:tabs>
                <w:tab w:val="left" w:pos="180"/>
                <w:tab w:val="left" w:pos="540"/>
              </w:tabs>
              <w:kinsoku/>
              <w:wordWrap/>
              <w:topLinePunct w:val="0"/>
              <w:bidi w:val="0"/>
              <w:spacing w:line="340" w:lineRule="exact"/>
              <w:ind w:left="0" w:hanging="54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系统内置带芯片的精制柱   1 根</w:t>
            </w:r>
          </w:p>
          <w:p>
            <w:pPr>
              <w:pageBreakBefore w:val="0"/>
              <w:numPr>
                <w:ilvl w:val="1"/>
                <w:numId w:val="11"/>
              </w:numPr>
              <w:tabs>
                <w:tab w:val="left" w:pos="180"/>
                <w:tab w:val="left" w:pos="540"/>
              </w:tabs>
              <w:kinsoku/>
              <w:wordWrap/>
              <w:topLinePunct w:val="0"/>
              <w:bidi w:val="0"/>
              <w:spacing w:line="340" w:lineRule="exact"/>
              <w:ind w:left="0" w:hanging="54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60 L水箱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1 个 </w:t>
            </w:r>
          </w:p>
          <w:p>
            <w:pPr>
              <w:pageBreakBefore w:val="0"/>
              <w:numPr>
                <w:ilvl w:val="1"/>
                <w:numId w:val="11"/>
              </w:numPr>
              <w:tabs>
                <w:tab w:val="left" w:pos="180"/>
                <w:tab w:val="left" w:pos="540"/>
              </w:tabs>
              <w:kinsoku/>
              <w:wordWrap/>
              <w:topLinePunct w:val="0"/>
              <w:bidi w:val="0"/>
              <w:spacing w:line="340" w:lineRule="exact"/>
              <w:ind w:left="0" w:hanging="54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水箱空气过滤器       1 个 </w:t>
            </w:r>
          </w:p>
          <w:p>
            <w:pPr>
              <w:pageBreakBefore w:val="0"/>
              <w:numPr>
                <w:ilvl w:val="1"/>
                <w:numId w:val="11"/>
              </w:numPr>
              <w:tabs>
                <w:tab w:val="left" w:pos="180"/>
                <w:tab w:val="left" w:pos="540"/>
              </w:tabs>
              <w:kinsoku/>
              <w:wordWrap/>
              <w:topLinePunct w:val="0"/>
              <w:bidi w:val="0"/>
              <w:spacing w:line="340" w:lineRule="exact"/>
              <w:ind w:left="0" w:hanging="540"/>
              <w:rPr>
                <w:rFonts w:hint="eastAsia" w:ascii="宋体" w:hAnsi="宋体" w:eastAsia="宋体" w:cs="宋体"/>
                <w:color w:val="auto"/>
                <w:sz w:val="22"/>
                <w:szCs w:val="22"/>
                <w:highlight w:val="none"/>
              </w:rPr>
            </w:pP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 xml:space="preserve">清洗药片            </w:t>
            </w: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sz w:val="22"/>
                <w:szCs w:val="22"/>
                <w:highlight w:val="none"/>
              </w:rPr>
              <w:t xml:space="preserve">1 </w:t>
            </w:r>
            <w:r>
              <w:rPr>
                <w:rFonts w:hint="eastAsia" w:ascii="宋体" w:hAnsi="宋体" w:eastAsia="宋体" w:cs="宋体"/>
                <w:color w:val="auto"/>
                <w:kern w:val="0"/>
                <w:sz w:val="22"/>
                <w:szCs w:val="22"/>
                <w:highlight w:val="none"/>
              </w:rPr>
              <w:t xml:space="preserve">盒 </w:t>
            </w:r>
          </w:p>
          <w:p>
            <w:pPr>
              <w:pageBreakBefore w:val="0"/>
              <w:numPr>
                <w:ilvl w:val="1"/>
                <w:numId w:val="11"/>
              </w:numPr>
              <w:tabs>
                <w:tab w:val="left" w:pos="180"/>
                <w:tab w:val="left" w:pos="540"/>
              </w:tabs>
              <w:kinsoku/>
              <w:wordWrap/>
              <w:topLinePunct w:val="0"/>
              <w:bidi w:val="0"/>
              <w:spacing w:line="340" w:lineRule="exact"/>
              <w:ind w:left="0" w:hanging="54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0.22um终端过滤器     1 个</w:t>
            </w:r>
          </w:p>
          <w:p>
            <w:pPr>
              <w:pageBreakBefore w:val="0"/>
              <w:numPr>
                <w:ilvl w:val="1"/>
                <w:numId w:val="11"/>
              </w:numPr>
              <w:tabs>
                <w:tab w:val="left" w:pos="180"/>
                <w:tab w:val="left" w:pos="540"/>
              </w:tabs>
              <w:kinsoku/>
              <w:wordWrap/>
              <w:topLinePunct w:val="0"/>
              <w:bidi w:val="0"/>
              <w:spacing w:line="340" w:lineRule="exact"/>
              <w:ind w:left="0" w:leftChars="0" w:hanging="540" w:firstLineChars="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 xml:space="preserve">操作手册/说明书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1 套</w:t>
            </w:r>
          </w:p>
          <w:p>
            <w:pPr>
              <w:pageBreakBefore w:val="0"/>
              <w:numPr>
                <w:ilvl w:val="1"/>
                <w:numId w:val="11"/>
              </w:numPr>
              <w:tabs>
                <w:tab w:val="left" w:pos="180"/>
                <w:tab w:val="left" w:pos="540"/>
              </w:tabs>
              <w:kinsoku/>
              <w:wordWrap/>
              <w:topLinePunct w:val="0"/>
              <w:bidi w:val="0"/>
              <w:spacing w:line="340" w:lineRule="exact"/>
              <w:ind w:left="0" w:leftChars="0" w:hanging="540" w:firstLineChars="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eastAsia="zh-CN"/>
              </w:rPr>
              <w:t>自来水预处理系统</w:t>
            </w:r>
            <w:r>
              <w:rPr>
                <w:rFonts w:hint="eastAsia" w:ascii="宋体" w:hAnsi="宋体" w:eastAsia="宋体" w:cs="宋体"/>
                <w:color w:val="auto"/>
                <w:sz w:val="22"/>
                <w:szCs w:val="22"/>
                <w:highlight w:val="none"/>
                <w:lang w:val="en-US" w:eastAsia="zh-CN"/>
              </w:rPr>
              <w:t xml:space="preserve">      1套</w:t>
            </w:r>
          </w:p>
          <w:p>
            <w:pPr>
              <w:pageBreakBefore w:val="0"/>
              <w:numPr>
                <w:ilvl w:val="1"/>
                <w:numId w:val="12"/>
              </w:numPr>
              <w:tabs>
                <w:tab w:val="left" w:pos="180"/>
                <w:tab w:val="left" w:pos="360"/>
                <w:tab w:val="left" w:pos="540"/>
              </w:tabs>
              <w:kinsoku/>
              <w:wordWrap/>
              <w:topLinePunct w:val="0"/>
              <w:bidi w:val="0"/>
              <w:spacing w:line="340" w:lineRule="exact"/>
              <w:ind w:left="0" w:leftChars="0" w:hanging="540" w:firstLineChars="0"/>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eastAsia="zh-CN"/>
              </w:rPr>
              <w:t>棉芯</w:t>
            </w:r>
            <w:r>
              <w:rPr>
                <w:rFonts w:hint="eastAsia" w:ascii="宋体" w:hAnsi="宋体" w:eastAsia="宋体" w:cs="宋体"/>
                <w:color w:val="auto"/>
                <w:sz w:val="22"/>
                <w:szCs w:val="22"/>
                <w:highlight w:val="none"/>
                <w:lang w:val="en-US" w:eastAsia="zh-CN"/>
              </w:rPr>
              <w:t xml:space="preserve">                  20根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3</w:t>
            </w:r>
          </w:p>
        </w:tc>
        <w:tc>
          <w:tcPr>
            <w:tcW w:w="1424"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旋转蒸发仪</w:t>
            </w:r>
          </w:p>
        </w:tc>
        <w:tc>
          <w:tcPr>
            <w:tcW w:w="721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一、旋转蒸发仪技术参数</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1.转速：10–280rpm(无级变速调节)</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2.冷凝面积</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1700cm2</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3.蒸发瓶：50-5000ml，各种不同规格可选</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4.升降高度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0mm</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高度锁定</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0-170mm</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★5.升降速度控制：迅速移动到距离设定高度的2cm时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速度减慢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防止磕碰或误操作</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6.水浴锅体积：5L</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7.控温范围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室温–220°C</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8.控温精度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±1°C</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9.水浴锅位置监测功能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防止水浴锅未放到位</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出现磕碎的风险</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10.支持一键锁定</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一键解锁</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11.冷凝器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7种可选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S型冷凝器可实现索式提取，大尺寸的冷凝器开口</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适于意外喷溅后的清洗</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12.蒸汽导管设计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无回流现象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适合残留分析</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13.提供进料阀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适合于不能有真空脂存在的应用</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14.可配置泡沫检测器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可以使极易产生泡沫的溶剂实现无人看守的自动蒸馏</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15.可选配液位监测器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当接收瓶溶剂需要清空时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发送通知</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16.冷凝器冷凝水回收功能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贴心设计的冷凝器外部冷凝水回收功能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节约水资源</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防止桌面积水</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17.防地震安全锁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即使地震级震动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也无需担心仪器跌落或损坏</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18.面板显示升降行程，行程范围：0-220mm</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19.云平台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旋转蒸发仪可连接网路</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通过云平台实时为旋转蒸发仪推送蒸发运行通知</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20.防护等级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IP21</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21.标准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CE/CSA</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二、真空隔膜泵技术参数</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1.抽气能力：1.8m3/h</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2.极限真空度：5mbar</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3.噪音等级：32–57dBA</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4.大尺寸透明窗口设计：可以随时观察隔膜表面污染和溶剂累积情况</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5.ECO模式：在没有真空控制器或真空模块的条件下，真空泵连续工作1小时后会将泵速降低到80%（95W），2小时后可降低到50%（60W）从而降低能源消耗，减少噪音污染，并延长仪器的使用寿命</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6.有效的安全保护功能：只有在机壳关闭时，泵才能够运转</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7.具有一个带复位的电气保护装置和一个内置的计时装置</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8.变频变速控制功能：在达到设定的真空度时，整个真空泵可以完全静止，将真空度维持在精确的一点；极大底减低了能耗、避免爆沸、延长使用寿命</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9.内置空气干燥阀：可以自动干燥PTFE隔膜，防止溶剂沉积；延长使用寿命</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10.无噪音运行</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通过速度控制，泵平稳运行，保持设定的真空，使得噪音极低(32dB)</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11.可提供液位传感器，提醒操作员清空接受瓶</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三、真空控制器技术参数</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1.显示屏尺寸：≥4.</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英寸</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2.测量范围：1400-0mbar(hPa)，1050~1Torr</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3.控制范围：1100~1mbar(hPa)，825~1Torr</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4.压力控制精度：±2mbar</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5.动态蒸馏：从溶剂库中选择溶剂后可直接启动蒸馏过程，即使冷却机和浴锅尚未达到各自的设定温度，真空度可实现动态调节开启蒸馏过程</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6.收藏夹：首选的溶剂、气密性试验及其他功能均可另存到收藏夹中，以便快速访问</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★7.集成控制：自动控制旋转蒸发仪的启停、升降，冷却循环水机的启停、温度，真空泵的启停、压力</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8.干燥模式：干燥模式在设定的时限内以用户自定义的时间间隔交替改变旋转方向，以增强固体干燥效果</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9.支持十一国语言，内置43种常用溶剂数据库，自动测定蒸馏条件。用户可以自己扩展溶剂数据库</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10.ECO模式：如果系统在预定时间后不运行，即关闭水浴锅和冷却水机，更加节能</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11.图形显示：可以显示外围设备及配件的图标，显示冷却循环水温度，检查泵、冷却器、真空阀和泡沫传感器是否连接到系统</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12.远程监控（App）：适用于iOS、Android和Windows操作系统，应用程序提供所有工艺参数的推送通知和实时视图</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13.支持自动蒸馏：选配AutoDest传感器根据冷却液的入口和出口温度自动调整真空。该算法可实现无人值守的自动蒸馏</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14.选配精确的泡沫检测器：对于容易形成泡沫的样品，泡沫传感器会自动瞬时向系统充气，实现无人看守的自动蒸馏</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四、配置：</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电动升降旋转蒸发仪主机1台</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V型玻璃冷凝器1个</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1L蒸发瓶1个</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1L接收瓶1个</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5L浴锅1个</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冷凝水回收组件1个</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蒸发瓶橡胶瓶架1个</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隔膜真空泵1台</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消音器1个</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缓冲瓶1个</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真空控制器1台</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12.管路接头一套</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13.配套冷却水机1台</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14.操作说明书1份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4</w:t>
            </w:r>
          </w:p>
        </w:tc>
        <w:tc>
          <w:tcPr>
            <w:tcW w:w="1424"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大肠菌群检测系统</w:t>
            </w:r>
          </w:p>
        </w:tc>
        <w:tc>
          <w:tcPr>
            <w:tcW w:w="721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、符合《生活饮用水标准检验方法》使用MMO-MUG培养基，DST固定底物酶底物法及HJ1001-2018环境标准</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2、预热2分钟左右，适合野外作业。</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3、提供MMO-MUG培养基、</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孔定量盘、</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9</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孔定量盘及120ML无菌取样瓶</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4、设备智能化的程序，全自动显示错误提示代码，便于</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rPr>
              <w:t>自行维护和检测</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5、自带休眠模式，一键唤醒功能；节约50%能耗，提高工作效率</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6、易拆卸的加热下辊轴及蓄水槽，便于日常清洁和维护，延长机器寿命</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7、配置：</w:t>
            </w:r>
          </w:p>
          <w:p>
            <w:pPr>
              <w:pageBreakBefore w:val="0"/>
              <w:kinsoku/>
              <w:wordWrap/>
              <w:topLinePunct w:val="0"/>
              <w:bidi w:val="0"/>
              <w:spacing w:line="340" w:lineRule="exact"/>
              <w:ind w:left="0" w:firstLine="220" w:firstLineChars="1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7.1 </w:t>
            </w:r>
            <w:r>
              <w:rPr>
                <w:rFonts w:hint="eastAsia" w:ascii="宋体" w:hAnsi="宋体" w:eastAsia="宋体" w:cs="宋体"/>
                <w:color w:val="auto"/>
                <w:sz w:val="22"/>
                <w:szCs w:val="22"/>
                <w:highlight w:val="none"/>
              </w:rPr>
              <w:t>升级版程控定量封口机1台</w:t>
            </w:r>
            <w:r>
              <w:rPr>
                <w:rFonts w:hint="eastAsia" w:ascii="宋体" w:hAnsi="宋体" w:cs="宋体"/>
                <w:color w:val="auto"/>
                <w:sz w:val="22"/>
                <w:szCs w:val="22"/>
                <w:highlight w:val="none"/>
                <w:lang w:eastAsia="zh-CN"/>
              </w:rPr>
              <w:t>；</w:t>
            </w:r>
          </w:p>
          <w:p>
            <w:pPr>
              <w:pageBreakBefore w:val="0"/>
              <w:kinsoku/>
              <w:wordWrap/>
              <w:topLinePunct w:val="0"/>
              <w:bidi w:val="0"/>
              <w:spacing w:line="340" w:lineRule="exact"/>
              <w:ind w:left="0" w:firstLine="220" w:firstLineChars="1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7.2 </w:t>
            </w:r>
            <w:r>
              <w:rPr>
                <w:rFonts w:hint="eastAsia" w:ascii="宋体" w:hAnsi="宋体" w:eastAsia="宋体" w:cs="宋体"/>
                <w:color w:val="auto"/>
                <w:sz w:val="22"/>
                <w:szCs w:val="22"/>
                <w:highlight w:val="none"/>
              </w:rPr>
              <w:t>220伏6瓦特紫外灯1台</w:t>
            </w:r>
            <w:r>
              <w:rPr>
                <w:rFonts w:hint="eastAsia" w:ascii="宋体" w:hAnsi="宋体" w:cs="宋体"/>
                <w:color w:val="auto"/>
                <w:sz w:val="22"/>
                <w:szCs w:val="22"/>
                <w:highlight w:val="none"/>
                <w:lang w:eastAsia="zh-CN"/>
              </w:rPr>
              <w:t>；</w:t>
            </w:r>
          </w:p>
          <w:p>
            <w:pPr>
              <w:pageBreakBefore w:val="0"/>
              <w:kinsoku/>
              <w:wordWrap/>
              <w:topLinePunct w:val="0"/>
              <w:bidi w:val="0"/>
              <w:spacing w:line="340" w:lineRule="exact"/>
              <w:ind w:left="0" w:firstLine="220" w:firstLineChars="1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7.3 </w:t>
            </w:r>
            <w:r>
              <w:rPr>
                <w:rFonts w:hint="eastAsia" w:ascii="宋体" w:hAnsi="宋体" w:eastAsia="宋体" w:cs="宋体"/>
                <w:color w:val="auto"/>
                <w:sz w:val="22"/>
                <w:szCs w:val="22"/>
                <w:highlight w:val="none"/>
              </w:rPr>
              <w:t>紫外灯箱1台</w:t>
            </w:r>
            <w:r>
              <w:rPr>
                <w:rFonts w:hint="eastAsia" w:ascii="宋体" w:hAnsi="宋体" w:cs="宋体"/>
                <w:color w:val="auto"/>
                <w:sz w:val="22"/>
                <w:szCs w:val="22"/>
                <w:highlight w:val="none"/>
                <w:lang w:eastAsia="zh-CN"/>
              </w:rPr>
              <w:t>；</w:t>
            </w:r>
          </w:p>
          <w:p>
            <w:pPr>
              <w:pageBreakBefore w:val="0"/>
              <w:kinsoku/>
              <w:wordWrap/>
              <w:topLinePunct w:val="0"/>
              <w:bidi w:val="0"/>
              <w:spacing w:line="340" w:lineRule="exact"/>
              <w:ind w:left="0" w:firstLine="220" w:firstLineChars="1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7.4 </w:t>
            </w:r>
            <w:r>
              <w:rPr>
                <w:rFonts w:hint="eastAsia" w:ascii="宋体" w:hAnsi="宋体" w:eastAsia="宋体" w:cs="宋体"/>
                <w:color w:val="auto"/>
                <w:sz w:val="22"/>
                <w:szCs w:val="22"/>
                <w:highlight w:val="none"/>
              </w:rPr>
              <w:t>97孔标准阳性比色盘1包</w:t>
            </w:r>
            <w:r>
              <w:rPr>
                <w:rFonts w:hint="eastAsia" w:ascii="宋体" w:hAnsi="宋体" w:cs="宋体"/>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5</w:t>
            </w:r>
          </w:p>
        </w:tc>
        <w:tc>
          <w:tcPr>
            <w:tcW w:w="1424"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烘箱</w:t>
            </w:r>
          </w:p>
        </w:tc>
        <w:tc>
          <w:tcPr>
            <w:tcW w:w="721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采用触摸屏控制面板，所有参数均可轻松设置</w:t>
            </w:r>
          </w:p>
          <w:p>
            <w:pPr>
              <w:pageBreakBefore w:val="0"/>
              <w:kinsoku/>
              <w:wordWrap/>
              <w:topLinePunct w:val="0"/>
              <w:bidi w:val="0"/>
              <w:spacing w:line="340" w:lineRule="exact"/>
              <w:ind w:left="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2、内外不锈钢</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3、内腔体积：≥256L</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、最大搁板数：9块</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、设置温度范围：20～300℃</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、工作温度范围：环境温度+10℃～300℃</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、加热方式：加热元件布置在四面冲压成型的U型槽内，实现优异的四面直接加热</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、加热功率：3400W</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rPr>
              <w:t>、1个四线制ClassA级PT100温度传感器</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rPr>
              <w:t>、风扇速率0-100%可调，步长10%</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、设置1分钟到99天23小时的倒计时功能</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、控制面板内置4GB SD存储卡，可存储至少10年的数据</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、以太网接口，可实现数据的在线监控</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、双重过温保护：可调的电子过温保护与符合DIN 12880的TB温度限制器</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、控制面板自带三点温度校准功能</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、配置</w:t>
            </w:r>
          </w:p>
          <w:p>
            <w:pPr>
              <w:pageBreakBefore w:val="0"/>
              <w:kinsoku/>
              <w:wordWrap/>
              <w:topLinePunct w:val="0"/>
              <w:bidi w:val="0"/>
              <w:spacing w:line="340" w:lineRule="exact"/>
              <w:ind w:left="0"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 xml:space="preserve">.1 </w:t>
            </w:r>
            <w:r>
              <w:rPr>
                <w:rFonts w:hint="eastAsia" w:ascii="宋体" w:hAnsi="宋体" w:eastAsia="宋体" w:cs="宋体"/>
                <w:color w:val="auto"/>
                <w:sz w:val="22"/>
                <w:szCs w:val="22"/>
                <w:highlight w:val="none"/>
              </w:rPr>
              <w:t>通用烘箱主机1台</w:t>
            </w:r>
          </w:p>
          <w:p>
            <w:pPr>
              <w:pageBreakBefore w:val="0"/>
              <w:kinsoku/>
              <w:wordWrap/>
              <w:topLinePunct w:val="0"/>
              <w:bidi w:val="0"/>
              <w:spacing w:line="340" w:lineRule="exact"/>
              <w:ind w:left="0"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 xml:space="preserve">.2 </w:t>
            </w:r>
            <w:r>
              <w:rPr>
                <w:rFonts w:hint="eastAsia" w:ascii="宋体" w:hAnsi="宋体" w:eastAsia="宋体" w:cs="宋体"/>
                <w:color w:val="auto"/>
                <w:sz w:val="22"/>
                <w:szCs w:val="22"/>
                <w:highlight w:val="none"/>
              </w:rPr>
              <w:t>电源线1根</w:t>
            </w:r>
          </w:p>
          <w:p>
            <w:pPr>
              <w:pageBreakBefore w:val="0"/>
              <w:kinsoku/>
              <w:wordWrap/>
              <w:topLinePunct w:val="0"/>
              <w:bidi w:val="0"/>
              <w:spacing w:line="340" w:lineRule="exact"/>
              <w:ind w:left="0"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 xml:space="preserve">.3 </w:t>
            </w:r>
            <w:r>
              <w:rPr>
                <w:rFonts w:hint="eastAsia" w:ascii="宋体" w:hAnsi="宋体" w:eastAsia="宋体" w:cs="宋体"/>
                <w:color w:val="auto"/>
                <w:sz w:val="22"/>
                <w:szCs w:val="22"/>
                <w:highlight w:val="none"/>
              </w:rPr>
              <w:t>不锈钢搁板2块</w:t>
            </w:r>
          </w:p>
          <w:p>
            <w:pPr>
              <w:pageBreakBefore w:val="0"/>
              <w:kinsoku/>
              <w:wordWrap/>
              <w:topLinePunct w:val="0"/>
              <w:bidi w:val="0"/>
              <w:spacing w:line="340" w:lineRule="exact"/>
              <w:ind w:left="0"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 xml:space="preserve">.4 </w:t>
            </w:r>
            <w:r>
              <w:rPr>
                <w:rFonts w:hint="eastAsia" w:ascii="宋体" w:hAnsi="宋体" w:eastAsia="宋体" w:cs="宋体"/>
                <w:color w:val="auto"/>
                <w:sz w:val="22"/>
                <w:szCs w:val="22"/>
                <w:highlight w:val="none"/>
              </w:rPr>
              <w:t>操作说明书1份</w:t>
            </w:r>
          </w:p>
          <w:p>
            <w:pPr>
              <w:pageBreakBefore w:val="0"/>
              <w:kinsoku/>
              <w:wordWrap/>
              <w:topLinePunct w:val="0"/>
              <w:bidi w:val="0"/>
              <w:spacing w:line="340" w:lineRule="exact"/>
              <w:ind w:left="0" w:firstLine="220" w:firstLineChars="100"/>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 xml:space="preserve">.5 </w:t>
            </w:r>
            <w:r>
              <w:rPr>
                <w:rFonts w:hint="eastAsia" w:ascii="宋体" w:hAnsi="宋体" w:eastAsia="宋体" w:cs="宋体"/>
                <w:color w:val="auto"/>
                <w:sz w:val="22"/>
                <w:szCs w:val="22"/>
                <w:highlight w:val="none"/>
              </w:rPr>
              <w:t>温度校准证书1份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6</w:t>
            </w:r>
          </w:p>
        </w:tc>
        <w:tc>
          <w:tcPr>
            <w:tcW w:w="1424"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均质器</w:t>
            </w:r>
          </w:p>
        </w:tc>
        <w:tc>
          <w:tcPr>
            <w:tcW w:w="721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要求均质时间周期短、噪音小，坚固耐用，无须进行烦琐的清洁维护工作。</w:t>
            </w:r>
          </w:p>
          <w:p>
            <w:pPr>
              <w:pageBreakBefore w:val="0"/>
              <w:kinsoku/>
              <w:wordWrap/>
              <w:topLinePunct w:val="0"/>
              <w:bidi w:val="0"/>
              <w:spacing w:line="340" w:lineRule="exact"/>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工作原理：将装有固体、半固体、糊状或粉末等性状的原始物质和稀释液的无菌均质袋（聚乙烯或其他材质）放入均质器中，仪器会将之完全密封。均质器作用于均质袋侧面，两块拍击板交替挤压样本，原始物质中的细菌逐渐分散在稀释液中并混匀，建立一种微生物学意义上的平衡，最终获得代表原始物质细菌含量的液体样本。</w:t>
            </w:r>
          </w:p>
          <w:p>
            <w:pPr>
              <w:pageBreakBefore w:val="0"/>
              <w:kinsoku/>
              <w:wordWrap/>
              <w:topLinePunct w:val="0"/>
              <w:bidi w:val="0"/>
              <w:spacing w:line="340" w:lineRule="exact"/>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均质的时间可由操作者在定时器上设置，或使用活动门式开关来中断均质过程。</w:t>
            </w:r>
          </w:p>
          <w:p>
            <w:pPr>
              <w:pageBreakBefore w:val="0"/>
              <w:kinsoku/>
              <w:wordWrap/>
              <w:topLinePunct w:val="0"/>
              <w:bidi w:val="0"/>
              <w:spacing w:line="340" w:lineRule="exact"/>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门挡板需采用强化玻璃全透明设计，便于监控均质过程。</w:t>
            </w:r>
          </w:p>
          <w:p>
            <w:pPr>
              <w:pageBreakBefore w:val="0"/>
              <w:kinsoku/>
              <w:wordWrap/>
              <w:topLinePunct w:val="0"/>
              <w:bidi w:val="0"/>
              <w:spacing w:line="340" w:lineRule="exact"/>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电动旋转马达；双重防护</w:t>
            </w:r>
          </w:p>
          <w:p>
            <w:pPr>
              <w:pageBreakBefore w:val="0"/>
              <w:kinsoku/>
              <w:wordWrap/>
              <w:topLinePunct w:val="0"/>
              <w:bidi w:val="0"/>
              <w:spacing w:line="340" w:lineRule="exact"/>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马达转速：</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1500rpm</w:t>
            </w:r>
          </w:p>
          <w:p>
            <w:pPr>
              <w:pageBreakBefore w:val="0"/>
              <w:kinsoku/>
              <w:wordWrap/>
              <w:topLinePunct w:val="0"/>
              <w:bidi w:val="0"/>
              <w:spacing w:line="340" w:lineRule="exact"/>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拍击速度：</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500次/分</w:t>
            </w:r>
          </w:p>
          <w:p>
            <w:pPr>
              <w:pageBreakBefore w:val="0"/>
              <w:kinsoku/>
              <w:wordWrap/>
              <w:topLinePunct w:val="0"/>
              <w:bidi w:val="0"/>
              <w:spacing w:line="340" w:lineRule="exact"/>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拍击距离：专业设计的智能缓冲系统，采用高品质弹簧，无需人工硬性调整。减少样本碎屑的产生，提升均质效果；防止大颗粒坚硬样本损坏马达或刺破均质袋造成泄漏。</w:t>
            </w:r>
          </w:p>
          <w:p>
            <w:pPr>
              <w:pageBreakBefore w:val="0"/>
              <w:kinsoku/>
              <w:wordWrap/>
              <w:topLinePunct w:val="0"/>
              <w:bidi w:val="0"/>
              <w:spacing w:line="340" w:lineRule="exact"/>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仪器底部全镂空设计，前门档可270°开启，万一漏液时方便清洁。</w:t>
            </w:r>
          </w:p>
          <w:p>
            <w:pPr>
              <w:pageBreakBefore w:val="0"/>
              <w:numPr>
                <w:ilvl w:val="0"/>
                <w:numId w:val="13"/>
              </w:numPr>
              <w:kinsoku/>
              <w:wordWrap/>
              <w:topLinePunct w:val="0"/>
              <w:bidi w:val="0"/>
              <w:spacing w:line="340" w:lineRule="exact"/>
              <w:ind w:left="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定时设置：15-90秒（连续可调）或持续拍击</w:t>
            </w:r>
            <w:r>
              <w:rPr>
                <w:rFonts w:hint="eastAsia" w:ascii="宋体" w:hAnsi="宋体" w:eastAsia="宋体" w:cs="宋体"/>
                <w:color w:val="auto"/>
                <w:sz w:val="22"/>
                <w:szCs w:val="22"/>
                <w:highlight w:val="none"/>
                <w:lang w:val="en-US" w:eastAsia="zh-CN"/>
              </w:rPr>
              <w:t>.</w:t>
            </w:r>
          </w:p>
          <w:p>
            <w:pPr>
              <w:pageBreakBefore w:val="0"/>
              <w:numPr>
                <w:ilvl w:val="0"/>
                <w:numId w:val="13"/>
              </w:numPr>
              <w:kinsoku/>
              <w:wordWrap/>
              <w:topLinePunct w:val="0"/>
              <w:bidi w:val="0"/>
              <w:spacing w:line="340" w:lineRule="exact"/>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开关：活动门式</w:t>
            </w:r>
          </w:p>
          <w:p>
            <w:pPr>
              <w:pageBreakBefore w:val="0"/>
              <w:kinsoku/>
              <w:wordWrap/>
              <w:topLinePunct w:val="0"/>
              <w:bidi w:val="0"/>
              <w:spacing w:line="340" w:lineRule="exact"/>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可选配专用漏液托盘，使用更放心。</w:t>
            </w:r>
          </w:p>
          <w:p>
            <w:pPr>
              <w:pageBreakBefore w:val="0"/>
              <w:kinsoku/>
              <w:wordWrap/>
              <w:topLinePunct w:val="0"/>
              <w:bidi w:val="0"/>
              <w:spacing w:line="340" w:lineRule="exact"/>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13、</w:t>
            </w:r>
            <w:r>
              <w:rPr>
                <w:rFonts w:hint="eastAsia" w:ascii="宋体" w:hAnsi="宋体" w:eastAsia="宋体" w:cs="宋体"/>
                <w:color w:val="auto"/>
                <w:sz w:val="22"/>
                <w:szCs w:val="22"/>
                <w:highlight w:val="none"/>
              </w:rPr>
              <w:t>可选配不锈钢均质袋托盘支架，无需使用均质袋封口夹。</w:t>
            </w:r>
          </w:p>
          <w:p>
            <w:pPr>
              <w:pageBreakBefore w:val="0"/>
              <w:kinsoku/>
              <w:wordWrap/>
              <w:topLinePunct w:val="0"/>
              <w:bidi w:val="0"/>
              <w:spacing w:line="340" w:lineRule="exact"/>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rPr>
              <w:t>电源：220-240V，50Hz</w:t>
            </w:r>
          </w:p>
          <w:p>
            <w:pPr>
              <w:pageBreakBefore w:val="0"/>
              <w:kinsoku/>
              <w:wordWrap/>
              <w:topLinePunct w:val="0"/>
              <w:bidi w:val="0"/>
              <w:spacing w:line="340" w:lineRule="exact"/>
              <w:ind w:left="0"/>
              <w:jc w:val="both"/>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rPr>
              <w:t>终身维护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w:t>
            </w:r>
          </w:p>
        </w:tc>
        <w:tc>
          <w:tcPr>
            <w:tcW w:w="1424"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超低温冰箱</w:t>
            </w:r>
          </w:p>
        </w:tc>
        <w:tc>
          <w:tcPr>
            <w:tcW w:w="721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★1、温度范围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零下50℃~-86℃（每档1℃，环境温度10℃~30℃）宽气候带设计，适合10~30℃环境使用</w:t>
            </w:r>
            <w:r>
              <w:rPr>
                <w:rFonts w:hint="eastAsia" w:ascii="宋体" w:hAnsi="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2、有效容积：≥330L</w:t>
            </w:r>
            <w:r>
              <w:rPr>
                <w:rFonts w:hint="eastAsia" w:ascii="宋体" w:hAnsi="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、额定输入功率：1200VA(220V</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50Hz)</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、外部材料：电镀锌钢板，聚酯树脂粉喷涂</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、内部材料：电镀锌钢板，聚酯树脂粉喷涂</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、内门2扇(均附带锁扣)，外门1扇(附带锁扣，可配挂锁)</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、立体门封条设计，而非平面多层，整体4层门封条分布于不同平面，形成多个密闭保护层，最大程度避免冷气外漏，避免结霜</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、检测孔：3个，17mm（背部，左下角，右下角）</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、压缩机：全封闭型，（高温级输出功率450W），（低温级输出功率750W)</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rPr>
              <w:t>、制冷剂</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R404A(环保型）/R508(环保型）</w:t>
            </w:r>
            <w:r>
              <w:rPr>
                <w:rFonts w:hint="eastAsia" w:ascii="宋体" w:hAnsi="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、安全装置：高/低温报警，环温超标报警，断电报警，远程报警接点，传感器异常自我诊断报警，压缩机有保护功能</w:t>
            </w:r>
            <w:r>
              <w:rPr>
                <w:rFonts w:hint="eastAsia" w:ascii="宋体" w:hAnsi="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、有医疗器械注册证</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、冷却方式：直冷式</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、全封闭型压缩机，匹配复叠式制冷系统，运行稳定，保障安全</w:t>
            </w:r>
            <w:r>
              <w:rPr>
                <w:rFonts w:hint="eastAsia" w:ascii="宋体" w:hAnsi="宋体" w:eastAsia="宋体" w:cs="宋体"/>
                <w:color w:val="auto"/>
                <w:sz w:val="22"/>
                <w:szCs w:val="22"/>
                <w:highlight w:val="none"/>
                <w:lang w:eastAsia="zh-CN"/>
              </w:rPr>
              <w:t>。</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、温控方式：电脑板温控</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、温度显示：数字式</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17</w:t>
            </w:r>
            <w:r>
              <w:rPr>
                <w:rFonts w:hint="eastAsia" w:ascii="宋体" w:hAnsi="宋体" w:eastAsia="宋体" w:cs="宋体"/>
                <w:color w:val="auto"/>
                <w:sz w:val="22"/>
                <w:szCs w:val="22"/>
                <w:highlight w:val="none"/>
              </w:rPr>
              <w:t>、脚轮和止动底角：有</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18</w:t>
            </w:r>
            <w:r>
              <w:rPr>
                <w:rFonts w:hint="eastAsia" w:ascii="宋体" w:hAnsi="宋体" w:eastAsia="宋体" w:cs="宋体"/>
                <w:color w:val="auto"/>
                <w:sz w:val="22"/>
                <w:szCs w:val="22"/>
                <w:highlight w:val="none"/>
              </w:rPr>
              <w:t>、检测孔1个、记录仪监测孔1个</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19</w:t>
            </w:r>
            <w:r>
              <w:rPr>
                <w:rFonts w:hint="eastAsia" w:ascii="宋体" w:hAnsi="宋体" w:eastAsia="宋体" w:cs="宋体"/>
                <w:color w:val="auto"/>
                <w:sz w:val="22"/>
                <w:szCs w:val="22"/>
                <w:highlight w:val="none"/>
              </w:rPr>
              <w:t>、开机延迟保护：有</w:t>
            </w:r>
          </w:p>
          <w:p>
            <w:pPr>
              <w:pageBreakBefore w:val="0"/>
              <w:kinsoku/>
              <w:wordWrap/>
              <w:topLinePunct w:val="0"/>
              <w:bidi w:val="0"/>
              <w:spacing w:line="340" w:lineRule="exact"/>
              <w:ind w:left="0"/>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rPr>
              <w:t>、配置：超低温冰箱主机1台，钥匙1套，白钢搁架3层，除霜铲1个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8</w:t>
            </w:r>
          </w:p>
        </w:tc>
        <w:tc>
          <w:tcPr>
            <w:tcW w:w="1424"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sz w:val="22"/>
                <w:szCs w:val="22"/>
                <w:highlight w:val="none"/>
                <w:lang w:val="zh-CN" w:eastAsia="zh-CN"/>
              </w:rPr>
            </w:pPr>
            <w:r>
              <w:rPr>
                <w:rFonts w:hint="eastAsia" w:ascii="宋体" w:hAnsi="宋体" w:eastAsia="宋体" w:cs="宋体"/>
                <w:b w:val="0"/>
                <w:bCs w:val="0"/>
                <w:color w:val="auto"/>
                <w:sz w:val="22"/>
                <w:szCs w:val="22"/>
                <w:highlight w:val="none"/>
                <w:lang w:eastAsia="zh-CN"/>
              </w:rPr>
              <w:t>微生物质谱检测系统</w:t>
            </w:r>
          </w:p>
          <w:p>
            <w:pPr>
              <w:pageBreakBefore w:val="0"/>
              <w:kinsoku/>
              <w:wordWrap/>
              <w:topLinePunct w:val="0"/>
              <w:bidi w:val="0"/>
              <w:spacing w:line="340" w:lineRule="exact"/>
              <w:ind w:left="0"/>
              <w:jc w:val="center"/>
              <w:rPr>
                <w:rFonts w:hint="eastAsia" w:ascii="宋体" w:hAnsi="宋体" w:eastAsia="宋体" w:cs="宋体"/>
                <w:b w:val="0"/>
                <w:bCs w:val="0"/>
                <w:color w:val="auto"/>
                <w:sz w:val="22"/>
                <w:szCs w:val="22"/>
                <w:highlight w:val="none"/>
                <w:lang w:val="en-US" w:eastAsia="zh-CN"/>
              </w:rPr>
            </w:pPr>
          </w:p>
        </w:tc>
        <w:tc>
          <w:tcPr>
            <w:tcW w:w="7217" w:type="dxa"/>
            <w:tcBorders>
              <w:top w:val="single" w:color="auto" w:sz="4" w:space="0"/>
              <w:left w:val="single" w:color="auto" w:sz="4" w:space="0"/>
              <w:bottom w:val="single" w:color="auto" w:sz="4" w:space="0"/>
              <w:right w:val="single" w:color="auto" w:sz="4" w:space="0"/>
            </w:tcBorders>
            <w:vAlign w:val="center"/>
          </w:tcPr>
          <w:p>
            <w:pPr>
              <w:keepNext/>
              <w:keepLines/>
              <w:pageBreakBefore w:val="0"/>
              <w:kinsoku/>
              <w:wordWrap/>
              <w:topLinePunct w:val="0"/>
              <w:bidi w:val="0"/>
              <w:spacing w:line="340" w:lineRule="exact"/>
              <w:ind w:left="0"/>
              <w:jc w:val="left"/>
              <w:outlineLvl w:val="1"/>
              <w:rPr>
                <w:rFonts w:hint="eastAsia" w:ascii="宋体" w:hAnsi="宋体" w:eastAsia="宋体" w:cs="宋体"/>
                <w:b/>
                <w:bCs/>
                <w:color w:val="auto"/>
                <w:sz w:val="22"/>
                <w:szCs w:val="22"/>
                <w:highlight w:val="none"/>
              </w:rPr>
            </w:pPr>
            <w:bookmarkStart w:id="116" w:name="_Toc6956"/>
            <w:r>
              <w:rPr>
                <w:rFonts w:hint="eastAsia" w:ascii="宋体" w:hAnsi="宋体" w:eastAsia="宋体" w:cs="宋体"/>
                <w:b/>
                <w:bCs/>
                <w:color w:val="auto"/>
                <w:sz w:val="22"/>
                <w:szCs w:val="22"/>
                <w:highlight w:val="none"/>
              </w:rPr>
              <w:t>一、设备主要用途及基本要求</w:t>
            </w:r>
            <w:bookmarkEnd w:id="116"/>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1.所投标</w:t>
            </w:r>
            <w:r>
              <w:rPr>
                <w:rFonts w:hint="eastAsia" w:ascii="宋体" w:hAnsi="宋体" w:cs="宋体"/>
                <w:color w:val="auto"/>
                <w:sz w:val="22"/>
                <w:szCs w:val="22"/>
                <w:highlight w:val="none"/>
                <w:lang w:eastAsia="zh-CN"/>
              </w:rPr>
              <w:t>微生物质谱检测系统</w:t>
            </w:r>
            <w:r>
              <w:rPr>
                <w:rFonts w:hint="eastAsia" w:ascii="宋体" w:hAnsi="宋体" w:eastAsia="宋体" w:cs="宋体"/>
                <w:color w:val="auto"/>
                <w:sz w:val="22"/>
                <w:szCs w:val="22"/>
                <w:highlight w:val="none"/>
              </w:rPr>
              <w:t>为桌面台式机，应用范围应包括对细菌、真菌的鉴定。</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2.可检测不同种类的化合物，包括蛋白质、核酸、脂质等样本。</w:t>
            </w:r>
          </w:p>
          <w:p>
            <w:pPr>
              <w:keepNext/>
              <w:keepLines/>
              <w:pageBreakBefore w:val="0"/>
              <w:kinsoku/>
              <w:wordWrap/>
              <w:topLinePunct w:val="0"/>
              <w:bidi w:val="0"/>
              <w:spacing w:line="340" w:lineRule="exact"/>
              <w:ind w:left="0"/>
              <w:jc w:val="left"/>
              <w:outlineLvl w:val="1"/>
              <w:rPr>
                <w:rFonts w:hint="eastAsia" w:ascii="宋体" w:hAnsi="宋体" w:eastAsia="宋体" w:cs="宋体"/>
                <w:b/>
                <w:bCs/>
                <w:color w:val="auto"/>
                <w:sz w:val="22"/>
                <w:szCs w:val="22"/>
                <w:highlight w:val="none"/>
              </w:rPr>
            </w:pPr>
            <w:bookmarkStart w:id="117" w:name="_Toc15428"/>
            <w:r>
              <w:rPr>
                <w:rFonts w:hint="eastAsia" w:ascii="宋体" w:hAnsi="宋体" w:eastAsia="宋体" w:cs="宋体"/>
                <w:b/>
                <w:bCs/>
                <w:color w:val="auto"/>
                <w:sz w:val="22"/>
                <w:szCs w:val="22"/>
                <w:highlight w:val="none"/>
              </w:rPr>
              <w:t>二、技术参数要求</w:t>
            </w:r>
            <w:bookmarkEnd w:id="117"/>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1.质谱仪硬件性能规格要求</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★1.1采用直线形飞行管，飞行管带有智能温度补偿功能，飞行管≥1米。</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1.2激光器：采用氮气激光器，波长需为337nm，频率在1-60Hz且可调，发射次数不低于4*10</w:t>
            </w:r>
            <w:r>
              <w:rPr>
                <w:rFonts w:hint="eastAsia" w:ascii="宋体" w:hAnsi="宋体" w:eastAsia="宋体" w:cs="宋体"/>
                <w:color w:val="auto"/>
                <w:sz w:val="22"/>
                <w:szCs w:val="22"/>
                <w:highlight w:val="none"/>
                <w:vertAlign w:val="superscript"/>
              </w:rPr>
              <w:t>8</w:t>
            </w:r>
            <w:r>
              <w:rPr>
                <w:rFonts w:hint="eastAsia" w:ascii="宋体" w:hAnsi="宋体" w:eastAsia="宋体" w:cs="宋体"/>
                <w:color w:val="auto"/>
                <w:sz w:val="22"/>
                <w:szCs w:val="22"/>
                <w:highlight w:val="none"/>
              </w:rPr>
              <w:t>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（提供仪器内部照片及产品规格书并盖章）。</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★1.3负离子检测功能：配备负离子检测模块，可进行脂质分析。</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▲1.4真空系统：前级泵应为整机内置无油隔膜泵，高真空泵应为分子涡轮泵，分子涡轮泵抽速不低于300L/S。</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1.5质谱仪从样品靶板放入质谱仪后到真空抽到3×10</w:t>
            </w:r>
            <w:r>
              <w:rPr>
                <w:rFonts w:hint="eastAsia" w:ascii="宋体" w:hAnsi="宋体" w:eastAsia="宋体" w:cs="宋体"/>
                <w:color w:val="auto"/>
                <w:sz w:val="22"/>
                <w:szCs w:val="22"/>
                <w:highlight w:val="none"/>
                <w:vertAlign w:val="superscript"/>
              </w:rPr>
              <w:t>-6</w:t>
            </w:r>
            <w:r>
              <w:rPr>
                <w:rFonts w:hint="eastAsia" w:ascii="宋体" w:hAnsi="宋体" w:eastAsia="宋体" w:cs="宋体"/>
                <w:color w:val="auto"/>
                <w:sz w:val="22"/>
                <w:szCs w:val="22"/>
                <w:highlight w:val="none"/>
              </w:rPr>
              <w:t>mbar以下所需时间＜50s。</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2.软件系统</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2.1具备数据采集和数据处理软件，微生物数据库的谱图离线分析处理及检索软件，谱图采集和鉴定检索在同一个软件内同步完成，无需切换软件。</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2.2操作界面：全中文界面，鉴定结果微生物名称中文和拉丁文同时给出，在线自动校准功能。</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★2.3鉴定结果：标配检索鉴定软件给出质谱鉴定结果的同时还可给出国家级出版社提供的的微生物形态学（平板菌落图及染色图）形态图以辅助鉴定结果。</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2.4聚类分析软件功能：聚类分析软件具备主成分分析功能和模拟凝胶图功能，具备PCoA、T-SNE分析功能，可用于微生物溯源分析、菌种分型以及蛋白表达差异分析等。</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★2.5能通过人工智能算法，对系统进行大样本量训练，构建微生物鉴定区分模型，进行李斯特复合群鉴定。</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3.数据库</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3.1为保障用户数据安全，必须具备本地微生物菌种数据库，鉴定菌种4000种以上</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可随时维护更新。</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3.2丝状真菌数据库超过350种。</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3.3特色数据库。</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★3.3.1具备20种以上施万菌数据库。</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★3.3.2分枝杆菌数据库≥170种，该分枝杆菌数据库建设工作参与过国家重大专项课题（</w:t>
            </w:r>
            <w:r>
              <w:rPr>
                <w:rFonts w:hint="eastAsia" w:ascii="宋体" w:hAnsi="宋体" w:eastAsia="宋体" w:cs="宋体"/>
                <w:b/>
                <w:bCs/>
                <w:color w:val="auto"/>
                <w:sz w:val="22"/>
                <w:szCs w:val="22"/>
                <w:highlight w:val="none"/>
                <w:lang w:val="en-US" w:eastAsia="zh-CN"/>
              </w:rPr>
              <w:t>投标时商务和技术文件中提供课题证明文件，否则视为负</w:t>
            </w:r>
            <w:r>
              <w:rPr>
                <w:rFonts w:hint="eastAsia" w:ascii="宋体" w:hAnsi="宋体" w:eastAsia="宋体" w:cs="宋体"/>
                <w:b/>
                <w:bCs/>
                <w:color w:val="auto"/>
                <w:sz w:val="22"/>
                <w:szCs w:val="22"/>
                <w:highlight w:val="none"/>
              </w:rPr>
              <w:t>偏离</w:t>
            </w:r>
            <w:r>
              <w:rPr>
                <w:rFonts w:hint="eastAsia" w:ascii="宋体" w:hAnsi="宋体" w:eastAsia="宋体" w:cs="宋体"/>
                <w:color w:val="auto"/>
                <w:sz w:val="22"/>
                <w:szCs w:val="22"/>
                <w:highlight w:val="none"/>
              </w:rPr>
              <w:t>）。</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4.检测性能</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4.1鉴定质量范围：1-500kDa；</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lang w:val="de-AT"/>
              </w:rPr>
            </w:pPr>
            <w:r>
              <w:rPr>
                <w:rFonts w:hint="eastAsia" w:ascii="宋体" w:hAnsi="宋体" w:eastAsia="宋体" w:cs="宋体"/>
                <w:color w:val="auto"/>
                <w:sz w:val="22"/>
                <w:szCs w:val="22"/>
                <w:highlight w:val="none"/>
                <w:lang w:val="de-AT"/>
              </w:rPr>
              <w:t>4.2</w:t>
            </w:r>
            <w:r>
              <w:rPr>
                <w:rFonts w:hint="eastAsia" w:ascii="宋体" w:hAnsi="宋体" w:eastAsia="宋体" w:cs="宋体"/>
                <w:color w:val="auto"/>
                <w:sz w:val="22"/>
                <w:szCs w:val="22"/>
                <w:highlight w:val="none"/>
              </w:rPr>
              <w:t>质量分辨率</w:t>
            </w:r>
            <w:r>
              <w:rPr>
                <w:rFonts w:hint="eastAsia" w:ascii="宋体" w:hAnsi="宋体" w:eastAsia="宋体" w:cs="宋体"/>
                <w:color w:val="auto"/>
                <w:sz w:val="22"/>
                <w:szCs w:val="22"/>
                <w:highlight w:val="none"/>
                <w:lang w:val="de-AT"/>
              </w:rPr>
              <w:t>（</w:t>
            </w:r>
            <w:r>
              <w:rPr>
                <w:rFonts w:hint="eastAsia" w:ascii="宋体" w:hAnsi="宋体" w:eastAsia="宋体" w:cs="宋体"/>
                <w:color w:val="auto"/>
                <w:sz w:val="22"/>
                <w:szCs w:val="22"/>
                <w:highlight w:val="none"/>
              </w:rPr>
              <w:t>线性模式</w:t>
            </w:r>
            <w:r>
              <w:rPr>
                <w:rFonts w:hint="eastAsia" w:ascii="宋体" w:hAnsi="宋体" w:eastAsia="宋体" w:cs="宋体"/>
                <w:color w:val="auto"/>
                <w:sz w:val="22"/>
                <w:szCs w:val="22"/>
                <w:highlight w:val="none"/>
                <w:lang w:val="de-AT"/>
              </w:rPr>
              <w:t>）：&gt;</w:t>
            </w:r>
            <w:r>
              <w:rPr>
                <w:rFonts w:hint="eastAsia" w:ascii="宋体" w:hAnsi="宋体" w:eastAsia="宋体" w:cs="宋体"/>
                <w:color w:val="auto"/>
                <w:sz w:val="22"/>
                <w:szCs w:val="22"/>
                <w:highlight w:val="none"/>
              </w:rPr>
              <w:t>3600</w:t>
            </w:r>
            <w:r>
              <w:rPr>
                <w:rFonts w:hint="eastAsia" w:ascii="宋体" w:hAnsi="宋体" w:eastAsia="宋体" w:cs="宋体"/>
                <w:color w:val="auto"/>
                <w:sz w:val="22"/>
                <w:szCs w:val="22"/>
                <w:highlight w:val="none"/>
                <w:lang w:val="de-AT"/>
              </w:rPr>
              <w:t>(FWHM)@Angiotensin</w:t>
            </w:r>
            <w:r>
              <w:rPr>
                <w:rFonts w:hint="eastAsia" w:ascii="宋体" w:hAnsi="宋体" w:eastAsia="宋体" w:cs="宋体"/>
                <w:color w:val="auto"/>
                <w:sz w:val="22"/>
                <w:szCs w:val="22"/>
                <w:highlight w:val="none"/>
              </w:rPr>
              <w:t>。</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lang w:val="de-AT"/>
              </w:rPr>
            </w:pPr>
            <w:r>
              <w:rPr>
                <w:rFonts w:hint="eastAsia" w:ascii="宋体" w:hAnsi="宋体" w:eastAsia="宋体" w:cs="宋体"/>
                <w:color w:val="auto"/>
                <w:sz w:val="22"/>
                <w:szCs w:val="22"/>
                <w:highlight w:val="none"/>
                <w:lang w:val="de-AT"/>
              </w:rPr>
              <w:t>4.3</w:t>
            </w:r>
            <w:r>
              <w:rPr>
                <w:rFonts w:hint="eastAsia" w:ascii="宋体" w:hAnsi="宋体" w:eastAsia="宋体" w:cs="宋体"/>
                <w:color w:val="auto"/>
                <w:sz w:val="22"/>
                <w:szCs w:val="22"/>
                <w:highlight w:val="none"/>
              </w:rPr>
              <w:t>鉴定灵敏度</w:t>
            </w:r>
            <w:r>
              <w:rPr>
                <w:rFonts w:hint="eastAsia" w:ascii="宋体" w:hAnsi="宋体" w:eastAsia="宋体" w:cs="宋体"/>
                <w:color w:val="auto"/>
                <w:sz w:val="22"/>
                <w:szCs w:val="22"/>
                <w:highlight w:val="none"/>
                <w:lang w:val="de-AT"/>
              </w:rPr>
              <w:t>：</w:t>
            </w:r>
            <w:r>
              <w:rPr>
                <w:rFonts w:hint="eastAsia" w:ascii="宋体" w:hAnsi="宋体" w:eastAsia="宋体" w:cs="宋体"/>
                <w:color w:val="auto"/>
                <w:sz w:val="22"/>
                <w:szCs w:val="22"/>
                <w:highlight w:val="none"/>
              </w:rPr>
              <w:t>胰岛素（50</w:t>
            </w:r>
            <w:r>
              <w:rPr>
                <w:rFonts w:hint="eastAsia" w:ascii="宋体" w:hAnsi="宋体" w:eastAsia="宋体" w:cs="宋体"/>
                <w:color w:val="auto"/>
                <w:sz w:val="22"/>
                <w:szCs w:val="22"/>
                <w:highlight w:val="none"/>
                <w:lang w:val="de-AT"/>
              </w:rPr>
              <w:t>fmol/uL</w:t>
            </w:r>
            <w:r>
              <w:rPr>
                <w:rFonts w:hint="eastAsia" w:ascii="宋体" w:hAnsi="宋体" w:eastAsia="宋体" w:cs="宋体"/>
                <w:color w:val="auto"/>
                <w:sz w:val="22"/>
                <w:szCs w:val="22"/>
                <w:highlight w:val="none"/>
              </w:rPr>
              <w:t>)信噪比</w:t>
            </w:r>
            <w:r>
              <w:rPr>
                <w:rFonts w:hint="eastAsia" w:ascii="宋体" w:hAnsi="宋体" w:eastAsia="宋体" w:cs="宋体"/>
                <w:color w:val="auto"/>
                <w:sz w:val="22"/>
                <w:szCs w:val="22"/>
                <w:highlight w:val="none"/>
                <w:lang w:val="de-AT"/>
              </w:rPr>
              <w:t>≥</w:t>
            </w: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de-AT"/>
              </w:rPr>
              <w:t>00∶1。</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lang w:val="de-AT"/>
              </w:rPr>
            </w:pPr>
            <w:r>
              <w:rPr>
                <w:rFonts w:hint="eastAsia" w:ascii="宋体" w:hAnsi="宋体" w:eastAsia="宋体" w:cs="宋体"/>
                <w:color w:val="auto"/>
                <w:sz w:val="22"/>
                <w:szCs w:val="22"/>
                <w:highlight w:val="none"/>
                <w:lang w:val="de-AT"/>
              </w:rPr>
              <w:t>4.4</w:t>
            </w:r>
            <w:r>
              <w:rPr>
                <w:rFonts w:hint="eastAsia" w:ascii="宋体" w:hAnsi="宋体" w:eastAsia="宋体" w:cs="宋体"/>
                <w:color w:val="auto"/>
                <w:sz w:val="22"/>
                <w:szCs w:val="22"/>
                <w:highlight w:val="none"/>
              </w:rPr>
              <w:t>质量准确度</w:t>
            </w:r>
            <w:r>
              <w:rPr>
                <w:rFonts w:hint="eastAsia" w:ascii="宋体" w:hAnsi="宋体" w:eastAsia="宋体" w:cs="宋体"/>
                <w:color w:val="auto"/>
                <w:sz w:val="22"/>
                <w:szCs w:val="22"/>
                <w:highlight w:val="none"/>
                <w:lang w:val="de-AT"/>
              </w:rPr>
              <w:t>：≤100ppm(</w:t>
            </w:r>
            <w:r>
              <w:rPr>
                <w:rFonts w:hint="eastAsia" w:ascii="宋体" w:hAnsi="宋体" w:eastAsia="宋体" w:cs="宋体"/>
                <w:color w:val="auto"/>
                <w:sz w:val="22"/>
                <w:szCs w:val="22"/>
                <w:highlight w:val="none"/>
              </w:rPr>
              <w:t>外校准</w:t>
            </w:r>
            <w:r>
              <w:rPr>
                <w:rFonts w:hint="eastAsia" w:ascii="宋体" w:hAnsi="宋体" w:eastAsia="宋体" w:cs="宋体"/>
                <w:color w:val="auto"/>
                <w:sz w:val="22"/>
                <w:szCs w:val="22"/>
                <w:highlight w:val="none"/>
                <w:lang w:val="de-AT"/>
              </w:rPr>
              <w:t>)</w:t>
            </w:r>
            <w:r>
              <w:rPr>
                <w:rFonts w:hint="eastAsia" w:ascii="宋体" w:hAnsi="宋体" w:eastAsia="宋体" w:cs="宋体"/>
                <w:color w:val="auto"/>
                <w:sz w:val="22"/>
                <w:szCs w:val="22"/>
                <w:highlight w:val="none"/>
              </w:rPr>
              <w:t>质量准确度</w:t>
            </w:r>
            <w:r>
              <w:rPr>
                <w:rFonts w:hint="eastAsia" w:ascii="宋体" w:hAnsi="宋体" w:eastAsia="宋体" w:cs="宋体"/>
                <w:color w:val="auto"/>
                <w:sz w:val="22"/>
                <w:szCs w:val="22"/>
                <w:highlight w:val="none"/>
                <w:lang w:val="de-AT"/>
              </w:rPr>
              <w:t>：≤</w:t>
            </w: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de-AT"/>
              </w:rPr>
              <w:t>0ppm（</w:t>
            </w:r>
            <w:r>
              <w:rPr>
                <w:rFonts w:hint="eastAsia" w:ascii="宋体" w:hAnsi="宋体" w:eastAsia="宋体" w:cs="宋体"/>
                <w:color w:val="auto"/>
                <w:sz w:val="22"/>
                <w:szCs w:val="22"/>
                <w:highlight w:val="none"/>
              </w:rPr>
              <w:t>内校准</w:t>
            </w:r>
            <w:r>
              <w:rPr>
                <w:rFonts w:hint="eastAsia" w:ascii="宋体" w:hAnsi="宋体" w:eastAsia="宋体" w:cs="宋体"/>
                <w:color w:val="auto"/>
                <w:sz w:val="22"/>
                <w:szCs w:val="22"/>
                <w:highlight w:val="none"/>
                <w:lang w:val="de-AT"/>
              </w:rPr>
              <w:t>）。</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5.相关试剂：</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5.1提供微生物质谱基质试剂，为无需配制可直接使用的稳定液体剂型，可室温保存，且取得临床注册证。</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5.2为保障分析准确性，具备与质谱仪同一品牌的血培养阳性样本质谱鉴定前处理试剂，且取得临床注册证。</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5.3霉菌快速前处理试剂</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提供与仪器同一品牌可用于霉菌快速前处理的试剂以及相应方法建库的霉菌数据库，单个样品完整前处理时间小于3分钟，且取得临床注册证。</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6.可提供同品牌重复使用不锈钢靶板和一次性硅基靶板，满足不同用户需求。</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lang w:val="de-AT"/>
              </w:rPr>
            </w:pPr>
            <w:r>
              <w:rPr>
                <w:rFonts w:hint="eastAsia" w:ascii="宋体" w:hAnsi="宋体" w:eastAsia="宋体" w:cs="宋体"/>
                <w:color w:val="auto"/>
                <w:sz w:val="22"/>
                <w:szCs w:val="22"/>
                <w:highlight w:val="none"/>
              </w:rPr>
              <w:t>7.仪器具备糖化血红蛋白检测功能，变异系数CV＜5%。</w:t>
            </w:r>
          </w:p>
          <w:p>
            <w:pPr>
              <w:keepNext/>
              <w:keepLines/>
              <w:pageBreakBefore w:val="0"/>
              <w:kinsoku/>
              <w:wordWrap/>
              <w:topLinePunct w:val="0"/>
              <w:bidi w:val="0"/>
              <w:spacing w:line="340" w:lineRule="exact"/>
              <w:ind w:left="0"/>
              <w:jc w:val="left"/>
              <w:outlineLvl w:val="1"/>
              <w:rPr>
                <w:rFonts w:hint="eastAsia" w:ascii="宋体" w:hAnsi="宋体" w:eastAsia="宋体" w:cs="宋体"/>
                <w:b/>
                <w:bCs/>
                <w:color w:val="auto"/>
                <w:sz w:val="22"/>
                <w:szCs w:val="22"/>
                <w:highlight w:val="none"/>
              </w:rPr>
            </w:pPr>
            <w:bookmarkStart w:id="118" w:name="_Toc23391"/>
            <w:r>
              <w:rPr>
                <w:rFonts w:hint="eastAsia" w:ascii="宋体" w:hAnsi="宋体" w:eastAsia="宋体" w:cs="宋体"/>
                <w:b/>
                <w:bCs/>
                <w:color w:val="auto"/>
                <w:sz w:val="22"/>
                <w:szCs w:val="22"/>
                <w:highlight w:val="none"/>
              </w:rPr>
              <w:t>三、配置清单</w:t>
            </w:r>
            <w:bookmarkEnd w:id="118"/>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微生物质谱检测系统</w:t>
            </w:r>
            <w:r>
              <w:rPr>
                <w:rFonts w:hint="eastAsia" w:ascii="宋体" w:hAnsi="宋体" w:eastAsia="宋体" w:cs="宋体"/>
                <w:color w:val="auto"/>
                <w:sz w:val="22"/>
                <w:szCs w:val="22"/>
                <w:highlight w:val="none"/>
              </w:rPr>
              <w:t>主机：1台</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2.配备重复样品靶托1块及重复性靶片2块</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.配套离心机1台，移液枪1把，枪头1包，超声清洗仪1台</w:t>
            </w:r>
          </w:p>
          <w:p>
            <w:pPr>
              <w:pageBreakBefore w:val="0"/>
              <w:kinsoku/>
              <w:wordWrap/>
              <w:topLinePunct w:val="0"/>
              <w:bidi w:val="0"/>
              <w:spacing w:line="340" w:lineRule="exact"/>
              <w:ind w:left="0"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.提供仪器配套试剂100人份</w:t>
            </w:r>
          </w:p>
          <w:p>
            <w:pPr>
              <w:pageBreakBefore w:val="0"/>
              <w:kinsoku/>
              <w:wordWrap/>
              <w:topLinePunct w:val="0"/>
              <w:bidi w:val="0"/>
              <w:spacing w:line="340" w:lineRule="exact"/>
              <w:ind w:left="0"/>
              <w:rPr>
                <w:rFonts w:hint="eastAsia" w:ascii="宋体" w:hAnsi="宋体" w:eastAsia="宋体" w:cs="宋体"/>
                <w:b w:val="0"/>
                <w:bCs w:val="0"/>
                <w:color w:val="auto"/>
                <w:kern w:val="2"/>
                <w:sz w:val="22"/>
                <w:szCs w:val="22"/>
                <w:highlight w:val="none"/>
                <w:lang w:val="en-US" w:eastAsia="zh-CN" w:bidi="ar-SA"/>
              </w:rPr>
            </w:pPr>
            <w:bookmarkStart w:id="119" w:name="_Toc30487"/>
            <w:r>
              <w:rPr>
                <w:rFonts w:hint="eastAsia" w:ascii="宋体" w:hAnsi="宋体" w:eastAsia="宋体" w:cs="宋体"/>
                <w:b/>
                <w:bCs/>
                <w:color w:val="auto"/>
                <w:sz w:val="22"/>
                <w:szCs w:val="22"/>
                <w:highlight w:val="none"/>
              </w:rPr>
              <w:t>四、</w:t>
            </w:r>
            <w:bookmarkEnd w:id="119"/>
            <w:r>
              <w:rPr>
                <w:rFonts w:hint="eastAsia" w:ascii="宋体" w:hAnsi="宋体" w:eastAsia="宋体" w:cs="宋体"/>
                <w:color w:val="auto"/>
                <w:sz w:val="22"/>
                <w:szCs w:val="22"/>
                <w:highlight w:val="none"/>
              </w:rPr>
              <w:t>数据库、软件终身免费升级到最新版本。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9</w:t>
            </w:r>
          </w:p>
        </w:tc>
        <w:tc>
          <w:tcPr>
            <w:tcW w:w="1424"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eastAsia="zh-CN"/>
              </w:rPr>
              <w:t>全自动洗瓶机</w:t>
            </w:r>
          </w:p>
        </w:tc>
        <w:tc>
          <w:tcPr>
            <w:tcW w:w="721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用途：用于实验室玻璃、陶瓷、金属或塑料等材质的器皿、器具、器械的清洗。适用于有机残留物、无机残留物、油脂类残留物和化工类残留物的容量瓶，进样小瓶，广口瓶、三角瓶、量筒、鸡心瓶、比色管、培养皿、试管、移液管等全自动清洗和烘干。</w:t>
            </w:r>
          </w:p>
          <w:p>
            <w:pPr>
              <w:pageBreakBefore w:val="0"/>
              <w:kinsoku/>
              <w:wordWrap/>
              <w:topLinePunct w:val="0"/>
              <w:bidi w:val="0"/>
              <w:spacing w:line="340" w:lineRule="exact"/>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器皿内部漂洗水与原纯水差值TOC&lt;50ppb</w:t>
            </w:r>
          </w:p>
          <w:p>
            <w:pPr>
              <w:pageBreakBefore w:val="0"/>
              <w:kinsoku/>
              <w:wordWrap/>
              <w:topLinePunct w:val="0"/>
              <w:bidi w:val="0"/>
              <w:spacing w:line="340" w:lineRule="exact"/>
              <w:jc w:val="left"/>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清洗后的颗粒物残留≤0.003mg/L</w:t>
            </w:r>
          </w:p>
          <w:p>
            <w:pPr>
              <w:pageBreakBefore w:val="0"/>
              <w:kinsoku/>
              <w:wordWrap/>
              <w:topLinePunct w:val="0"/>
              <w:bidi w:val="0"/>
              <w:spacing w:line="340" w:lineRule="exact"/>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、基本技术参数的要求：</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（1）清洗腔容积：≥202L；功率：4KW/9KW可选</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（2）进水要求：满足自来水和纯水两条进水管；电源：220V/380V可选</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（3）循环系统流速：0-600L/min，具有流速变频调节功能，内置程序可自行设定循环泵频率；</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（4）内胆采用316L镜面不锈钢材质压膜工艺，外壳采用304拉丝不锈钢或喷塑工艺；延长使用寿命</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（5）至少35个标准程序和100个自定义程序</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（6）仪器外形尺寸：（高度×宽度×深度）≤100*93*75cm</w:t>
            </w:r>
          </w:p>
          <w:p>
            <w:pPr>
              <w:pageBreakBefore w:val="0"/>
              <w:kinsoku/>
              <w:wordWrap/>
              <w:topLinePunct w:val="0"/>
              <w:bidi w:val="0"/>
              <w:spacing w:line="340" w:lineRule="exact"/>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、清洗能力的技术要求</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（1）可清洗25ml容量瓶≥260位</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（2）单次可清洗进样小瓶≥475位</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（3）单次可清洗移液管≥238位</w:t>
            </w:r>
          </w:p>
          <w:p>
            <w:pPr>
              <w:pageBreakBefore w:val="0"/>
              <w:kinsoku/>
              <w:wordWrap/>
              <w:topLinePunct w:val="0"/>
              <w:bidi w:val="0"/>
              <w:spacing w:line="340" w:lineRule="exact"/>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lang w:eastAsia="zh-CN"/>
              </w:rPr>
              <w:t>、主要功能和技术要求</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（1）OLED模块彩色显示屏，带延时启动和定时关机功能；中、英、俄文菜单操作界面，多级密码保护；预约和定时清洗功能。</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（2）采用不锈钢金属防水实体按键操作，不接受触摸屏设计（防止手湿或戴手套操作不灵敏误操作）；防水等级：IP65；且控制面板上须有程序选择快捷键不少于三个，并至少支持中、英、俄三种语言。</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（3）标配内嵌双真空可视窗，隔声阻热，腔体内并有LED灯光控制，可直观清洗过程。</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4）前载开门方式，门板操作台采用整块316L不锈钢一体压膜成型，清洗腔体底部须为斜坡设计，以达到彻底快速排水，不接受不锈钢管焊接拼接的方式，防止钢管拼接达不到密封引起残留水排放不彻底影响清洗结果。</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（5）管道式加热系统，高温循环加热，极速升温、节能效果好，可快速达到95℃以上，控温精度可达±1℃。</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（6）清洗过程中无法开启舱门，清洗完成后，设备自动开门到指定位置并实现自动降温散温效果，防止高温熏烫伤。</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（7）自动感应门系统，感应关门指令后自动关闭舱门，无需手动推送或重力关门方式。</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（8）可以任意设置清洗完成后自动开启舱门或手动开启舱门两种开门方式。</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（9）背部双出水口自动连接方式，满足上下两层4通道进水清洗的需求，各出水口带有自动闭合结构机械阀装置。</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（10）2层四模块篮架组合设计，内置篮架均可自由互换，篮架与篮筐为快插式连接，操作简单便捷。</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（11）设备自带篮架识别功能，有效节水、节电、节耗材，提供清洗效率；配有清洗篮架位置监控装置。</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（12）设备外接水连接处应配备自动电磁阀，带防泄漏监测阀，仪器遇故障电磁阀自动关闭。</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（13）循环系统配备压力监测和防泡沫清洗技术；喷淋系统带转速监测，转速范围可设置，遇障碍报警。</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（14）内腔应配备水过滤系统，且过滤系统须带有囊式垃圾收集杯，方便清洁。</w:t>
            </w:r>
          </w:p>
          <w:p>
            <w:pPr>
              <w:pageBreakBefore w:val="0"/>
              <w:kinsoku/>
              <w:wordWrap/>
              <w:topLinePunct w:val="0"/>
              <w:bidi w:val="0"/>
              <w:spacing w:line="340" w:lineRule="exact"/>
              <w:ind w:firstLine="220" w:firstLineChars="1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（15）干燥系统：双层HEPA过滤网棉，进一步保证烘干过程中的空气纯度，仪器带有HEPA过滤网棉失效报警提示，干燥时间和温度可调，配有烘干进风监控装置。</w:t>
            </w:r>
          </w:p>
          <w:p>
            <w:pPr>
              <w:pageBreakBefore w:val="0"/>
              <w:kinsoku/>
              <w:wordWrap/>
              <w:topLinePunct w:val="0"/>
              <w:bidi w:val="0"/>
              <w:spacing w:line="340" w:lineRule="exact"/>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lang w:eastAsia="zh-CN"/>
              </w:rPr>
              <w:t>、配置</w:t>
            </w:r>
          </w:p>
          <w:p>
            <w:pPr>
              <w:pageBreakBefore w:val="0"/>
              <w:kinsoku/>
              <w:wordWrap/>
              <w:topLinePunct w:val="0"/>
              <w:bidi w:val="0"/>
              <w:spacing w:line="340" w:lineRule="exact"/>
              <w:ind w:left="0" w:firstLine="440" w:firstLineChars="2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lang w:eastAsia="zh-CN"/>
              </w:rPr>
              <w:t>1.全自动洗瓶机主机1台</w:t>
            </w:r>
          </w:p>
          <w:p>
            <w:pPr>
              <w:pageBreakBefore w:val="0"/>
              <w:kinsoku/>
              <w:wordWrap/>
              <w:topLinePunct w:val="0"/>
              <w:bidi w:val="0"/>
              <w:spacing w:line="340" w:lineRule="exact"/>
              <w:ind w:left="0" w:firstLine="440" w:firstLineChars="2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lang w:eastAsia="zh-CN"/>
              </w:rPr>
              <w:t>2.上层模组篮筐1个</w:t>
            </w:r>
          </w:p>
          <w:p>
            <w:pPr>
              <w:pageBreakBefore w:val="0"/>
              <w:kinsoku/>
              <w:wordWrap/>
              <w:topLinePunct w:val="0"/>
              <w:bidi w:val="0"/>
              <w:spacing w:line="340" w:lineRule="exact"/>
              <w:ind w:left="0" w:firstLine="440" w:firstLineChars="2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lang w:eastAsia="zh-CN"/>
              </w:rPr>
              <w:t>3.下层模组篮筐1个</w:t>
            </w:r>
          </w:p>
          <w:p>
            <w:pPr>
              <w:pageBreakBefore w:val="0"/>
              <w:kinsoku/>
              <w:wordWrap/>
              <w:topLinePunct w:val="0"/>
              <w:bidi w:val="0"/>
              <w:spacing w:line="340" w:lineRule="exact"/>
              <w:ind w:left="0" w:firstLine="440" w:firstLineChars="2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lang w:eastAsia="zh-CN"/>
              </w:rPr>
              <w:t>4.注射式清洗模块1套</w:t>
            </w:r>
          </w:p>
          <w:p>
            <w:pPr>
              <w:pageBreakBefore w:val="0"/>
              <w:kinsoku/>
              <w:wordWrap/>
              <w:topLinePunct w:val="0"/>
              <w:bidi w:val="0"/>
              <w:spacing w:line="340" w:lineRule="exact"/>
              <w:ind w:left="0" w:firstLine="440" w:firstLineChars="2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lang w:eastAsia="zh-CN"/>
              </w:rPr>
              <w:t>5.半筐架1个</w:t>
            </w:r>
          </w:p>
          <w:p>
            <w:pPr>
              <w:pageBreakBefore w:val="0"/>
              <w:kinsoku/>
              <w:wordWrap/>
              <w:topLinePunct w:val="0"/>
              <w:bidi w:val="0"/>
              <w:spacing w:line="340" w:lineRule="exact"/>
              <w:ind w:left="0" w:firstLine="440" w:firstLineChars="2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lang w:eastAsia="zh-CN"/>
              </w:rPr>
              <w:t>6.四分之一压盖2个</w:t>
            </w:r>
          </w:p>
          <w:p>
            <w:pPr>
              <w:pageBreakBefore w:val="0"/>
              <w:kinsoku/>
              <w:wordWrap/>
              <w:topLinePunct w:val="0"/>
              <w:bidi w:val="0"/>
              <w:spacing w:line="340" w:lineRule="exact"/>
              <w:ind w:left="0" w:firstLine="440" w:firstLineChars="2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lang w:eastAsia="zh-CN"/>
              </w:rPr>
              <w:t>7.纯水恒压系统1套</w:t>
            </w:r>
          </w:p>
          <w:p>
            <w:pPr>
              <w:pageBreakBefore w:val="0"/>
              <w:kinsoku/>
              <w:wordWrap/>
              <w:topLinePunct w:val="0"/>
              <w:bidi w:val="0"/>
              <w:spacing w:line="340" w:lineRule="exact"/>
              <w:ind w:left="0" w:firstLine="440" w:firstLineChars="2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lang w:eastAsia="zh-CN"/>
              </w:rPr>
              <w:t>8.碱性清洗剂</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桶</w:t>
            </w:r>
          </w:p>
          <w:p>
            <w:pPr>
              <w:pageBreakBefore w:val="0"/>
              <w:kinsoku/>
              <w:wordWrap/>
              <w:topLinePunct w:val="0"/>
              <w:bidi w:val="0"/>
              <w:spacing w:line="340" w:lineRule="exact"/>
              <w:ind w:left="0" w:firstLine="440" w:firstLineChars="200"/>
              <w:jc w:val="left"/>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lang w:eastAsia="zh-CN"/>
              </w:rPr>
              <w:t>9.酸性清洗剂</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10</w:t>
            </w:r>
          </w:p>
        </w:tc>
        <w:tc>
          <w:tcPr>
            <w:tcW w:w="1424" w:type="dxa"/>
            <w:tcBorders>
              <w:top w:val="single" w:color="auto" w:sz="4" w:space="0"/>
              <w:left w:val="single" w:color="auto" w:sz="4" w:space="0"/>
              <w:bottom w:val="single" w:color="auto" w:sz="4" w:space="0"/>
              <w:right w:val="single" w:color="auto" w:sz="4" w:space="0"/>
            </w:tcBorders>
            <w:vAlign w:val="center"/>
          </w:tcPr>
          <w:p>
            <w:pPr>
              <w:pStyle w:val="29"/>
              <w:pageBreakBefore w:val="0"/>
              <w:kinsoku/>
              <w:wordWrap/>
              <w:topLinePunct w:val="0"/>
              <w:bidi w:val="0"/>
              <w:spacing w:before="0" w:after="0" w:line="340" w:lineRule="exact"/>
              <w:ind w:left="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全自动高锰酸盐指数分析仪</w:t>
            </w:r>
          </w:p>
          <w:p>
            <w:pPr>
              <w:pageBreakBefore w:val="0"/>
              <w:kinsoku/>
              <w:wordWrap/>
              <w:topLinePunct w:val="0"/>
              <w:bidi w:val="0"/>
              <w:spacing w:line="340" w:lineRule="exact"/>
              <w:ind w:left="0"/>
              <w:jc w:val="center"/>
              <w:rPr>
                <w:rFonts w:hint="eastAsia" w:ascii="宋体" w:hAnsi="宋体" w:eastAsia="宋体" w:cs="宋体"/>
                <w:b w:val="0"/>
                <w:bCs w:val="0"/>
                <w:color w:val="auto"/>
                <w:sz w:val="22"/>
                <w:szCs w:val="22"/>
                <w:highlight w:val="none"/>
                <w:lang w:val="en-US" w:eastAsia="zh-CN"/>
              </w:rPr>
            </w:pPr>
          </w:p>
        </w:tc>
        <w:tc>
          <w:tcPr>
            <w:tcW w:w="7217"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0"/>
              </w:numPr>
              <w:kinsoku/>
              <w:wordWrap/>
              <w:topLinePunct w:val="0"/>
              <w:bidi w:val="0"/>
              <w:spacing w:line="340" w:lineRule="exact"/>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仪器适用完全符合GB11892-89、GB/T 5750.7-2006标准方法的规定，仪器适用于</w:t>
            </w:r>
            <w:r>
              <w:rPr>
                <w:rFonts w:hint="eastAsia" w:ascii="宋体" w:hAnsi="宋体" w:eastAsia="宋体" w:cs="宋体"/>
                <w:color w:val="auto"/>
                <w:sz w:val="22"/>
                <w:szCs w:val="22"/>
                <w:highlight w:val="none"/>
                <w:lang w:val="en-US" w:eastAsia="zh-CN"/>
              </w:rPr>
              <w:t>生活</w:t>
            </w:r>
            <w:r>
              <w:rPr>
                <w:rFonts w:hint="eastAsia" w:ascii="宋体" w:hAnsi="宋体" w:eastAsia="宋体" w:cs="宋体"/>
                <w:color w:val="auto"/>
                <w:sz w:val="22"/>
                <w:szCs w:val="22"/>
                <w:highlight w:val="none"/>
              </w:rPr>
              <w:t>饮用水、水源水和地面水的高锰酸盐指数测定，测定范围为0.5~5.0mg/L。</w:t>
            </w:r>
            <w:r>
              <w:rPr>
                <w:rFonts w:hint="eastAsia" w:ascii="宋体" w:hAnsi="宋体" w:eastAsia="宋体" w:cs="宋体"/>
                <w:color w:val="auto"/>
                <w:sz w:val="22"/>
                <w:szCs w:val="22"/>
                <w:highlight w:val="none"/>
                <w:lang w:val="en-US" w:eastAsia="zh-CN"/>
              </w:rPr>
              <w:t>还可测定硬度以及食用盐中碘。</w:t>
            </w:r>
          </w:p>
          <w:p>
            <w:pPr>
              <w:pageBreakBefore w:val="0"/>
              <w:widowControl/>
              <w:kinsoku/>
              <w:wordWrap/>
              <w:topLinePunct w:val="0"/>
              <w:bidi w:val="0"/>
              <w:spacing w:line="340" w:lineRule="exact"/>
              <w:ind w:left="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采用三维机械臂技术，可实现不同位置样品的准确抓取和释放</w:t>
            </w:r>
            <w:r>
              <w:rPr>
                <w:rFonts w:hint="eastAsia" w:ascii="宋体" w:hAnsi="宋体" w:eastAsia="宋体" w:cs="宋体"/>
                <w:color w:val="auto"/>
                <w:sz w:val="22"/>
                <w:szCs w:val="22"/>
                <w:highlight w:val="none"/>
                <w:lang w:eastAsia="zh-CN"/>
              </w:rPr>
              <w:t>。</w:t>
            </w:r>
          </w:p>
          <w:p>
            <w:pPr>
              <w:pageBreakBefore w:val="0"/>
              <w:widowControl/>
              <w:kinsoku/>
              <w:wordWrap/>
              <w:topLinePunct w:val="0"/>
              <w:bidi w:val="0"/>
              <w:spacing w:line="340" w:lineRule="exact"/>
              <w:ind w:lef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仪器的消解单元包括12位微沸水浴及水浴补水系统。采用微沸循环水浴消解，自动开合盖设计，有效防止水蒸气外逸，无需额外配置通风系统。</w:t>
            </w:r>
          </w:p>
          <w:p>
            <w:pPr>
              <w:pageBreakBefore w:val="0"/>
              <w:widowControl/>
              <w:kinsoku/>
              <w:wordWrap/>
              <w:topLinePunct w:val="0"/>
              <w:bidi w:val="0"/>
              <w:spacing w:line="340" w:lineRule="exact"/>
              <w:ind w:lef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具备自动给排水功能，消解过程无需人为干预，仪器运行过程，自动给排水装置持续工作，维持水浴液位。</w:t>
            </w:r>
          </w:p>
          <w:p>
            <w:pPr>
              <w:pageBreakBefore w:val="0"/>
              <w:widowControl/>
              <w:kinsoku/>
              <w:wordWrap/>
              <w:topLinePunct w:val="0"/>
              <w:bidi w:val="0"/>
              <w:spacing w:line="340" w:lineRule="exact"/>
              <w:ind w:lef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水浴缺液报警及保护，具有水浴防干烧功能，水浴内置液位传感器，低于指定液位，仪器不执行加热操作。</w:t>
            </w:r>
          </w:p>
          <w:p>
            <w:pPr>
              <w:pageBreakBefore w:val="0"/>
              <w:widowControl/>
              <w:kinsoku/>
              <w:wordWrap/>
              <w:topLinePunct w:val="0"/>
              <w:bidi w:val="0"/>
              <w:spacing w:line="340" w:lineRule="exact"/>
              <w:ind w:lef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温度接近设定温度时小功率加热，温度差相差较大时采用大功率加热，温度波动幅度小，可靠性较强。</w:t>
            </w:r>
          </w:p>
          <w:p>
            <w:pPr>
              <w:pageBreakBefore w:val="0"/>
              <w:widowControl/>
              <w:kinsoku/>
              <w:wordWrap/>
              <w:topLinePunct w:val="0"/>
              <w:bidi w:val="0"/>
              <w:spacing w:line="340" w:lineRule="exact"/>
              <w:ind w:lef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7</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高灵敏度的检测单元，包含</w:t>
            </w:r>
            <w:r>
              <w:rPr>
                <w:rFonts w:hint="eastAsia" w:ascii="宋体" w:hAnsi="宋体" w:cs="宋体"/>
                <w:color w:val="auto"/>
                <w:sz w:val="22"/>
                <w:szCs w:val="22"/>
                <w:highlight w:val="none"/>
                <w:lang w:val="en-US" w:eastAsia="zh-CN"/>
              </w:rPr>
              <w:t>不少于</w:t>
            </w:r>
            <w:r>
              <w:rPr>
                <w:rFonts w:hint="eastAsia" w:ascii="宋体" w:hAnsi="宋体" w:eastAsia="宋体" w:cs="宋体"/>
                <w:color w:val="auto"/>
                <w:sz w:val="22"/>
                <w:szCs w:val="22"/>
                <w:highlight w:val="none"/>
              </w:rPr>
              <w:t>2个相互独立的检测通道，可快速准确地判断滴定终点。检测位均配备样品杯探测传感器，防止试剂腐蚀仪器。</w:t>
            </w:r>
          </w:p>
          <w:p>
            <w:pPr>
              <w:pageBreakBefore w:val="0"/>
              <w:widowControl/>
              <w:kinsoku/>
              <w:wordWrap/>
              <w:topLinePunct w:val="0"/>
              <w:bidi w:val="0"/>
              <w:spacing w:line="340" w:lineRule="exact"/>
              <w:ind w:lef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试剂添加单元包含出口管路和入口管路、5个加液泵、2个高精度滴定泵。出口管路和入口管路采用FEP全化学惰性透明管；其高透明度利于观察管路内部化学试剂输送情况；该材质耐化学性优异，对大多数化学品和溶剂具有化学惰性。</w:t>
            </w:r>
          </w:p>
          <w:p>
            <w:pPr>
              <w:pageBreakBefore w:val="0"/>
              <w:widowControl/>
              <w:kinsoku/>
              <w:wordWrap/>
              <w:topLinePunct w:val="0"/>
              <w:bidi w:val="0"/>
              <w:spacing w:line="340" w:lineRule="exact"/>
              <w:ind w:left="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9</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不少于60位样品盘，用于放置待测样品；设有一个加液位（带搅拌器）</w:t>
            </w:r>
            <w:r>
              <w:rPr>
                <w:rFonts w:hint="eastAsia" w:ascii="宋体" w:hAnsi="宋体" w:eastAsia="宋体" w:cs="宋体"/>
                <w:color w:val="auto"/>
                <w:sz w:val="22"/>
                <w:szCs w:val="22"/>
                <w:highlight w:val="none"/>
                <w:lang w:eastAsia="zh-CN"/>
              </w:rPr>
              <w:t>。</w:t>
            </w:r>
          </w:p>
          <w:p>
            <w:pPr>
              <w:pageBreakBefore w:val="0"/>
              <w:widowControl/>
              <w:kinsoku/>
              <w:wordWrap/>
              <w:topLinePunct w:val="0"/>
              <w:bidi w:val="0"/>
              <w:spacing w:line="340" w:lineRule="exact"/>
              <w:ind w:lef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仪器工作过程无需人工干预，自动完成试剂添加、水浴加热、颜色滴定、自动分析并计算结果。</w:t>
            </w:r>
          </w:p>
          <w:p>
            <w:pPr>
              <w:pageBreakBefore w:val="0"/>
              <w:widowControl/>
              <w:kinsoku/>
              <w:wordWrap/>
              <w:topLinePunct w:val="0"/>
              <w:bidi w:val="0"/>
              <w:spacing w:line="340" w:lineRule="exact"/>
              <w:ind w:lef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工作站自动控制系统对全部工作站功能操作进行控制，软件运行于Windows操作系统，工作界面友好。软件按照功能提供优化操作条件，用户通过选择可实现自动完成全部样品预处理及检测过程。支持不停机状态循环添加样品，可根据需求定制分析报告，测试数据支持Excel格式导出。</w:t>
            </w:r>
          </w:p>
          <w:p>
            <w:pPr>
              <w:pageBreakBefore w:val="0"/>
              <w:widowControl/>
              <w:kinsoku/>
              <w:wordWrap/>
              <w:topLinePunct w:val="0"/>
              <w:bidi w:val="0"/>
              <w:spacing w:line="340" w:lineRule="exact"/>
              <w:ind w:lef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为防止腐蚀，检测位滴定泵和加液位滴定泵能伸缩内置在仪器内部里，在需要检测和加液时才会伸至样品上方，检测和加液完成后自动缩回仪器内部，起到保护作用。</w:t>
            </w:r>
          </w:p>
          <w:p>
            <w:pPr>
              <w:pageBreakBefore w:val="0"/>
              <w:widowControl/>
              <w:kinsoku/>
              <w:wordWrap/>
              <w:topLinePunct w:val="0"/>
              <w:bidi w:val="0"/>
              <w:spacing w:line="340" w:lineRule="exact"/>
              <w:ind w:left="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13</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高锰酸盐指数方法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方法原理：酸性及碱性高锰酸钾滴定法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线性范围：0.05-5.0mg/L</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样品分析频率：平均3~4min/样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精密度：≤3%（3mg/L葡萄糖质控）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准确度：在质控样品规定的范围内</w:t>
            </w:r>
            <w:r>
              <w:rPr>
                <w:rFonts w:hint="eastAsia" w:ascii="宋体" w:hAnsi="宋体" w:eastAsia="宋体" w:cs="宋体"/>
                <w:color w:val="auto"/>
                <w:sz w:val="22"/>
                <w:szCs w:val="22"/>
                <w:highlight w:val="none"/>
                <w:lang w:eastAsia="zh-CN"/>
              </w:rPr>
              <w:t>。</w:t>
            </w:r>
          </w:p>
          <w:p>
            <w:pPr>
              <w:pageBreakBefore w:val="0"/>
              <w:widowControl/>
              <w:kinsoku/>
              <w:wordWrap/>
              <w:topLinePunct w:val="0"/>
              <w:bidi w:val="0"/>
              <w:spacing w:line="340" w:lineRule="exact"/>
              <w:ind w:left="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14</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水质总硬度方法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方法原理：乙二胺四乙酸二钠滴定法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最低检测浓度：1mg/L</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精密度（RSD）：≤1%（200mg/L标样）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准确度：在质控样品规定的范围内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样品检测频率：约20样/小时</w:t>
            </w:r>
            <w:r>
              <w:rPr>
                <w:rFonts w:hint="eastAsia" w:ascii="宋体" w:hAnsi="宋体" w:eastAsia="宋体" w:cs="宋体"/>
                <w:color w:val="auto"/>
                <w:sz w:val="22"/>
                <w:szCs w:val="22"/>
                <w:highlight w:val="none"/>
                <w:lang w:eastAsia="zh-CN"/>
              </w:rPr>
              <w:t>。</w:t>
            </w:r>
          </w:p>
          <w:p>
            <w:pPr>
              <w:pageBreakBefore w:val="0"/>
              <w:widowControl/>
              <w:kinsoku/>
              <w:wordWrap/>
              <w:topLinePunct w:val="0"/>
              <w:bidi w:val="0"/>
              <w:spacing w:line="340" w:lineRule="exact"/>
              <w:ind w:lef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15</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盐碘方法</w:t>
            </w:r>
          </w:p>
          <w:p>
            <w:pPr>
              <w:pageBreakBefore w:val="0"/>
              <w:widowControl/>
              <w:kinsoku/>
              <w:wordWrap/>
              <w:topLinePunct w:val="0"/>
              <w:bidi w:val="0"/>
              <w:spacing w:line="340" w:lineRule="exact"/>
              <w:ind w:left="0" w:firstLine="220"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15.1</w:t>
            </w:r>
            <w:r>
              <w:rPr>
                <w:rFonts w:hint="eastAsia" w:ascii="宋体" w:hAnsi="宋体" w:eastAsia="宋体" w:cs="宋体"/>
                <w:color w:val="auto"/>
                <w:sz w:val="22"/>
                <w:szCs w:val="22"/>
                <w:highlight w:val="none"/>
              </w:rPr>
              <w:t>方法原理：直接滴定法（容量法）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最低检测浓度：0.5mg/kg</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精密度（RSD）：≤1.5%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准确度：误差在±2mg/kg以内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样品检测频率：3min/样</w:t>
            </w:r>
          </w:p>
          <w:p>
            <w:pPr>
              <w:pageBreakBefore w:val="0"/>
              <w:widowControl/>
              <w:kinsoku/>
              <w:wordWrap/>
              <w:topLinePunct w:val="0"/>
              <w:bidi w:val="0"/>
              <w:spacing w:line="340" w:lineRule="exact"/>
              <w:ind w:left="0" w:firstLine="220"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15.2</w:t>
            </w:r>
            <w:r>
              <w:rPr>
                <w:rFonts w:hint="eastAsia" w:ascii="宋体" w:hAnsi="宋体" w:eastAsia="宋体" w:cs="宋体"/>
                <w:color w:val="auto"/>
                <w:sz w:val="22"/>
                <w:szCs w:val="22"/>
                <w:highlight w:val="none"/>
              </w:rPr>
              <w:t>方法原理：氧化还原滴定法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最低检测浓度：0.5mg/kg</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精密度（RSD）：≤1.5%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准确度：误差在±2mg/kg以内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样品检测频率：平均6min/样</w:t>
            </w:r>
          </w:p>
          <w:p>
            <w:pPr>
              <w:pageBreakBefore w:val="0"/>
              <w:widowControl/>
              <w:kinsoku/>
              <w:wordWrap/>
              <w:topLinePunct w:val="0"/>
              <w:bidi w:val="0"/>
              <w:spacing w:line="340" w:lineRule="exact"/>
              <w:ind w:lef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16</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仪器配置要求</w:t>
            </w:r>
          </w:p>
          <w:p>
            <w:pPr>
              <w:pageBreakBefore w:val="0"/>
              <w:widowControl/>
              <w:kinsoku/>
              <w:wordWrap/>
              <w:topLinePunct w:val="0"/>
              <w:bidi w:val="0"/>
              <w:spacing w:line="340" w:lineRule="exact"/>
              <w:ind w:left="0" w:firstLine="220"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16.</w:t>
            </w:r>
            <w:r>
              <w:rPr>
                <w:rFonts w:hint="eastAsia" w:ascii="宋体" w:hAnsi="宋体" w:eastAsia="宋体" w:cs="宋体"/>
                <w:color w:val="auto"/>
                <w:sz w:val="22"/>
                <w:szCs w:val="22"/>
                <w:highlight w:val="none"/>
                <w:lang w:val="en-US"/>
              </w:rPr>
              <w:t>1.全自动高锰酸盐指数分析仪1台</w:t>
            </w:r>
          </w:p>
          <w:p>
            <w:pPr>
              <w:pageBreakBefore w:val="0"/>
              <w:widowControl/>
              <w:kinsoku/>
              <w:wordWrap/>
              <w:topLinePunct w:val="0"/>
              <w:bidi w:val="0"/>
              <w:spacing w:line="340" w:lineRule="exact"/>
              <w:ind w:left="0" w:firstLine="220"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16.</w:t>
            </w:r>
            <w:r>
              <w:rPr>
                <w:rFonts w:hint="eastAsia" w:ascii="宋体" w:hAnsi="宋体" w:eastAsia="宋体" w:cs="宋体"/>
                <w:color w:val="auto"/>
                <w:sz w:val="22"/>
                <w:szCs w:val="22"/>
                <w:highlight w:val="none"/>
                <w:lang w:val="en-US"/>
              </w:rPr>
              <w:t>2.工作站软件1套</w:t>
            </w:r>
          </w:p>
          <w:p>
            <w:pPr>
              <w:pageBreakBefore w:val="0"/>
              <w:widowControl/>
              <w:kinsoku/>
              <w:wordWrap/>
              <w:topLinePunct w:val="0"/>
              <w:bidi w:val="0"/>
              <w:spacing w:line="340" w:lineRule="exact"/>
              <w:ind w:left="0" w:firstLine="220" w:firstLineChars="100"/>
              <w:jc w:val="left"/>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16.</w:t>
            </w:r>
            <w:r>
              <w:rPr>
                <w:rFonts w:hint="eastAsia" w:ascii="宋体" w:hAnsi="宋体" w:eastAsia="宋体" w:cs="宋体"/>
                <w:color w:val="auto"/>
                <w:sz w:val="22"/>
                <w:szCs w:val="22"/>
                <w:highlight w:val="none"/>
                <w:lang w:val="en-US"/>
              </w:rPr>
              <w:t>3.样品杯6</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val="en-US"/>
              </w:rPr>
              <w:t>个</w:t>
            </w:r>
          </w:p>
          <w:p>
            <w:pPr>
              <w:pageBreakBefore w:val="0"/>
              <w:widowControl/>
              <w:kinsoku/>
              <w:wordWrap/>
              <w:topLinePunct w:val="0"/>
              <w:bidi w:val="0"/>
              <w:spacing w:line="340" w:lineRule="exact"/>
              <w:ind w:left="0" w:firstLine="220" w:firstLineChars="1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16.4.</w:t>
            </w:r>
            <w:r>
              <w:rPr>
                <w:rFonts w:hint="eastAsia" w:ascii="宋体" w:hAnsi="宋体" w:eastAsia="宋体" w:cs="宋体"/>
                <w:color w:val="auto"/>
                <w:sz w:val="22"/>
                <w:szCs w:val="22"/>
                <w:highlight w:val="none"/>
                <w:lang w:val="en-US"/>
              </w:rPr>
              <w:t>磁力搅拌子</w:t>
            </w:r>
            <w:r>
              <w:rPr>
                <w:rFonts w:hint="eastAsia" w:ascii="宋体" w:hAnsi="宋体" w:eastAsia="宋体" w:cs="宋体"/>
                <w:color w:val="auto"/>
                <w:sz w:val="22"/>
                <w:szCs w:val="22"/>
                <w:highlight w:val="none"/>
                <w:lang w:val="en-US" w:eastAsia="zh-CN"/>
              </w:rPr>
              <w:t>62个</w:t>
            </w:r>
          </w:p>
          <w:p>
            <w:pPr>
              <w:pageBreakBefore w:val="0"/>
              <w:kinsoku/>
              <w:wordWrap/>
              <w:topLinePunct w:val="0"/>
              <w:bidi w:val="0"/>
              <w:spacing w:line="340" w:lineRule="exact"/>
              <w:ind w:left="0"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16.5.</w:t>
            </w:r>
            <w:r>
              <w:rPr>
                <w:rFonts w:hint="eastAsia" w:ascii="宋体" w:hAnsi="宋体" w:eastAsia="宋体" w:cs="宋体"/>
                <w:color w:val="auto"/>
                <w:sz w:val="22"/>
                <w:szCs w:val="22"/>
                <w:highlight w:val="none"/>
              </w:rPr>
              <w:t>仪器/软件使用说明书2本</w:t>
            </w:r>
          </w:p>
          <w:p>
            <w:pPr>
              <w:pageBreakBefore w:val="0"/>
              <w:kinsoku/>
              <w:wordWrap/>
              <w:topLinePunct w:val="0"/>
              <w:bidi w:val="0"/>
              <w:spacing w:line="340" w:lineRule="exact"/>
              <w:ind w:left="0"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16.6.</w:t>
            </w:r>
            <w:r>
              <w:rPr>
                <w:rFonts w:hint="eastAsia" w:ascii="宋体" w:hAnsi="宋体" w:eastAsia="宋体" w:cs="宋体"/>
                <w:color w:val="auto"/>
                <w:sz w:val="22"/>
                <w:szCs w:val="22"/>
                <w:highlight w:val="none"/>
              </w:rPr>
              <w:t>方法手册</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2本</w:t>
            </w:r>
          </w:p>
          <w:p>
            <w:pPr>
              <w:pageBreakBefore w:val="0"/>
              <w:kinsoku/>
              <w:wordWrap/>
              <w:topLinePunct w:val="0"/>
              <w:bidi w:val="0"/>
              <w:spacing w:line="340" w:lineRule="exact"/>
              <w:ind w:left="0"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16.7.</w:t>
            </w:r>
            <w:r>
              <w:rPr>
                <w:rFonts w:hint="eastAsia" w:ascii="宋体" w:hAnsi="宋体" w:eastAsia="宋体" w:cs="宋体"/>
                <w:color w:val="auto"/>
                <w:sz w:val="22"/>
                <w:szCs w:val="22"/>
                <w:highlight w:val="none"/>
              </w:rPr>
              <w:t>售后工作记录卡2张</w:t>
            </w:r>
          </w:p>
          <w:p>
            <w:pPr>
              <w:pageBreakBefore w:val="0"/>
              <w:kinsoku/>
              <w:wordWrap/>
              <w:topLinePunct w:val="0"/>
              <w:bidi w:val="0"/>
              <w:spacing w:line="340" w:lineRule="exact"/>
              <w:ind w:left="0" w:firstLine="220" w:firstLineChars="100"/>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16.8.仪器布1块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11</w:t>
            </w:r>
          </w:p>
        </w:tc>
        <w:tc>
          <w:tcPr>
            <w:tcW w:w="1424"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显微镜</w:t>
            </w:r>
          </w:p>
        </w:tc>
        <w:tc>
          <w:tcPr>
            <w:tcW w:w="721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研究级正置显微镜，可作明场的观察</w:t>
            </w:r>
          </w:p>
          <w:p>
            <w:pPr>
              <w:pageBreakBefore w:val="0"/>
              <w:numPr>
                <w:ilvl w:val="0"/>
                <w:numId w:val="0"/>
              </w:numPr>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光学系统：无限远校正光学系统，物镜齐焦距离必须为45mm</w:t>
            </w:r>
          </w:p>
          <w:p>
            <w:pPr>
              <w:pageBreakBefore w:val="0"/>
              <w:numPr>
                <w:ilvl w:val="0"/>
                <w:numId w:val="0"/>
              </w:numPr>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调焦：载物台垂直运动方式距离25mm，带聚焦粗调上限停止位置，粗调旋钮扭矩可调，最小微调刻度单位1微米</w:t>
            </w:r>
            <w:r>
              <w:rPr>
                <w:rFonts w:hint="eastAsia" w:ascii="宋体" w:hAnsi="宋体" w:eastAsia="宋体" w:cs="宋体"/>
                <w:color w:val="auto"/>
                <w:sz w:val="22"/>
                <w:szCs w:val="22"/>
                <w:highlight w:val="none"/>
                <w:lang w:eastAsia="zh-CN"/>
              </w:rPr>
              <w:t>。</w:t>
            </w:r>
          </w:p>
          <w:p>
            <w:pPr>
              <w:pageBreakBefore w:val="0"/>
              <w:numPr>
                <w:ilvl w:val="0"/>
                <w:numId w:val="0"/>
              </w:numPr>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观察镜筒：三目观察筒。FN≧22mm，屈光度可调。</w:t>
            </w:r>
          </w:p>
          <w:p>
            <w:pPr>
              <w:pageBreakBefore w:val="0"/>
              <w:numPr>
                <w:ilvl w:val="0"/>
                <w:numId w:val="0"/>
              </w:numPr>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照明装置：内装式透射光柯勒照明器，高亮度高色彩还原长寿命LED光源，光量预调开关</w:t>
            </w:r>
            <w:r>
              <w:rPr>
                <w:rFonts w:hint="eastAsia" w:ascii="宋体" w:hAnsi="宋体" w:eastAsia="宋体" w:cs="宋体"/>
                <w:color w:val="auto"/>
                <w:sz w:val="22"/>
                <w:szCs w:val="22"/>
                <w:highlight w:val="none"/>
                <w:lang w:eastAsia="zh-CN"/>
              </w:rPr>
              <w:t>。</w:t>
            </w:r>
          </w:p>
          <w:p>
            <w:pPr>
              <w:pageBreakBefore w:val="0"/>
              <w:numPr>
                <w:ilvl w:val="0"/>
                <w:numId w:val="0"/>
              </w:numPr>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平场消色差物镜：4X、10X、20X、40X、100X</w:t>
            </w:r>
            <w:r>
              <w:rPr>
                <w:rFonts w:hint="eastAsia" w:ascii="宋体" w:hAnsi="宋体" w:eastAsia="宋体" w:cs="宋体"/>
                <w:color w:val="auto"/>
                <w:sz w:val="22"/>
                <w:szCs w:val="22"/>
                <w:highlight w:val="none"/>
                <w:lang w:eastAsia="zh-CN"/>
              </w:rPr>
              <w:t>。</w:t>
            </w:r>
          </w:p>
          <w:p>
            <w:pPr>
              <w:pageBreakBefore w:val="0"/>
              <w:numPr>
                <w:ilvl w:val="0"/>
                <w:numId w:val="0"/>
              </w:numPr>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载物台：右手低位置同轴驱动选钮的高抗磨损性陶瓷覆盖层载物台。</w:t>
            </w:r>
          </w:p>
          <w:p>
            <w:pPr>
              <w:pageBreakBefore w:val="0"/>
              <w:numPr>
                <w:ilvl w:val="0"/>
                <w:numId w:val="0"/>
              </w:numPr>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目镜：10X宽视野目镜，视野数为22</w:t>
            </w:r>
            <w:r>
              <w:rPr>
                <w:rFonts w:hint="eastAsia" w:ascii="宋体" w:hAnsi="宋体" w:eastAsia="宋体" w:cs="宋体"/>
                <w:color w:val="auto"/>
                <w:sz w:val="22"/>
                <w:szCs w:val="22"/>
                <w:highlight w:val="none"/>
                <w:lang w:eastAsia="zh-CN"/>
              </w:rPr>
              <w:t>。</w:t>
            </w:r>
          </w:p>
          <w:p>
            <w:pPr>
              <w:pageBreakBefore w:val="0"/>
              <w:numPr>
                <w:ilvl w:val="0"/>
                <w:numId w:val="0"/>
              </w:numPr>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物镜转换器：可编码六孔物镜转换器，切换物镜倍数可自动调节光强亮度</w:t>
            </w:r>
            <w:r>
              <w:rPr>
                <w:rFonts w:hint="eastAsia" w:ascii="宋体" w:hAnsi="宋体" w:eastAsia="宋体" w:cs="宋体"/>
                <w:color w:val="auto"/>
                <w:sz w:val="22"/>
                <w:szCs w:val="22"/>
                <w:highlight w:val="none"/>
                <w:lang w:eastAsia="zh-CN"/>
              </w:rPr>
              <w:t>。</w:t>
            </w:r>
          </w:p>
          <w:p>
            <w:pPr>
              <w:pageBreakBefore w:val="0"/>
              <w:numPr>
                <w:ilvl w:val="0"/>
                <w:numId w:val="0"/>
              </w:numPr>
              <w:kinsoku/>
              <w:wordWrap/>
              <w:topLinePunct w:val="0"/>
              <w:bidi w:val="0"/>
              <w:spacing w:line="340" w:lineRule="exact"/>
              <w:ind w:left="0"/>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聚光镜：摇入摇出聚光镜，N.A≧0.9</w:t>
            </w:r>
            <w:r>
              <w:rPr>
                <w:rFonts w:hint="eastAsia" w:ascii="宋体" w:hAnsi="宋体" w:eastAsia="宋体" w:cs="宋体"/>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12</w:t>
            </w:r>
          </w:p>
        </w:tc>
        <w:tc>
          <w:tcPr>
            <w:tcW w:w="1424"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firstLine="1540" w:firstLineChars="700"/>
              <w:jc w:val="center"/>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振</w:t>
            </w:r>
            <w:r>
              <w:rPr>
                <w:rFonts w:hint="eastAsia" w:ascii="宋体" w:hAnsi="宋体" w:cs="宋体"/>
                <w:color w:val="auto"/>
                <w:sz w:val="22"/>
                <w:szCs w:val="22"/>
                <w:highlight w:val="none"/>
                <w:lang w:val="en-US" w:eastAsia="zh-CN"/>
              </w:rPr>
              <w:t>振荡器</w:t>
            </w:r>
          </w:p>
          <w:p>
            <w:pPr>
              <w:pageBreakBefore w:val="0"/>
              <w:kinsoku/>
              <w:wordWrap/>
              <w:topLinePunct w:val="0"/>
              <w:bidi w:val="0"/>
              <w:spacing w:line="340" w:lineRule="exact"/>
              <w:ind w:left="0" w:leftChars="0" w:firstLine="1540" w:firstLineChars="700"/>
              <w:jc w:val="center"/>
              <w:rPr>
                <w:rFonts w:hint="eastAsia" w:ascii="宋体" w:hAnsi="宋体" w:eastAsia="宋体" w:cs="宋体"/>
                <w:b w:val="0"/>
                <w:bCs w:val="0"/>
                <w:color w:val="auto"/>
                <w:kern w:val="2"/>
                <w:sz w:val="22"/>
                <w:szCs w:val="22"/>
                <w:highlight w:val="none"/>
                <w:lang w:val="en-US" w:eastAsia="zh-CN" w:bidi="ar-SA"/>
              </w:rPr>
            </w:pPr>
          </w:p>
        </w:tc>
        <w:tc>
          <w:tcPr>
            <w:tcW w:w="721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1、电源电压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~220V±22V</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50Hz±1Hz</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2、额定转速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100r/min±2r/min</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3、输入功率</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22VA</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4、熔断器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0.5A(2个)</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5、偏心回转直径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22mm</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6、定时设定范围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0~99min59s</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7、定时设置批次</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3(循环式)</w:t>
            </w:r>
          </w:p>
          <w:p>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8、工作盘面积</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20</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rPr>
              <w:t>mmx160mmx7mm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13</w:t>
            </w:r>
          </w:p>
        </w:tc>
        <w:tc>
          <w:tcPr>
            <w:tcW w:w="1424"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leftChars="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电子天平</w:t>
            </w:r>
          </w:p>
        </w:tc>
        <w:tc>
          <w:tcPr>
            <w:tcW w:w="721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前置式水平仪</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防静电涂层玻璃防风罩能有效地屏蔽外界静电荷的干扰</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五面玻璃防风罩，视野清晰</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超级双杠杆单体传感器</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5、8</w:t>
            </w:r>
            <w:r>
              <w:rPr>
                <w:rFonts w:hint="eastAsia" w:ascii="宋体" w:hAnsi="宋体" w:eastAsia="宋体" w:cs="宋体"/>
                <w:color w:val="auto"/>
                <w:sz w:val="22"/>
                <w:szCs w:val="22"/>
                <w:highlight w:val="none"/>
              </w:rPr>
              <w:t>0MHz高速微处理器MC1，测量结果更快</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SMT技术，线路集成度更高</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内置RS232</w:t>
            </w:r>
            <w:r>
              <w:rPr>
                <w:rFonts w:hint="eastAsia" w:ascii="宋体" w:hAnsi="宋体" w:eastAsia="宋体" w:cs="宋体"/>
                <w:color w:val="auto"/>
                <w:sz w:val="22"/>
                <w:szCs w:val="22"/>
                <w:highlight w:val="none"/>
                <w:lang w:val="en-US" w:eastAsia="zh-CN"/>
              </w:rPr>
              <w:t>C</w:t>
            </w:r>
            <w:r>
              <w:rPr>
                <w:rFonts w:hint="eastAsia" w:ascii="宋体" w:hAnsi="宋体" w:eastAsia="宋体" w:cs="宋体"/>
                <w:color w:val="auto"/>
                <w:sz w:val="22"/>
                <w:szCs w:val="22"/>
                <w:highlight w:val="none"/>
              </w:rPr>
              <w:t>接口，符合GLP标准</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下部吊钩，满足大体积称量</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功能：</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9.1</w:t>
            </w:r>
            <w:r>
              <w:rPr>
                <w:rFonts w:hint="eastAsia" w:ascii="宋体" w:hAnsi="宋体" w:eastAsia="宋体" w:cs="宋体"/>
                <w:color w:val="auto"/>
                <w:sz w:val="22"/>
                <w:szCs w:val="22"/>
                <w:highlight w:val="none"/>
              </w:rPr>
              <w:t>密度直读</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9.2</w:t>
            </w:r>
            <w:r>
              <w:rPr>
                <w:rFonts w:hint="eastAsia" w:ascii="宋体" w:hAnsi="宋体" w:eastAsia="宋体" w:cs="宋体"/>
                <w:color w:val="auto"/>
                <w:sz w:val="22"/>
                <w:szCs w:val="22"/>
                <w:highlight w:val="none"/>
              </w:rPr>
              <w:t>左右除皮键，满足不同使用习惯</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9.3</w:t>
            </w:r>
            <w:r>
              <w:rPr>
                <w:rFonts w:hint="eastAsia" w:ascii="宋体" w:hAnsi="宋体" w:eastAsia="宋体" w:cs="宋体"/>
                <w:color w:val="auto"/>
                <w:sz w:val="22"/>
                <w:szCs w:val="22"/>
                <w:highlight w:val="none"/>
              </w:rPr>
              <w:t>四级防震</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9.4</w:t>
            </w:r>
            <w:r>
              <w:rPr>
                <w:rFonts w:hint="eastAsia" w:ascii="宋体" w:hAnsi="宋体" w:eastAsia="宋体" w:cs="宋体"/>
                <w:color w:val="auto"/>
                <w:sz w:val="22"/>
                <w:szCs w:val="22"/>
                <w:highlight w:val="none"/>
              </w:rPr>
              <w:t>计算因子</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9.5</w:t>
            </w:r>
            <w:r>
              <w:rPr>
                <w:rFonts w:hint="eastAsia" w:ascii="宋体" w:hAnsi="宋体" w:eastAsia="宋体" w:cs="宋体"/>
                <w:color w:val="auto"/>
                <w:sz w:val="22"/>
                <w:szCs w:val="22"/>
                <w:highlight w:val="none"/>
              </w:rPr>
              <w:t>超载保护</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9.6</w:t>
            </w:r>
            <w:r>
              <w:rPr>
                <w:rFonts w:hint="eastAsia" w:ascii="宋体" w:hAnsi="宋体" w:eastAsia="宋体" w:cs="宋体"/>
                <w:color w:val="auto"/>
                <w:sz w:val="22"/>
                <w:szCs w:val="22"/>
                <w:highlight w:val="none"/>
              </w:rPr>
              <w:t>全自动故障诊断</w:t>
            </w:r>
          </w:p>
          <w:p>
            <w:pPr>
              <w:pageBreakBefore w:val="0"/>
              <w:kinsoku/>
              <w:wordWrap/>
              <w:topLinePunct w:val="0"/>
              <w:bidi w:val="0"/>
              <w:spacing w:line="340" w:lineRule="exact"/>
              <w:ind w:lef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9.7</w:t>
            </w:r>
            <w:r>
              <w:rPr>
                <w:rFonts w:hint="eastAsia" w:ascii="宋体" w:hAnsi="宋体" w:eastAsia="宋体" w:cs="宋体"/>
                <w:color w:val="auto"/>
                <w:sz w:val="22"/>
                <w:szCs w:val="22"/>
                <w:highlight w:val="none"/>
              </w:rPr>
              <w:t>动态温度补偿</w:t>
            </w:r>
          </w:p>
          <w:p>
            <w:pPr>
              <w:pageBreakBefore w:val="0"/>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9.8</w:t>
            </w:r>
            <w:r>
              <w:rPr>
                <w:rFonts w:hint="eastAsia" w:ascii="宋体" w:hAnsi="宋体" w:eastAsia="宋体" w:cs="宋体"/>
                <w:color w:val="auto"/>
                <w:sz w:val="22"/>
                <w:szCs w:val="22"/>
                <w:highlight w:val="none"/>
              </w:rPr>
              <w:t>应用程序：计数、动物称重、百分比称量、净重求和、单位转换、合计、计算（乘、除）</w:t>
            </w:r>
          </w:p>
          <w:p>
            <w:pPr>
              <w:pageBreakBefore w:val="0"/>
              <w:numPr>
                <w:ilvl w:val="0"/>
                <w:numId w:val="14"/>
              </w:numPr>
              <w:kinsoku/>
              <w:wordWrap/>
              <w:topLinePunct w:val="0"/>
              <w:bidi w:val="0"/>
              <w:spacing w:line="340" w:lineRule="exact"/>
              <w:ind w:lef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重复性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≤0.1+mg</w:t>
            </w:r>
          </w:p>
          <w:p>
            <w:pPr>
              <w:pageBreakBefore w:val="0"/>
              <w:numPr>
                <w:ilvl w:val="0"/>
                <w:numId w:val="14"/>
              </w:numPr>
              <w:kinsoku/>
              <w:wordWrap/>
              <w:topLinePunct w:val="0"/>
              <w:bidi w:val="0"/>
              <w:spacing w:line="340" w:lineRule="exact"/>
              <w:ind w:lef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线性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≤0.2+mg</w:t>
            </w:r>
          </w:p>
          <w:p>
            <w:pPr>
              <w:pageBreakBefore w:val="0"/>
              <w:numPr>
                <w:ilvl w:val="0"/>
                <w:numId w:val="14"/>
              </w:numPr>
              <w:kinsoku/>
              <w:wordWrap/>
              <w:topLinePunct w:val="0"/>
              <w:bidi w:val="0"/>
              <w:spacing w:line="340" w:lineRule="exact"/>
              <w:ind w:left="0" w:leftChars="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校准方式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外校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14</w:t>
            </w:r>
          </w:p>
        </w:tc>
        <w:tc>
          <w:tcPr>
            <w:tcW w:w="1424"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leftChars="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低速离心机</w:t>
            </w:r>
          </w:p>
        </w:tc>
        <w:tc>
          <w:tcPr>
            <w:tcW w:w="7217" w:type="dxa"/>
            <w:tcBorders>
              <w:top w:val="single" w:color="auto" w:sz="4" w:space="0"/>
              <w:left w:val="single" w:color="auto" w:sz="4" w:space="0"/>
              <w:bottom w:val="single" w:color="auto" w:sz="4" w:space="0"/>
              <w:right w:val="single" w:color="auto" w:sz="4" w:space="0"/>
            </w:tcBorders>
            <w:vAlign w:val="center"/>
          </w:tcPr>
          <w:p>
            <w:pPr>
              <w:pStyle w:val="3"/>
              <w:pageBreakBefore w:val="0"/>
              <w:numPr>
                <w:ilvl w:val="0"/>
                <w:numId w:val="0"/>
              </w:numPr>
              <w:kinsoku/>
              <w:wordWrap/>
              <w:topLinePunct w:val="0"/>
              <w:bidi w:val="0"/>
              <w:spacing w:line="3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整机采用全钢机身，不锈钢离心腔，简洁紧凑，噪音低；</w:t>
            </w:r>
          </w:p>
          <w:p>
            <w:pPr>
              <w:pStyle w:val="3"/>
              <w:pageBreakBefore w:val="0"/>
              <w:numPr>
                <w:ilvl w:val="0"/>
                <w:numId w:val="0"/>
              </w:numPr>
              <w:kinsoku/>
              <w:wordWrap/>
              <w:topLinePunct w:val="0"/>
              <w:bidi w:val="0"/>
              <w:spacing w:line="3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嵌入式微处理器控制，可更精确控制转速，时间、温度和相对离心力；</w:t>
            </w:r>
          </w:p>
          <w:p>
            <w:pPr>
              <w:pStyle w:val="3"/>
              <w:pageBreakBefore w:val="0"/>
              <w:numPr>
                <w:ilvl w:val="0"/>
                <w:numId w:val="0"/>
              </w:numPr>
              <w:kinsoku/>
              <w:wordWrap/>
              <w:topLinePunct w:val="0"/>
              <w:bidi w:val="0"/>
              <w:spacing w:line="3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按键式编程设计，实时显示全部运行参数，操作直观简便；</w:t>
            </w:r>
          </w:p>
          <w:p>
            <w:pPr>
              <w:pStyle w:val="3"/>
              <w:pageBreakBefore w:val="0"/>
              <w:numPr>
                <w:ilvl w:val="0"/>
                <w:numId w:val="0"/>
              </w:numPr>
              <w:kinsoku/>
              <w:wordWrap/>
              <w:topLinePunct w:val="0"/>
              <w:bidi w:val="0"/>
              <w:spacing w:line="3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配有门盖保护，超速和先进的电子式不平衡探测系统可以对离心机过程实时监控确保仪器安全运行；</w:t>
            </w:r>
          </w:p>
          <w:p>
            <w:pPr>
              <w:pStyle w:val="3"/>
              <w:pageBreakBefore w:val="0"/>
              <w:numPr>
                <w:ilvl w:val="0"/>
                <w:numId w:val="0"/>
              </w:numPr>
              <w:kinsoku/>
              <w:wordWrap/>
              <w:topLinePunct w:val="0"/>
              <w:bidi w:val="0"/>
              <w:spacing w:line="3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采用优质橡胶门封条，密封性能好；</w:t>
            </w:r>
          </w:p>
          <w:p>
            <w:pPr>
              <w:pStyle w:val="3"/>
              <w:pageBreakBefore w:val="0"/>
              <w:numPr>
                <w:ilvl w:val="0"/>
                <w:numId w:val="0"/>
              </w:numPr>
              <w:kinsoku/>
              <w:wordWrap/>
              <w:topLinePunct w:val="0"/>
              <w:bidi w:val="0"/>
              <w:spacing w:line="340" w:lineRule="exact"/>
              <w:ind w:left="0" w:leftChars="0" w:firstLine="0" w:firstLineChars="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配有多种转子，满足不同实验要求，一机多用</w:t>
            </w:r>
            <w:r>
              <w:rPr>
                <w:rFonts w:hint="eastAsia" w:ascii="宋体" w:hAnsi="宋体" w:eastAsia="宋体" w:cs="宋体"/>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15</w:t>
            </w:r>
          </w:p>
        </w:tc>
        <w:tc>
          <w:tcPr>
            <w:tcW w:w="1424"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340" w:lineRule="exact"/>
              <w:ind w:left="0" w:leftChars="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高速离心机</w:t>
            </w:r>
          </w:p>
        </w:tc>
        <w:tc>
          <w:tcPr>
            <w:tcW w:w="7217" w:type="dxa"/>
            <w:tcBorders>
              <w:top w:val="single" w:color="auto" w:sz="4" w:space="0"/>
              <w:left w:val="single" w:color="auto" w:sz="4" w:space="0"/>
              <w:bottom w:val="single" w:color="auto" w:sz="4" w:space="0"/>
              <w:right w:val="single" w:color="auto" w:sz="4" w:space="0"/>
            </w:tcBorders>
            <w:vAlign w:val="center"/>
          </w:tcPr>
          <w:p>
            <w:pPr>
              <w:pStyle w:val="3"/>
              <w:pageBreakBefore w:val="0"/>
              <w:numPr>
                <w:ilvl w:val="0"/>
                <w:numId w:val="0"/>
              </w:numPr>
              <w:kinsoku/>
              <w:wordWrap/>
              <w:topLinePunct w:val="0"/>
              <w:bidi w:val="0"/>
              <w:spacing w:line="34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1、具有瞬时离心功能</w:t>
            </w:r>
            <w:r>
              <w:rPr>
                <w:rFonts w:hint="eastAsia" w:ascii="宋体" w:hAnsi="宋体" w:eastAsia="宋体" w:cs="宋体"/>
                <w:color w:val="auto"/>
                <w:sz w:val="22"/>
                <w:szCs w:val="22"/>
                <w:highlight w:val="none"/>
                <w:lang w:eastAsia="zh-CN"/>
              </w:rPr>
              <w:t>。</w:t>
            </w:r>
          </w:p>
          <w:p>
            <w:pPr>
              <w:pStyle w:val="3"/>
              <w:pageBreakBefore w:val="0"/>
              <w:numPr>
                <w:ilvl w:val="0"/>
                <w:numId w:val="0"/>
              </w:numPr>
              <w:kinsoku/>
              <w:wordWrap/>
              <w:topLinePunct w:val="0"/>
              <w:bidi w:val="0"/>
              <w:spacing w:line="34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2、整机采用全钢结构，不锈钢离心腔</w:t>
            </w:r>
            <w:r>
              <w:rPr>
                <w:rFonts w:hint="eastAsia" w:ascii="宋体" w:hAnsi="宋体" w:eastAsia="宋体" w:cs="宋体"/>
                <w:color w:val="auto"/>
                <w:sz w:val="22"/>
                <w:szCs w:val="22"/>
                <w:highlight w:val="none"/>
                <w:lang w:eastAsia="zh-CN"/>
              </w:rPr>
              <w:t>。</w:t>
            </w:r>
          </w:p>
          <w:p>
            <w:pPr>
              <w:pStyle w:val="3"/>
              <w:pageBreakBefore w:val="0"/>
              <w:numPr>
                <w:ilvl w:val="0"/>
                <w:numId w:val="0"/>
              </w:numPr>
              <w:kinsoku/>
              <w:wordWrap/>
              <w:topLinePunct w:val="0"/>
              <w:bidi w:val="0"/>
              <w:spacing w:line="34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3、多种转子可供选择，匹配不同实验需要，一机多用</w:t>
            </w:r>
            <w:r>
              <w:rPr>
                <w:rFonts w:hint="eastAsia" w:ascii="宋体" w:hAnsi="宋体" w:cs="宋体"/>
                <w:color w:val="auto"/>
                <w:sz w:val="22"/>
                <w:szCs w:val="22"/>
                <w:highlight w:val="none"/>
                <w:lang w:eastAsia="zh-CN"/>
              </w:rPr>
              <w:t>。</w:t>
            </w:r>
          </w:p>
          <w:p>
            <w:pPr>
              <w:pStyle w:val="3"/>
              <w:pageBreakBefore w:val="0"/>
              <w:numPr>
                <w:ilvl w:val="0"/>
                <w:numId w:val="0"/>
              </w:numPr>
              <w:kinsoku/>
              <w:wordWrap/>
              <w:topLinePunct w:val="0"/>
              <w:bidi w:val="0"/>
              <w:spacing w:line="34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4、可储存</w:t>
            </w:r>
            <w:r>
              <w:rPr>
                <w:rFonts w:hint="eastAsia" w:ascii="宋体" w:hAnsi="宋体" w:cs="宋体"/>
                <w:color w:val="auto"/>
                <w:sz w:val="22"/>
                <w:szCs w:val="22"/>
                <w:highlight w:val="none"/>
                <w:lang w:val="en-US" w:eastAsia="zh-CN"/>
              </w:rPr>
              <w:t>不少于</w:t>
            </w:r>
            <w:r>
              <w:rPr>
                <w:rFonts w:hint="eastAsia" w:ascii="宋体" w:hAnsi="宋体" w:eastAsia="宋体" w:cs="宋体"/>
                <w:color w:val="auto"/>
                <w:sz w:val="22"/>
                <w:szCs w:val="22"/>
                <w:highlight w:val="none"/>
              </w:rPr>
              <w:t>20种运行程序，并具有</w:t>
            </w:r>
            <w:r>
              <w:rPr>
                <w:rFonts w:hint="eastAsia" w:ascii="宋体" w:hAnsi="宋体" w:cs="宋体"/>
                <w:color w:val="auto"/>
                <w:sz w:val="22"/>
                <w:szCs w:val="22"/>
                <w:highlight w:val="none"/>
                <w:lang w:val="en-US" w:eastAsia="zh-CN"/>
              </w:rPr>
              <w:t>不少于</w:t>
            </w:r>
            <w:r>
              <w:rPr>
                <w:rFonts w:hint="eastAsia" w:ascii="宋体" w:hAnsi="宋体" w:eastAsia="宋体" w:cs="宋体"/>
                <w:color w:val="auto"/>
                <w:sz w:val="22"/>
                <w:szCs w:val="22"/>
                <w:highlight w:val="none"/>
              </w:rPr>
              <w:t>15种升降速率可供选择</w:t>
            </w:r>
            <w:r>
              <w:rPr>
                <w:rFonts w:hint="eastAsia" w:ascii="宋体" w:hAnsi="宋体" w:eastAsia="宋体" w:cs="宋体"/>
                <w:color w:val="auto"/>
                <w:sz w:val="22"/>
                <w:szCs w:val="22"/>
                <w:highlight w:val="none"/>
                <w:lang w:eastAsia="zh-CN"/>
              </w:rPr>
              <w:t>。</w:t>
            </w:r>
          </w:p>
          <w:p>
            <w:pPr>
              <w:pStyle w:val="3"/>
              <w:pageBreakBefore w:val="0"/>
              <w:numPr>
                <w:ilvl w:val="0"/>
                <w:numId w:val="0"/>
              </w:numPr>
              <w:kinsoku/>
              <w:wordWrap/>
              <w:topLinePunct w:val="0"/>
              <w:bidi w:val="0"/>
              <w:spacing w:line="34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5、多级减震防护，离心机振动小，确保离心效果达到最佳</w:t>
            </w:r>
            <w:r>
              <w:rPr>
                <w:rFonts w:hint="eastAsia" w:ascii="宋体" w:hAnsi="宋体" w:eastAsia="宋体" w:cs="宋体"/>
                <w:color w:val="auto"/>
                <w:sz w:val="22"/>
                <w:szCs w:val="22"/>
                <w:highlight w:val="none"/>
                <w:lang w:eastAsia="zh-CN"/>
              </w:rPr>
              <w:t>。</w:t>
            </w:r>
          </w:p>
          <w:p>
            <w:pPr>
              <w:pStyle w:val="3"/>
              <w:pageBreakBefore w:val="0"/>
              <w:numPr>
                <w:ilvl w:val="0"/>
                <w:numId w:val="0"/>
              </w:numPr>
              <w:kinsoku/>
              <w:wordWrap/>
              <w:topLinePunct w:val="0"/>
              <w:bidi w:val="0"/>
              <w:spacing w:line="34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6、嵌入式微处理器控制，直流无刷电机驱动，免维护，运行平稳</w:t>
            </w:r>
            <w:r>
              <w:rPr>
                <w:rFonts w:hint="eastAsia" w:ascii="宋体" w:hAnsi="宋体" w:eastAsia="宋体" w:cs="宋体"/>
                <w:color w:val="auto"/>
                <w:sz w:val="22"/>
                <w:szCs w:val="22"/>
                <w:highlight w:val="none"/>
                <w:lang w:eastAsia="zh-CN"/>
              </w:rPr>
              <w:t>。</w:t>
            </w:r>
          </w:p>
          <w:p>
            <w:pPr>
              <w:pStyle w:val="3"/>
              <w:pageBreakBefore w:val="0"/>
              <w:numPr>
                <w:ilvl w:val="0"/>
                <w:numId w:val="0"/>
              </w:numPr>
              <w:kinsoku/>
              <w:wordWrap/>
              <w:topLinePunct w:val="0"/>
              <w:bidi w:val="0"/>
              <w:spacing w:line="34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7、可对离心转速、时间、升降速档位进行设置，并随时查看离心力</w:t>
            </w:r>
            <w:r>
              <w:rPr>
                <w:rFonts w:hint="eastAsia" w:ascii="宋体" w:hAnsi="宋体" w:eastAsia="宋体" w:cs="宋体"/>
                <w:color w:val="auto"/>
                <w:sz w:val="22"/>
                <w:szCs w:val="22"/>
                <w:highlight w:val="none"/>
                <w:lang w:eastAsia="zh-CN"/>
              </w:rPr>
              <w:t>。</w:t>
            </w:r>
          </w:p>
          <w:p>
            <w:pPr>
              <w:pStyle w:val="3"/>
              <w:pageBreakBefore w:val="0"/>
              <w:numPr>
                <w:ilvl w:val="0"/>
                <w:numId w:val="0"/>
              </w:numPr>
              <w:kinsoku/>
              <w:wordWrap/>
              <w:topLinePunct w:val="0"/>
              <w:bidi w:val="0"/>
              <w:spacing w:line="34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8、按键式编程设计，高清液晶显示屏，可实时显示全部运行参数，操作更直观</w:t>
            </w:r>
            <w:r>
              <w:rPr>
                <w:rFonts w:hint="eastAsia" w:ascii="宋体" w:hAnsi="宋体" w:eastAsia="宋体" w:cs="宋体"/>
                <w:color w:val="auto"/>
                <w:sz w:val="22"/>
                <w:szCs w:val="22"/>
                <w:highlight w:val="none"/>
                <w:lang w:eastAsia="zh-CN"/>
              </w:rPr>
              <w:t>。</w:t>
            </w:r>
          </w:p>
          <w:p>
            <w:pPr>
              <w:pStyle w:val="3"/>
              <w:pageBreakBefore w:val="0"/>
              <w:numPr>
                <w:ilvl w:val="0"/>
                <w:numId w:val="0"/>
              </w:numPr>
              <w:kinsoku/>
              <w:wordWrap/>
              <w:topLinePunct w:val="0"/>
              <w:bidi w:val="0"/>
              <w:spacing w:line="34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9、具有多重防护功能和完善的故障报警功能，具有门盖互锁、超速、不平衡保护等报警提醒，安全可靠</w:t>
            </w:r>
            <w:r>
              <w:rPr>
                <w:rFonts w:hint="eastAsia" w:ascii="宋体" w:hAnsi="宋体" w:eastAsia="宋体" w:cs="宋体"/>
                <w:color w:val="auto"/>
                <w:sz w:val="22"/>
                <w:szCs w:val="22"/>
                <w:highlight w:val="none"/>
                <w:lang w:val="en-US" w:eastAsia="zh-CN"/>
              </w:rPr>
              <w:t>。</w:t>
            </w:r>
          </w:p>
          <w:p>
            <w:pPr>
              <w:pStyle w:val="3"/>
              <w:pageBreakBefore w:val="0"/>
              <w:numPr>
                <w:ilvl w:val="0"/>
                <w:numId w:val="0"/>
              </w:numPr>
              <w:kinsoku/>
              <w:wordWrap/>
              <w:topLinePunct w:val="0"/>
              <w:bidi w:val="0"/>
              <w:spacing w:line="340" w:lineRule="exact"/>
              <w:ind w:left="0" w:leftChars="0" w:firstLine="0" w:firstLineChars="0"/>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rPr>
              <w:t>最高转速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16000r/min</w:t>
            </w:r>
          </w:p>
        </w:tc>
      </w:tr>
    </w:tbl>
    <w:p>
      <w:pPr>
        <w:pageBreakBefore w:val="0"/>
        <w:kinsoku/>
        <w:wordWrap/>
        <w:topLinePunct w:val="0"/>
        <w:bidi w:val="0"/>
        <w:snapToGrid w:val="0"/>
        <w:spacing w:line="340" w:lineRule="exact"/>
        <w:ind w:left="0"/>
        <w:rPr>
          <w:rFonts w:hint="eastAsia" w:ascii="宋体" w:hAnsi="宋体" w:eastAsia="宋体" w:cs="宋体"/>
          <w:b/>
          <w:bCs/>
          <w:color w:val="auto"/>
          <w:spacing w:val="-6"/>
          <w:sz w:val="22"/>
          <w:szCs w:val="22"/>
          <w:highlight w:val="none"/>
        </w:rPr>
      </w:pPr>
      <w:r>
        <w:rPr>
          <w:rFonts w:hint="eastAsia" w:ascii="宋体" w:hAnsi="宋体" w:cs="宋体"/>
          <w:b/>
          <w:bCs/>
          <w:color w:val="auto"/>
          <w:spacing w:val="-6"/>
          <w:sz w:val="22"/>
          <w:szCs w:val="22"/>
          <w:highlight w:val="none"/>
          <w:lang w:val="en-US" w:eastAsia="zh-CN"/>
        </w:rPr>
        <w:t>三．</w:t>
      </w:r>
      <w:r>
        <w:rPr>
          <w:rFonts w:hint="eastAsia" w:ascii="宋体" w:hAnsi="宋体" w:eastAsia="宋体" w:cs="宋体"/>
          <w:b/>
          <w:bCs/>
          <w:color w:val="auto"/>
          <w:spacing w:val="-6"/>
          <w:sz w:val="22"/>
          <w:szCs w:val="22"/>
          <w:highlight w:val="none"/>
        </w:rPr>
        <w:t>其他</w:t>
      </w:r>
    </w:p>
    <w:p>
      <w:pPr>
        <w:pageBreakBefore w:val="0"/>
        <w:kinsoku/>
        <w:wordWrap/>
        <w:topLinePunct w:val="0"/>
        <w:bidi w:val="0"/>
        <w:snapToGrid w:val="0"/>
        <w:spacing w:line="340" w:lineRule="exact"/>
        <w:ind w:left="0"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1.除招标文件中所明确的采购需求外，欢迎其他能满足本项目采购需求且性所明确采购需求的产品参加投标报价。同时在采购需求偏离表中作出详细对比说明。</w:t>
      </w:r>
    </w:p>
    <w:p>
      <w:pPr>
        <w:pageBreakBefore w:val="0"/>
        <w:kinsoku/>
        <w:wordWrap/>
        <w:topLinePunct w:val="0"/>
        <w:bidi w:val="0"/>
        <w:snapToGrid w:val="0"/>
        <w:spacing w:line="340" w:lineRule="exact"/>
        <w:ind w:left="0"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2.带“★”的为重要条款。带“▲且加下划线”的有关技术和商务条款为实质性条款，投标人必须做出实质性响应，否则视为投标无效。</w:t>
      </w:r>
    </w:p>
    <w:p>
      <w:pPr>
        <w:pageBreakBefore w:val="0"/>
        <w:kinsoku/>
        <w:wordWrap/>
        <w:topLinePunct w:val="0"/>
        <w:bidi w:val="0"/>
        <w:snapToGrid w:val="0"/>
        <w:spacing w:line="340" w:lineRule="exact"/>
        <w:ind w:left="0"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3.如技术要求中未特别注明需执行的国家相关标准、行业标准、地方标准或者其他标准、规范，则统一执行最新标准、规范。</w:t>
      </w:r>
    </w:p>
    <w:p>
      <w:pPr>
        <w:pageBreakBefore w:val="0"/>
        <w:kinsoku/>
        <w:wordWrap/>
        <w:topLinePunct w:val="0"/>
        <w:bidi w:val="0"/>
        <w:snapToGrid w:val="0"/>
        <w:spacing w:line="340" w:lineRule="exact"/>
        <w:ind w:left="0"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4.技术部分中需要提供的证明材料有有效期的必须在有效期内，否则视为未提供。</w:t>
      </w:r>
    </w:p>
    <w:p>
      <w:pPr>
        <w:pageBreakBefore w:val="0"/>
        <w:kinsoku/>
        <w:wordWrap/>
        <w:topLinePunct w:val="0"/>
        <w:bidi w:val="0"/>
        <w:snapToGrid w:val="0"/>
        <w:spacing w:line="340" w:lineRule="exact"/>
        <w:ind w:left="0" w:firstLine="418" w:firstLineChars="200"/>
        <w:jc w:val="left"/>
        <w:rPr>
          <w:rFonts w:hint="eastAsia" w:ascii="宋体" w:hAnsi="宋体" w:eastAsia="宋体" w:cs="宋体"/>
          <w:b/>
          <w:bCs/>
          <w:color w:val="auto"/>
          <w:spacing w:val="-6"/>
          <w:sz w:val="22"/>
          <w:szCs w:val="22"/>
          <w:highlight w:val="none"/>
        </w:rPr>
      </w:pPr>
    </w:p>
    <w:p>
      <w:pPr>
        <w:rPr>
          <w:rFonts w:hint="eastAsia" w:ascii="宋体" w:hAnsi="宋体" w:eastAsia="宋体" w:cs="宋体"/>
          <w:b/>
          <w:color w:val="auto"/>
          <w:sz w:val="22"/>
          <w:szCs w:val="22"/>
          <w:highlight w:val="none"/>
        </w:rPr>
      </w:pPr>
      <w:bookmarkStart w:id="120" w:name="_Toc23602"/>
      <w:r>
        <w:rPr>
          <w:rFonts w:hint="eastAsia" w:ascii="宋体" w:hAnsi="宋体" w:eastAsia="宋体" w:cs="宋体"/>
          <w:b/>
          <w:color w:val="auto"/>
          <w:sz w:val="22"/>
          <w:szCs w:val="22"/>
          <w:highlight w:val="none"/>
        </w:rPr>
        <w:br w:type="page"/>
      </w:r>
    </w:p>
    <w:p>
      <w:pPr>
        <w:snapToGrid w:val="0"/>
        <w:spacing w:line="400" w:lineRule="exact"/>
        <w:jc w:val="center"/>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第六部分 评标原则及方法</w:t>
      </w:r>
      <w:bookmarkEnd w:id="120"/>
    </w:p>
    <w:p>
      <w:pPr>
        <w:pStyle w:val="11"/>
        <w:adjustRightInd w:val="0"/>
        <w:snapToGrid w:val="0"/>
        <w:spacing w:after="0" w:line="360" w:lineRule="exact"/>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根据《中华人民共和国政府采购法》等相关法规特制定以下评标办法。</w:t>
      </w:r>
    </w:p>
    <w:p>
      <w:pPr>
        <w:numPr>
          <w:ilvl w:val="0"/>
          <w:numId w:val="15"/>
        </w:numPr>
        <w:spacing w:line="360" w:lineRule="exact"/>
        <w:ind w:firstLine="440" w:firstLineChars="200"/>
        <w:outlineLvl w:val="1"/>
        <w:rPr>
          <w:rFonts w:hint="eastAsia" w:ascii="宋体" w:hAnsi="宋体" w:eastAsia="宋体" w:cs="宋体"/>
          <w:color w:val="auto"/>
          <w:sz w:val="22"/>
          <w:highlight w:val="none"/>
        </w:rPr>
      </w:pPr>
      <w:bookmarkStart w:id="121" w:name="_Toc20305"/>
      <w:r>
        <w:rPr>
          <w:rFonts w:hint="eastAsia" w:ascii="宋体" w:hAnsi="宋体" w:eastAsia="宋体" w:cs="宋体"/>
          <w:color w:val="auto"/>
          <w:sz w:val="22"/>
          <w:highlight w:val="none"/>
        </w:rPr>
        <w:t>总  则</w:t>
      </w:r>
      <w:bookmarkEnd w:id="121"/>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遵循公平、公正、科学、择优原则和诚实、信誉、效率的服务原则。本着科学、严谨的态度，认真进行评标。择优选用，推进技术进步，确保工程质量、交货期，节约投资，最大限度的保护当事人权益，严格按照招标文件的商务、技术部分，对投标文件进行综合评定，提出优选方案，编写评标报告。对落标单位，评委会不作任何落标解释。</w:t>
      </w:r>
    </w:p>
    <w:p>
      <w:pPr>
        <w:spacing w:line="360" w:lineRule="exact"/>
        <w:ind w:firstLine="440" w:firstLineChars="200"/>
        <w:outlineLvl w:val="1"/>
        <w:rPr>
          <w:rFonts w:hint="eastAsia" w:ascii="宋体" w:hAnsi="宋体" w:eastAsia="宋体" w:cs="宋体"/>
          <w:color w:val="auto"/>
          <w:sz w:val="22"/>
          <w:highlight w:val="none"/>
        </w:rPr>
      </w:pPr>
      <w:bookmarkStart w:id="122" w:name="_Toc21489"/>
      <w:r>
        <w:rPr>
          <w:rFonts w:hint="eastAsia" w:ascii="宋体" w:hAnsi="宋体" w:eastAsia="宋体" w:cs="宋体"/>
          <w:color w:val="auto"/>
          <w:sz w:val="22"/>
          <w:highlight w:val="none"/>
        </w:rPr>
        <w:t>二.评标组织</w:t>
      </w:r>
      <w:bookmarkEnd w:id="122"/>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评标工作由采购人依法组建的评审小组负责，评标全过程由有关部门指导监督。</w:t>
      </w:r>
    </w:p>
    <w:p>
      <w:pPr>
        <w:spacing w:line="360" w:lineRule="exact"/>
        <w:ind w:firstLine="440" w:firstLineChars="200"/>
        <w:outlineLvl w:val="1"/>
        <w:rPr>
          <w:rFonts w:hint="eastAsia" w:ascii="宋体" w:hAnsi="宋体" w:eastAsia="宋体" w:cs="宋体"/>
          <w:color w:val="auto"/>
          <w:sz w:val="22"/>
          <w:highlight w:val="none"/>
        </w:rPr>
      </w:pPr>
      <w:bookmarkStart w:id="123" w:name="_Toc7183"/>
      <w:r>
        <w:rPr>
          <w:rFonts w:hint="eastAsia" w:ascii="宋体" w:hAnsi="宋体" w:eastAsia="宋体" w:cs="宋体"/>
          <w:color w:val="auto"/>
          <w:sz w:val="22"/>
          <w:highlight w:val="none"/>
        </w:rPr>
        <w:t>三.评标程序</w:t>
      </w:r>
      <w:bookmarkEnd w:id="123"/>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采购人或者采购代理机构对各投标人的投标资格进行审查；然后评审小组对合格投标人进行符合性审查，对审查通过的商务和技术文件进行评审；商务和技术文件评审结束之后对报价文件评审，综合评审结果，提交评审报告。</w:t>
      </w:r>
    </w:p>
    <w:p>
      <w:pPr>
        <w:spacing w:line="360" w:lineRule="exact"/>
        <w:ind w:firstLine="440" w:firstLineChars="200"/>
        <w:outlineLvl w:val="1"/>
        <w:rPr>
          <w:rFonts w:hint="eastAsia" w:ascii="宋体" w:hAnsi="宋体" w:eastAsia="宋体" w:cs="宋体"/>
          <w:color w:val="auto"/>
          <w:sz w:val="22"/>
          <w:highlight w:val="none"/>
        </w:rPr>
      </w:pPr>
      <w:bookmarkStart w:id="124" w:name="_Toc12777"/>
      <w:r>
        <w:rPr>
          <w:rFonts w:hint="eastAsia" w:ascii="宋体" w:hAnsi="宋体" w:eastAsia="宋体" w:cs="宋体"/>
          <w:color w:val="auto"/>
          <w:sz w:val="22"/>
          <w:highlight w:val="none"/>
        </w:rPr>
        <w:t>四.评标办法</w:t>
      </w:r>
      <w:bookmarkEnd w:id="124"/>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本评标办法采用百分制综合评分法，商务和技术70分（商务和技术权值70%），报价30分（价格权值30%）。最大限度地满足招标文件中规定的各项综合评价标准且综合得分最高的投标人，将被推荐为中标候选人。</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评分细则</w:t>
      </w:r>
    </w:p>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1.商务和技术分的评定</w:t>
      </w:r>
    </w:p>
    <w:p>
      <w:pPr>
        <w:pStyle w:val="60"/>
        <w:spacing w:line="360" w:lineRule="exact"/>
        <w:ind w:firstLine="440"/>
        <w:rPr>
          <w:rFonts w:hint="eastAsia" w:ascii="宋体" w:hAnsi="宋体" w:eastAsia="宋体" w:cs="宋体"/>
          <w:color w:val="auto"/>
          <w:sz w:val="22"/>
          <w:highlight w:val="none"/>
        </w:rPr>
      </w:pPr>
      <w:r>
        <w:rPr>
          <w:rFonts w:hint="eastAsia" w:ascii="宋体" w:hAnsi="宋体" w:eastAsia="宋体" w:cs="宋体"/>
          <w:color w:val="auto"/>
          <w:sz w:val="22"/>
          <w:highlight w:val="none"/>
        </w:rPr>
        <w:t>各评委成员按下列评分项目进行评判，每人一张评分计算票，并记名。投标文件各项评分内容由评审小组成员各自评分，如某张票的一个因素项目超过规定的范围，则该张票无效。各评审小组成员对各投标人的各项评分内容评分的合计算术平均值为各投标人商务和技术分得分（小数点后按四舍五入保留2位）。</w:t>
      </w:r>
    </w:p>
    <w:p>
      <w:pPr>
        <w:pStyle w:val="60"/>
        <w:spacing w:line="360" w:lineRule="exact"/>
        <w:ind w:firstLine="440"/>
        <w:rPr>
          <w:rFonts w:hint="eastAsia" w:ascii="宋体" w:hAnsi="宋体" w:eastAsia="宋体" w:cs="宋体"/>
          <w:color w:val="auto"/>
          <w:sz w:val="22"/>
          <w:highlight w:val="none"/>
        </w:rPr>
      </w:pPr>
    </w:p>
    <w:tbl>
      <w:tblPr>
        <w:tblStyle w:val="32"/>
        <w:tblW w:w="956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08"/>
        <w:gridCol w:w="1293"/>
        <w:gridCol w:w="5746"/>
        <w:gridCol w:w="775"/>
        <w:gridCol w:w="9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8"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293"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288" w:lineRule="auto"/>
              <w:jc w:val="center"/>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评审因素</w:t>
            </w:r>
          </w:p>
        </w:tc>
        <w:tc>
          <w:tcPr>
            <w:tcW w:w="574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288"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评分细则</w:t>
            </w:r>
          </w:p>
        </w:tc>
        <w:tc>
          <w:tcPr>
            <w:tcW w:w="77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8"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w:t>
            </w:r>
          </w:p>
        </w:tc>
        <w:tc>
          <w:tcPr>
            <w:tcW w:w="94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8"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w:t>
            </w:r>
          </w:p>
        </w:tc>
        <w:tc>
          <w:tcPr>
            <w:tcW w:w="1293" w:type="dxa"/>
            <w:tcBorders>
              <w:top w:val="single" w:color="auto" w:sz="6" w:space="0"/>
              <w:left w:val="single" w:color="auto" w:sz="6" w:space="0"/>
              <w:bottom w:val="single" w:color="auto" w:sz="6" w:space="0"/>
              <w:right w:val="single" w:color="auto" w:sz="4" w:space="0"/>
            </w:tcBorders>
            <w:noWrap w:val="0"/>
            <w:vAlign w:val="center"/>
          </w:tcPr>
          <w:p>
            <w:pPr>
              <w:spacing w:line="360" w:lineRule="exact"/>
              <w:jc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政策功能</w:t>
            </w:r>
          </w:p>
          <w:p>
            <w:pPr>
              <w:spacing w:line="360" w:lineRule="exact"/>
              <w:jc w:val="center"/>
              <w:rPr>
                <w:rFonts w:hint="eastAsia" w:ascii="宋体" w:hAnsi="宋体" w:eastAsia="宋体" w:cs="宋体"/>
                <w:color w:val="auto"/>
                <w:kern w:val="2"/>
                <w:sz w:val="22"/>
                <w:szCs w:val="22"/>
                <w:highlight w:val="none"/>
                <w:lang w:val="en-US" w:eastAsia="zh-CN" w:bidi="ar-SA"/>
              </w:rPr>
            </w:pPr>
          </w:p>
        </w:tc>
        <w:tc>
          <w:tcPr>
            <w:tcW w:w="5746" w:type="dxa"/>
            <w:tcBorders>
              <w:top w:val="single" w:color="auto" w:sz="6" w:space="0"/>
              <w:left w:val="single" w:color="auto" w:sz="4" w:space="0"/>
              <w:bottom w:val="single" w:color="auto" w:sz="6" w:space="0"/>
              <w:right w:val="single" w:color="auto" w:sz="6" w:space="0"/>
            </w:tcBorders>
            <w:noWrap w:val="0"/>
            <w:vAlign w:val="center"/>
          </w:tcPr>
          <w:p>
            <w:pPr>
              <w:spacing w:line="360" w:lineRule="exact"/>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投标产品属于政府采购品目清单范围且提供国家确定的认证机构出具的处于有效期之内的节能产品认证证书或环境标志产品认证证书，每项产品得0.5分，最高得1分</w:t>
            </w:r>
            <w:r>
              <w:rPr>
                <w:rFonts w:hint="eastAsia" w:ascii="宋体" w:hAnsi="宋体" w:eastAsia="宋体" w:cs="宋体"/>
                <w:color w:val="auto"/>
                <w:sz w:val="22"/>
                <w:szCs w:val="22"/>
                <w:highlight w:val="none"/>
              </w:rPr>
              <w:t>（投标产品属于节能产品政府采购品目清单中强制采购的除外）</w:t>
            </w:r>
            <w:r>
              <w:rPr>
                <w:rFonts w:hint="eastAsia" w:ascii="宋体" w:hAnsi="宋体" w:eastAsia="宋体" w:cs="宋体"/>
                <w:b w:val="0"/>
                <w:bCs w:val="0"/>
                <w:color w:val="auto"/>
                <w:kern w:val="0"/>
                <w:sz w:val="22"/>
                <w:szCs w:val="22"/>
                <w:highlight w:val="none"/>
                <w:lang w:val="en-US" w:eastAsia="zh-CN"/>
              </w:rPr>
              <w:t>。</w:t>
            </w:r>
          </w:p>
        </w:tc>
        <w:tc>
          <w:tcPr>
            <w:tcW w:w="775"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1</w:t>
            </w:r>
          </w:p>
        </w:tc>
        <w:tc>
          <w:tcPr>
            <w:tcW w:w="946"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客观分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w:t>
            </w:r>
          </w:p>
        </w:tc>
        <w:tc>
          <w:tcPr>
            <w:tcW w:w="1293"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288" w:lineRule="auto"/>
              <w:jc w:val="center"/>
              <w:rPr>
                <w:rFonts w:hint="eastAsia" w:ascii="宋体" w:hAnsi="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技术响应程度</w:t>
            </w:r>
          </w:p>
          <w:p>
            <w:pPr>
              <w:adjustRightInd w:val="0"/>
              <w:snapToGrid w:val="0"/>
              <w:spacing w:line="288" w:lineRule="auto"/>
              <w:jc w:val="center"/>
              <w:rPr>
                <w:rFonts w:hint="eastAsia" w:ascii="宋体" w:hAnsi="宋体" w:eastAsia="宋体" w:cs="宋体"/>
                <w:color w:val="auto"/>
                <w:sz w:val="24"/>
                <w:highlight w:val="none"/>
              </w:rPr>
            </w:pPr>
          </w:p>
        </w:tc>
        <w:tc>
          <w:tcPr>
            <w:tcW w:w="574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不符合（负偏离）技术要求中标注“▲</w:t>
            </w:r>
            <w:r>
              <w:rPr>
                <w:rFonts w:hint="eastAsia" w:ascii="宋体" w:hAnsi="宋体" w:eastAsia="宋体" w:cs="宋体"/>
                <w:color w:val="auto"/>
                <w:sz w:val="22"/>
                <w:szCs w:val="22"/>
                <w:highlight w:val="none"/>
                <w:lang w:val="en-US" w:eastAsia="zh-CN"/>
              </w:rPr>
              <w:t>且加下划线</w:t>
            </w:r>
            <w:r>
              <w:rPr>
                <w:rFonts w:hint="eastAsia" w:ascii="宋体" w:hAnsi="宋体" w:eastAsia="宋体" w:cs="宋体"/>
                <w:color w:val="auto"/>
                <w:sz w:val="22"/>
                <w:szCs w:val="22"/>
                <w:highlight w:val="none"/>
              </w:rPr>
              <w:t>”条款（不可偏离）的投标无效；</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满足招标文件明确的全部技术条款要求的该项得满分；</w:t>
            </w:r>
          </w:p>
          <w:p>
            <w:pPr>
              <w:adjustRightInd w:val="0"/>
              <w:snapToGrid w:val="0"/>
              <w:spacing w:line="288"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标注“★”条款低于技术要求（负偏离）的每项扣</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分，未标注“★”条款低于技术要求（负偏离）的每项扣</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pPr>
              <w:adjustRightInd w:val="0"/>
              <w:snapToGrid w:val="0"/>
              <w:spacing w:line="288"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负偏离扣分超过</w:t>
            </w:r>
            <w:r>
              <w:rPr>
                <w:rFonts w:hint="eastAsia" w:ascii="宋体" w:hAnsi="宋体" w:eastAsia="宋体" w:cs="宋体"/>
                <w:b/>
                <w:bCs/>
                <w:color w:val="auto"/>
                <w:sz w:val="22"/>
                <w:szCs w:val="22"/>
                <w:highlight w:val="none"/>
                <w:lang w:val="en-US" w:eastAsia="zh-CN"/>
              </w:rPr>
              <w:t>4</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rPr>
              <w:t>分</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含本数</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的，视为采购人不能接受的附加条件</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投标无效</w:t>
            </w:r>
            <w:r>
              <w:rPr>
                <w:rFonts w:hint="eastAsia" w:ascii="宋体" w:hAnsi="宋体" w:eastAsia="宋体" w:cs="宋体"/>
                <w:b/>
                <w:bCs/>
                <w:color w:val="auto"/>
                <w:sz w:val="22"/>
                <w:szCs w:val="22"/>
                <w:highlight w:val="none"/>
              </w:rPr>
              <w:t>。</w:t>
            </w:r>
          </w:p>
        </w:tc>
        <w:tc>
          <w:tcPr>
            <w:tcW w:w="775"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45</w:t>
            </w:r>
          </w:p>
        </w:tc>
        <w:tc>
          <w:tcPr>
            <w:tcW w:w="946"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客观分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vMerge w:val="restart"/>
            <w:tcBorders>
              <w:top w:val="single" w:color="auto" w:sz="6" w:space="0"/>
              <w:left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w:t>
            </w:r>
          </w:p>
        </w:tc>
        <w:tc>
          <w:tcPr>
            <w:tcW w:w="1293" w:type="dxa"/>
            <w:vMerge w:val="restart"/>
            <w:tcBorders>
              <w:top w:val="single" w:color="auto" w:sz="6" w:space="0"/>
              <w:left w:val="single" w:color="auto" w:sz="6" w:space="0"/>
              <w:right w:val="single" w:color="auto" w:sz="4" w:space="0"/>
            </w:tcBorders>
            <w:noWrap w:val="0"/>
            <w:vAlign w:val="center"/>
          </w:tcPr>
          <w:p>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color w:val="auto"/>
                <w:sz w:val="22"/>
                <w:szCs w:val="22"/>
                <w:highlight w:val="none"/>
              </w:rPr>
              <w:t>产品</w:t>
            </w:r>
            <w:r>
              <w:rPr>
                <w:rFonts w:hint="eastAsia"/>
                <w:color w:val="auto"/>
                <w:sz w:val="22"/>
                <w:szCs w:val="22"/>
                <w:highlight w:val="none"/>
                <w:lang w:val="en-US" w:eastAsia="zh-CN"/>
              </w:rPr>
              <w:t>的</w:t>
            </w:r>
            <w:r>
              <w:rPr>
                <w:rFonts w:hint="eastAsia"/>
                <w:color w:val="auto"/>
                <w:sz w:val="22"/>
                <w:szCs w:val="22"/>
                <w:highlight w:val="none"/>
              </w:rPr>
              <w:t>质量水平</w:t>
            </w:r>
          </w:p>
        </w:tc>
        <w:tc>
          <w:tcPr>
            <w:tcW w:w="5746" w:type="dxa"/>
            <w:tcBorders>
              <w:top w:val="single" w:color="auto" w:sz="6" w:space="0"/>
              <w:left w:val="single" w:color="auto" w:sz="4" w:space="0"/>
              <w:bottom w:val="single" w:color="auto" w:sz="6" w:space="0"/>
              <w:right w:val="single" w:color="auto" w:sz="6" w:space="0"/>
            </w:tcBorders>
            <w:noWrap w:val="0"/>
            <w:vAlign w:val="center"/>
          </w:tcPr>
          <w:p>
            <w:pPr>
              <w:spacing w:line="360" w:lineRule="exact"/>
              <w:rPr>
                <w:rFonts w:hint="eastAsia" w:ascii="宋体" w:hAnsi="宋体" w:eastAsia="宋体" w:cs="宋体"/>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根据投标产品设备配套的合理性打分：合理性强的得2分，合理性较强得1.5分，合理性一般的得1分，合理性不强的得0.5分，没有得0分。</w:t>
            </w:r>
          </w:p>
        </w:tc>
        <w:tc>
          <w:tcPr>
            <w:tcW w:w="775"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2</w:t>
            </w:r>
          </w:p>
        </w:tc>
        <w:tc>
          <w:tcPr>
            <w:tcW w:w="946"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主观分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6" w:hRule="atLeast"/>
          <w:jc w:val="center"/>
        </w:trPr>
        <w:tc>
          <w:tcPr>
            <w:tcW w:w="808" w:type="dxa"/>
            <w:vMerge w:val="continue"/>
            <w:tcBorders>
              <w:left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kern w:val="2"/>
                <w:sz w:val="22"/>
                <w:szCs w:val="22"/>
                <w:highlight w:val="none"/>
                <w:lang w:val="en-US" w:eastAsia="zh-CN" w:bidi="ar-SA"/>
              </w:rPr>
            </w:pPr>
          </w:p>
        </w:tc>
        <w:tc>
          <w:tcPr>
            <w:tcW w:w="1293" w:type="dxa"/>
            <w:vMerge w:val="continue"/>
            <w:tcBorders>
              <w:left w:val="single" w:color="auto" w:sz="6" w:space="0"/>
              <w:right w:val="single" w:color="auto" w:sz="4" w:space="0"/>
            </w:tcBorders>
            <w:noWrap w:val="0"/>
            <w:vAlign w:val="center"/>
          </w:tcPr>
          <w:p>
            <w:pPr>
              <w:spacing w:line="360" w:lineRule="exact"/>
              <w:jc w:val="center"/>
              <w:rPr>
                <w:rFonts w:hint="eastAsia" w:ascii="宋体" w:hAnsi="宋体" w:eastAsia="宋体" w:cs="宋体"/>
                <w:color w:val="auto"/>
                <w:kern w:val="2"/>
                <w:sz w:val="22"/>
                <w:szCs w:val="22"/>
                <w:highlight w:val="none"/>
                <w:lang w:val="en-US" w:eastAsia="zh-CN" w:bidi="ar-SA"/>
              </w:rPr>
            </w:pPr>
          </w:p>
        </w:tc>
        <w:tc>
          <w:tcPr>
            <w:tcW w:w="5746" w:type="dxa"/>
            <w:tcBorders>
              <w:top w:val="single" w:color="auto" w:sz="6" w:space="0"/>
              <w:left w:val="single" w:color="auto" w:sz="4" w:space="0"/>
              <w:bottom w:val="single" w:color="auto" w:sz="6" w:space="0"/>
              <w:right w:val="single" w:color="auto" w:sz="6" w:space="0"/>
            </w:tcBorders>
            <w:noWrap w:val="0"/>
            <w:vAlign w:val="center"/>
          </w:tcPr>
          <w:p>
            <w:pPr>
              <w:spacing w:line="360" w:lineRule="exact"/>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根据投标产品技术指标先进性打分：先进性强的得3分，先进性较强得2分，先进性一般的得1分，先进性不强的得0.5分，没有得0分。</w:t>
            </w:r>
          </w:p>
        </w:tc>
        <w:tc>
          <w:tcPr>
            <w:tcW w:w="775"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3</w:t>
            </w:r>
          </w:p>
        </w:tc>
        <w:tc>
          <w:tcPr>
            <w:tcW w:w="946"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主观分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vMerge w:val="continue"/>
            <w:tcBorders>
              <w:left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p>
        </w:tc>
        <w:tc>
          <w:tcPr>
            <w:tcW w:w="1293" w:type="dxa"/>
            <w:vMerge w:val="continue"/>
            <w:tcBorders>
              <w:left w:val="single" w:color="auto" w:sz="6" w:space="0"/>
              <w:right w:val="single" w:color="auto" w:sz="4" w:space="0"/>
            </w:tcBorders>
            <w:noWrap w:val="0"/>
            <w:vAlign w:val="center"/>
          </w:tcPr>
          <w:p>
            <w:pPr>
              <w:spacing w:line="360" w:lineRule="exact"/>
              <w:rPr>
                <w:rFonts w:hint="eastAsia" w:ascii="宋体" w:hAnsi="宋体" w:eastAsia="宋体" w:cs="宋体"/>
                <w:b w:val="0"/>
                <w:bCs w:val="0"/>
                <w:color w:val="auto"/>
                <w:kern w:val="0"/>
                <w:sz w:val="22"/>
                <w:szCs w:val="22"/>
                <w:highlight w:val="none"/>
                <w:lang w:val="en-US" w:eastAsia="zh-CN"/>
              </w:rPr>
            </w:pPr>
          </w:p>
        </w:tc>
        <w:tc>
          <w:tcPr>
            <w:tcW w:w="5746" w:type="dxa"/>
            <w:tcBorders>
              <w:top w:val="single" w:color="auto" w:sz="6" w:space="0"/>
              <w:left w:val="single" w:color="auto" w:sz="4" w:space="0"/>
              <w:bottom w:val="single" w:color="auto" w:sz="6" w:space="0"/>
              <w:right w:val="single" w:color="auto" w:sz="6" w:space="0"/>
            </w:tcBorders>
            <w:noWrap w:val="0"/>
            <w:vAlign w:val="center"/>
          </w:tcPr>
          <w:p>
            <w:pPr>
              <w:spacing w:line="360" w:lineRule="exact"/>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根据投标产品功能的实现性打分：实现性强的得3分，实现性较强得2分，实现性一般的得1分，实现性不强的得0.5分，没有得0分。</w:t>
            </w:r>
          </w:p>
        </w:tc>
        <w:tc>
          <w:tcPr>
            <w:tcW w:w="775"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3</w:t>
            </w:r>
          </w:p>
        </w:tc>
        <w:tc>
          <w:tcPr>
            <w:tcW w:w="946"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主观分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vMerge w:val="continue"/>
            <w:tcBorders>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p>
        </w:tc>
        <w:tc>
          <w:tcPr>
            <w:tcW w:w="1293" w:type="dxa"/>
            <w:vMerge w:val="continue"/>
            <w:tcBorders>
              <w:left w:val="single" w:color="auto" w:sz="6" w:space="0"/>
              <w:bottom w:val="single" w:color="auto" w:sz="6" w:space="0"/>
              <w:right w:val="single" w:color="auto" w:sz="4" w:space="0"/>
            </w:tcBorders>
            <w:noWrap w:val="0"/>
            <w:vAlign w:val="center"/>
          </w:tcPr>
          <w:p>
            <w:pPr>
              <w:spacing w:line="360" w:lineRule="exact"/>
              <w:rPr>
                <w:rFonts w:hint="eastAsia" w:ascii="宋体" w:hAnsi="宋体" w:eastAsia="宋体" w:cs="宋体"/>
                <w:b w:val="0"/>
                <w:bCs w:val="0"/>
                <w:color w:val="auto"/>
                <w:kern w:val="0"/>
                <w:sz w:val="22"/>
                <w:szCs w:val="22"/>
                <w:highlight w:val="none"/>
                <w:lang w:val="en-US" w:eastAsia="zh-CN"/>
              </w:rPr>
            </w:pPr>
          </w:p>
        </w:tc>
        <w:tc>
          <w:tcPr>
            <w:tcW w:w="5746" w:type="dxa"/>
            <w:tcBorders>
              <w:top w:val="single" w:color="auto" w:sz="6" w:space="0"/>
              <w:left w:val="single" w:color="auto" w:sz="4" w:space="0"/>
              <w:bottom w:val="single" w:color="auto" w:sz="6" w:space="0"/>
              <w:right w:val="single" w:color="auto" w:sz="6" w:space="0"/>
            </w:tcBorders>
            <w:noWrap w:val="0"/>
            <w:vAlign w:val="center"/>
          </w:tcPr>
          <w:p>
            <w:pPr>
              <w:spacing w:line="360" w:lineRule="exact"/>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根据投标产品设备的总体质量性能打分：总体质量性能强的得3分，总体质量性能较强得2分，总体质量性能一般的得1分，总体质量性能不强的得0.5分，没有得0分。</w:t>
            </w:r>
          </w:p>
        </w:tc>
        <w:tc>
          <w:tcPr>
            <w:tcW w:w="775"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3</w:t>
            </w:r>
          </w:p>
        </w:tc>
        <w:tc>
          <w:tcPr>
            <w:tcW w:w="946"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主观分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sz w:val="22"/>
                <w:szCs w:val="22"/>
                <w:highlight w:val="none"/>
                <w:lang w:val="en-US" w:eastAsia="zh-CN"/>
              </w:rPr>
              <w:t>4</w:t>
            </w:r>
          </w:p>
        </w:tc>
        <w:tc>
          <w:tcPr>
            <w:tcW w:w="1293" w:type="dxa"/>
            <w:tcBorders>
              <w:top w:val="single" w:color="auto" w:sz="6" w:space="0"/>
              <w:left w:val="single" w:color="auto" w:sz="6" w:space="0"/>
              <w:bottom w:val="single" w:color="auto" w:sz="6" w:space="0"/>
              <w:right w:val="single" w:color="auto" w:sz="4" w:space="0"/>
            </w:tcBorders>
            <w:noWrap w:val="0"/>
            <w:vAlign w:val="center"/>
          </w:tcPr>
          <w:p>
            <w:pPr>
              <w:spacing w:line="360" w:lineRule="exact"/>
              <w:jc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color w:val="auto"/>
                <w:sz w:val="22"/>
                <w:szCs w:val="22"/>
                <w:highlight w:val="none"/>
                <w:lang w:val="en-US" w:eastAsia="zh-CN"/>
              </w:rPr>
              <w:t>成本</w:t>
            </w:r>
          </w:p>
        </w:tc>
        <w:tc>
          <w:tcPr>
            <w:tcW w:w="5746" w:type="dxa"/>
            <w:tcBorders>
              <w:top w:val="single" w:color="auto" w:sz="6" w:space="0"/>
              <w:left w:val="single" w:color="auto" w:sz="4" w:space="0"/>
              <w:bottom w:val="single" w:color="auto" w:sz="6" w:space="0"/>
              <w:right w:val="single" w:color="auto" w:sz="6" w:space="0"/>
            </w:tcBorders>
            <w:noWrap w:val="0"/>
            <w:vAlign w:val="center"/>
          </w:tcPr>
          <w:p>
            <w:pPr>
              <w:spacing w:line="360" w:lineRule="exact"/>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运行成本（包括维保价格、年运行费用、消耗品或易耗品价格等）：对投标机型的维保价格、年运行费用、消耗品或易耗品价格，维修服务费等进行打分。</w:t>
            </w:r>
          </w:p>
          <w:p>
            <w:pPr>
              <w:spacing w:line="360" w:lineRule="exact"/>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报价合理维修成本低得2分；报价和维修成本较合理得1.5分，报价和维修成本一般得1分，维修成本报价不合理得0.5分，无维修报价得0分。</w:t>
            </w:r>
          </w:p>
        </w:tc>
        <w:tc>
          <w:tcPr>
            <w:tcW w:w="775"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2</w:t>
            </w:r>
          </w:p>
        </w:tc>
        <w:tc>
          <w:tcPr>
            <w:tcW w:w="946"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主观分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sz w:val="22"/>
                <w:szCs w:val="22"/>
                <w:highlight w:val="none"/>
                <w:lang w:val="en-US" w:eastAsia="zh-CN"/>
              </w:rPr>
              <w:t>5</w:t>
            </w:r>
          </w:p>
        </w:tc>
        <w:tc>
          <w:tcPr>
            <w:tcW w:w="1293" w:type="dxa"/>
            <w:tcBorders>
              <w:top w:val="single" w:color="auto" w:sz="6" w:space="0"/>
              <w:left w:val="single" w:color="auto" w:sz="6" w:space="0"/>
              <w:bottom w:val="single" w:color="auto" w:sz="6" w:space="0"/>
              <w:right w:val="single" w:color="auto" w:sz="4" w:space="0"/>
            </w:tcBorders>
            <w:noWrap w:val="0"/>
            <w:vAlign w:val="center"/>
          </w:tcPr>
          <w:p>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售后服务</w:t>
            </w:r>
          </w:p>
        </w:tc>
        <w:tc>
          <w:tcPr>
            <w:tcW w:w="5746" w:type="dxa"/>
            <w:tcBorders>
              <w:top w:val="single" w:color="auto" w:sz="6" w:space="0"/>
              <w:left w:val="single" w:color="auto" w:sz="4" w:space="0"/>
              <w:bottom w:val="single" w:color="auto" w:sz="6" w:space="0"/>
              <w:right w:val="single" w:color="auto" w:sz="6" w:space="0"/>
            </w:tcBorders>
            <w:noWrap w:val="0"/>
            <w:vAlign w:val="center"/>
          </w:tcPr>
          <w:p>
            <w:pPr>
              <w:spacing w:line="360" w:lineRule="exact"/>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zh-CN" w:eastAsia="zh-CN"/>
              </w:rPr>
              <w:t>根据投标人</w:t>
            </w:r>
            <w:r>
              <w:rPr>
                <w:rFonts w:hint="eastAsia" w:ascii="宋体" w:hAnsi="宋体" w:cs="宋体"/>
                <w:b w:val="0"/>
                <w:bCs w:val="0"/>
                <w:color w:val="auto"/>
                <w:kern w:val="0"/>
                <w:sz w:val="22"/>
                <w:szCs w:val="22"/>
                <w:highlight w:val="none"/>
                <w:lang w:val="en-US" w:eastAsia="zh-CN"/>
              </w:rPr>
              <w:t>针对本项目</w:t>
            </w:r>
            <w:r>
              <w:rPr>
                <w:rFonts w:hint="eastAsia" w:ascii="宋体" w:hAnsi="宋体" w:eastAsia="宋体" w:cs="宋体"/>
                <w:b w:val="0"/>
                <w:bCs w:val="0"/>
                <w:color w:val="auto"/>
                <w:kern w:val="0"/>
                <w:sz w:val="22"/>
                <w:szCs w:val="22"/>
                <w:highlight w:val="none"/>
                <w:lang w:val="zh-CN" w:eastAsia="zh-CN"/>
              </w:rPr>
              <w:t>提供的</w:t>
            </w:r>
            <w:r>
              <w:rPr>
                <w:rFonts w:hint="eastAsia" w:ascii="宋体" w:hAnsi="宋体" w:eastAsia="宋体" w:cs="宋体"/>
                <w:b w:val="0"/>
                <w:bCs w:val="0"/>
                <w:color w:val="auto"/>
                <w:kern w:val="0"/>
                <w:sz w:val="22"/>
                <w:szCs w:val="22"/>
                <w:highlight w:val="none"/>
                <w:lang w:val="en-US" w:eastAsia="zh-CN"/>
              </w:rPr>
              <w:t>售后服务方案（包括质保期内和质保期外），包括但不限于</w:t>
            </w:r>
            <w:r>
              <w:rPr>
                <w:rFonts w:hint="eastAsia" w:ascii="宋体" w:hAnsi="宋体" w:cs="宋体"/>
                <w:b w:val="0"/>
                <w:bCs w:val="0"/>
                <w:color w:val="auto"/>
                <w:kern w:val="0"/>
                <w:sz w:val="22"/>
                <w:szCs w:val="22"/>
                <w:highlight w:val="none"/>
                <w:lang w:val="en-US" w:eastAsia="zh-CN"/>
              </w:rPr>
              <w:t>质保期承诺、</w:t>
            </w:r>
            <w:r>
              <w:rPr>
                <w:rFonts w:hint="eastAsia" w:ascii="宋体" w:hAnsi="宋体" w:eastAsia="宋体" w:cs="宋体"/>
                <w:b w:val="0"/>
                <w:bCs w:val="0"/>
                <w:color w:val="auto"/>
                <w:kern w:val="0"/>
                <w:sz w:val="22"/>
                <w:szCs w:val="22"/>
                <w:highlight w:val="none"/>
                <w:lang w:val="en-US" w:eastAsia="zh-CN"/>
              </w:rPr>
              <w:t>服务响应时间、故障解决方案，响应时间短，售后服务机构备品备件储备情况</w:t>
            </w:r>
            <w:r>
              <w:rPr>
                <w:rFonts w:hint="eastAsia" w:ascii="宋体" w:hAnsi="宋体" w:cs="宋体"/>
                <w:b w:val="0"/>
                <w:bCs w:val="0"/>
                <w:color w:val="auto"/>
                <w:kern w:val="0"/>
                <w:sz w:val="22"/>
                <w:szCs w:val="22"/>
                <w:highlight w:val="none"/>
                <w:lang w:val="en-US" w:eastAsia="zh-CN"/>
              </w:rPr>
              <w:t>打分：</w:t>
            </w:r>
            <w:r>
              <w:rPr>
                <w:rFonts w:hint="eastAsia" w:ascii="宋体" w:hAnsi="宋体" w:eastAsia="宋体" w:cs="宋体"/>
                <w:b w:val="0"/>
                <w:bCs w:val="0"/>
                <w:color w:val="auto"/>
                <w:kern w:val="0"/>
                <w:sz w:val="22"/>
                <w:szCs w:val="22"/>
                <w:highlight w:val="none"/>
                <w:lang w:val="en-US" w:eastAsia="zh-CN"/>
              </w:rPr>
              <w:t>方案合理得</w:t>
            </w:r>
            <w:r>
              <w:rPr>
                <w:rFonts w:hint="eastAsia" w:ascii="宋体" w:hAnsi="宋体" w:cs="宋体"/>
                <w:b w:val="0"/>
                <w:bCs w:val="0"/>
                <w:color w:val="auto"/>
                <w:kern w:val="0"/>
                <w:sz w:val="22"/>
                <w:szCs w:val="22"/>
                <w:highlight w:val="none"/>
                <w:lang w:val="en-US" w:eastAsia="zh-CN"/>
              </w:rPr>
              <w:t>4</w:t>
            </w:r>
            <w:r>
              <w:rPr>
                <w:rFonts w:hint="eastAsia" w:ascii="宋体" w:hAnsi="宋体" w:eastAsia="宋体" w:cs="宋体"/>
                <w:b w:val="0"/>
                <w:bCs w:val="0"/>
                <w:color w:val="auto"/>
                <w:kern w:val="0"/>
                <w:sz w:val="22"/>
                <w:szCs w:val="22"/>
                <w:highlight w:val="none"/>
                <w:lang w:val="en-US" w:eastAsia="zh-CN"/>
              </w:rPr>
              <w:t>分，响应时间一般，方案较合理得</w:t>
            </w:r>
            <w:r>
              <w:rPr>
                <w:rFonts w:hint="eastAsia" w:ascii="宋体" w:hAnsi="宋体" w:cs="宋体"/>
                <w:b w:val="0"/>
                <w:bCs w:val="0"/>
                <w:color w:val="auto"/>
                <w:kern w:val="0"/>
                <w:sz w:val="22"/>
                <w:szCs w:val="22"/>
                <w:highlight w:val="none"/>
                <w:lang w:val="en-US" w:eastAsia="zh-CN"/>
              </w:rPr>
              <w:t>3</w:t>
            </w:r>
            <w:r>
              <w:rPr>
                <w:rFonts w:hint="eastAsia" w:ascii="宋体" w:hAnsi="宋体" w:eastAsia="宋体" w:cs="宋体"/>
                <w:b w:val="0"/>
                <w:bCs w:val="0"/>
                <w:color w:val="auto"/>
                <w:kern w:val="0"/>
                <w:sz w:val="22"/>
                <w:szCs w:val="22"/>
                <w:highlight w:val="none"/>
                <w:lang w:val="en-US" w:eastAsia="zh-CN"/>
              </w:rPr>
              <w:t>分，响应时间长，方案一般得</w:t>
            </w:r>
            <w:r>
              <w:rPr>
                <w:rFonts w:hint="eastAsia" w:ascii="宋体" w:hAnsi="宋体" w:cs="宋体"/>
                <w:b w:val="0"/>
                <w:bCs w:val="0"/>
                <w:color w:val="auto"/>
                <w:kern w:val="0"/>
                <w:sz w:val="22"/>
                <w:szCs w:val="22"/>
                <w:highlight w:val="none"/>
                <w:lang w:val="en-US" w:eastAsia="zh-CN"/>
              </w:rPr>
              <w:t>2</w:t>
            </w:r>
            <w:r>
              <w:rPr>
                <w:rFonts w:hint="eastAsia" w:ascii="宋体" w:hAnsi="宋体" w:eastAsia="宋体" w:cs="宋体"/>
                <w:b w:val="0"/>
                <w:bCs w:val="0"/>
                <w:color w:val="auto"/>
                <w:kern w:val="0"/>
                <w:sz w:val="22"/>
                <w:szCs w:val="22"/>
                <w:highlight w:val="none"/>
                <w:lang w:val="en-US" w:eastAsia="zh-CN"/>
              </w:rPr>
              <w:t>分，响应时间长，方案差得</w:t>
            </w:r>
            <w:r>
              <w:rPr>
                <w:rFonts w:hint="eastAsia" w:ascii="宋体" w:hAnsi="宋体" w:cs="宋体"/>
                <w:b w:val="0"/>
                <w:bCs w:val="0"/>
                <w:color w:val="auto"/>
                <w:kern w:val="0"/>
                <w:sz w:val="22"/>
                <w:szCs w:val="22"/>
                <w:highlight w:val="none"/>
                <w:lang w:val="en-US" w:eastAsia="zh-CN"/>
              </w:rPr>
              <w:t>1</w:t>
            </w:r>
            <w:r>
              <w:rPr>
                <w:rFonts w:hint="eastAsia" w:ascii="宋体" w:hAnsi="宋体" w:eastAsia="宋体" w:cs="宋体"/>
                <w:b w:val="0"/>
                <w:bCs w:val="0"/>
                <w:color w:val="auto"/>
                <w:kern w:val="0"/>
                <w:sz w:val="22"/>
                <w:szCs w:val="22"/>
                <w:highlight w:val="none"/>
                <w:lang w:val="en-US" w:eastAsia="zh-CN"/>
              </w:rPr>
              <w:t>分，无方案得0分。</w:t>
            </w:r>
          </w:p>
        </w:tc>
        <w:tc>
          <w:tcPr>
            <w:tcW w:w="775"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cs="宋体"/>
                <w:b w:val="0"/>
                <w:bCs w:val="0"/>
                <w:color w:val="auto"/>
                <w:kern w:val="0"/>
                <w:sz w:val="22"/>
                <w:szCs w:val="22"/>
                <w:highlight w:val="none"/>
                <w:lang w:val="en-US" w:eastAsia="zh-CN"/>
              </w:rPr>
              <w:t>4</w:t>
            </w:r>
          </w:p>
        </w:tc>
        <w:tc>
          <w:tcPr>
            <w:tcW w:w="946"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主观分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szCs w:val="22"/>
                <w:highlight w:val="none"/>
                <w:lang w:val="en-US" w:eastAsia="zh-CN"/>
              </w:rPr>
              <w:t>6</w:t>
            </w:r>
          </w:p>
        </w:tc>
        <w:tc>
          <w:tcPr>
            <w:tcW w:w="1293" w:type="dxa"/>
            <w:tcBorders>
              <w:top w:val="single" w:color="auto" w:sz="6" w:space="0"/>
              <w:left w:val="single" w:color="auto" w:sz="6" w:space="0"/>
              <w:bottom w:val="single" w:color="auto" w:sz="6" w:space="0"/>
              <w:right w:val="single" w:color="auto" w:sz="4" w:space="0"/>
            </w:tcBorders>
            <w:noWrap w:val="0"/>
            <w:vAlign w:val="center"/>
          </w:tcPr>
          <w:p>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安装调试方案</w:t>
            </w:r>
          </w:p>
        </w:tc>
        <w:tc>
          <w:tcPr>
            <w:tcW w:w="5746" w:type="dxa"/>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left"/>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包括对场地环境的了解、人员的安排、时间进度的规划，对设备的调试进度安排，调试的步骤、措施，问题的解决方案等：方案考虑充分措施有效得</w:t>
            </w:r>
            <w:r>
              <w:rPr>
                <w:rFonts w:hint="eastAsia" w:ascii="宋体" w:hAnsi="宋体" w:cs="宋体"/>
                <w:b w:val="0"/>
                <w:bCs w:val="0"/>
                <w:color w:val="auto"/>
                <w:kern w:val="0"/>
                <w:sz w:val="22"/>
                <w:szCs w:val="22"/>
                <w:highlight w:val="none"/>
                <w:lang w:val="en-US" w:eastAsia="zh-CN"/>
              </w:rPr>
              <w:t>2</w:t>
            </w:r>
            <w:r>
              <w:rPr>
                <w:rFonts w:hint="eastAsia" w:ascii="宋体" w:hAnsi="宋体" w:eastAsia="宋体" w:cs="宋体"/>
                <w:b w:val="0"/>
                <w:bCs w:val="0"/>
                <w:color w:val="auto"/>
                <w:kern w:val="0"/>
                <w:sz w:val="22"/>
                <w:szCs w:val="22"/>
                <w:highlight w:val="none"/>
                <w:lang w:val="en-US" w:eastAsia="zh-CN"/>
              </w:rPr>
              <w:t>分，方案考虑较充分措施较有效得</w:t>
            </w:r>
            <w:r>
              <w:rPr>
                <w:rFonts w:hint="eastAsia" w:ascii="宋体" w:hAnsi="宋体" w:cs="宋体"/>
                <w:b w:val="0"/>
                <w:bCs w:val="0"/>
                <w:color w:val="auto"/>
                <w:kern w:val="0"/>
                <w:sz w:val="22"/>
                <w:szCs w:val="22"/>
                <w:highlight w:val="none"/>
                <w:lang w:val="en-US" w:eastAsia="zh-CN"/>
              </w:rPr>
              <w:t>1.5</w:t>
            </w:r>
            <w:r>
              <w:rPr>
                <w:rFonts w:hint="eastAsia" w:ascii="宋体" w:hAnsi="宋体" w:eastAsia="宋体" w:cs="宋体"/>
                <w:b w:val="0"/>
                <w:bCs w:val="0"/>
                <w:color w:val="auto"/>
                <w:kern w:val="0"/>
                <w:sz w:val="22"/>
                <w:szCs w:val="22"/>
                <w:highlight w:val="none"/>
                <w:lang w:val="en-US" w:eastAsia="zh-CN"/>
              </w:rPr>
              <w:t>分，方案措施一般得</w:t>
            </w:r>
            <w:r>
              <w:rPr>
                <w:rFonts w:hint="eastAsia" w:ascii="宋体" w:hAnsi="宋体" w:cs="宋体"/>
                <w:b w:val="0"/>
                <w:bCs w:val="0"/>
                <w:color w:val="auto"/>
                <w:kern w:val="0"/>
                <w:sz w:val="22"/>
                <w:szCs w:val="22"/>
                <w:highlight w:val="none"/>
                <w:lang w:val="en-US" w:eastAsia="zh-CN"/>
              </w:rPr>
              <w:t>1</w:t>
            </w:r>
            <w:r>
              <w:rPr>
                <w:rFonts w:hint="eastAsia" w:ascii="宋体" w:hAnsi="宋体" w:eastAsia="宋体" w:cs="宋体"/>
                <w:b w:val="0"/>
                <w:bCs w:val="0"/>
                <w:color w:val="auto"/>
                <w:kern w:val="0"/>
                <w:sz w:val="22"/>
                <w:szCs w:val="22"/>
                <w:highlight w:val="none"/>
                <w:lang w:val="en-US" w:eastAsia="zh-CN"/>
              </w:rPr>
              <w:t>分，方案内容措施简单得</w:t>
            </w:r>
            <w:r>
              <w:rPr>
                <w:rFonts w:hint="eastAsia" w:ascii="宋体" w:hAnsi="宋体" w:cs="宋体"/>
                <w:b w:val="0"/>
                <w:bCs w:val="0"/>
                <w:color w:val="auto"/>
                <w:kern w:val="0"/>
                <w:sz w:val="22"/>
                <w:szCs w:val="22"/>
                <w:highlight w:val="none"/>
                <w:lang w:val="en-US" w:eastAsia="zh-CN"/>
              </w:rPr>
              <w:t>0.5</w:t>
            </w:r>
            <w:r>
              <w:rPr>
                <w:rFonts w:hint="eastAsia" w:ascii="宋体" w:hAnsi="宋体" w:eastAsia="宋体" w:cs="宋体"/>
                <w:b w:val="0"/>
                <w:bCs w:val="0"/>
                <w:color w:val="auto"/>
                <w:kern w:val="0"/>
                <w:sz w:val="22"/>
                <w:szCs w:val="22"/>
                <w:highlight w:val="none"/>
                <w:lang w:val="en-US" w:eastAsia="zh-CN"/>
              </w:rPr>
              <w:t>分，无方案得0分</w:t>
            </w:r>
            <w:r>
              <w:rPr>
                <w:rFonts w:hint="eastAsia" w:ascii="宋体" w:hAnsi="宋体" w:cs="宋体"/>
                <w:b w:val="0"/>
                <w:bCs w:val="0"/>
                <w:color w:val="auto"/>
                <w:kern w:val="0"/>
                <w:sz w:val="22"/>
                <w:szCs w:val="22"/>
                <w:highlight w:val="none"/>
                <w:lang w:val="en-US" w:eastAsia="zh-CN"/>
              </w:rPr>
              <w:t>。</w:t>
            </w:r>
          </w:p>
        </w:tc>
        <w:tc>
          <w:tcPr>
            <w:tcW w:w="775"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2</w:t>
            </w:r>
          </w:p>
        </w:tc>
        <w:tc>
          <w:tcPr>
            <w:tcW w:w="946"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主观分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default"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szCs w:val="22"/>
                <w:highlight w:val="none"/>
                <w:lang w:val="en-US" w:eastAsia="zh-CN"/>
              </w:rPr>
              <w:t>7</w:t>
            </w:r>
          </w:p>
        </w:tc>
        <w:tc>
          <w:tcPr>
            <w:tcW w:w="1293" w:type="dxa"/>
            <w:tcBorders>
              <w:top w:val="single" w:color="auto" w:sz="6" w:space="0"/>
              <w:left w:val="single" w:color="auto" w:sz="6" w:space="0"/>
              <w:bottom w:val="single" w:color="auto" w:sz="6" w:space="0"/>
              <w:right w:val="single" w:color="auto" w:sz="4" w:space="0"/>
            </w:tcBorders>
            <w:noWrap w:val="0"/>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b w:val="0"/>
                <w:bCs w:val="0"/>
                <w:color w:val="auto"/>
                <w:kern w:val="0"/>
                <w:sz w:val="22"/>
                <w:szCs w:val="22"/>
                <w:highlight w:val="none"/>
                <w:lang w:val="en-US" w:eastAsia="zh-CN"/>
              </w:rPr>
              <w:t>培训服务</w:t>
            </w:r>
          </w:p>
        </w:tc>
        <w:tc>
          <w:tcPr>
            <w:tcW w:w="5746" w:type="dxa"/>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left"/>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包括但不限于培训对象、课时安排、师资力量安排等，方案考虑充分安排有效得</w:t>
            </w:r>
            <w:r>
              <w:rPr>
                <w:rFonts w:hint="eastAsia" w:ascii="宋体" w:hAnsi="宋体" w:cs="宋体"/>
                <w:b w:val="0"/>
                <w:bCs w:val="0"/>
                <w:color w:val="auto"/>
                <w:kern w:val="0"/>
                <w:sz w:val="22"/>
                <w:szCs w:val="22"/>
                <w:highlight w:val="none"/>
                <w:lang w:val="en-US" w:eastAsia="zh-CN"/>
              </w:rPr>
              <w:t>2</w:t>
            </w:r>
            <w:r>
              <w:rPr>
                <w:rFonts w:hint="eastAsia" w:ascii="宋体" w:hAnsi="宋体" w:eastAsia="宋体" w:cs="宋体"/>
                <w:b w:val="0"/>
                <w:bCs w:val="0"/>
                <w:color w:val="auto"/>
                <w:kern w:val="0"/>
                <w:sz w:val="22"/>
                <w:szCs w:val="22"/>
                <w:highlight w:val="none"/>
                <w:lang w:val="en-US" w:eastAsia="zh-CN"/>
              </w:rPr>
              <w:t>分，方案合理安排较充分有效的得</w:t>
            </w:r>
            <w:r>
              <w:rPr>
                <w:rFonts w:hint="eastAsia" w:ascii="宋体" w:hAnsi="宋体" w:cs="宋体"/>
                <w:b w:val="0"/>
                <w:bCs w:val="0"/>
                <w:color w:val="auto"/>
                <w:kern w:val="0"/>
                <w:sz w:val="22"/>
                <w:szCs w:val="22"/>
                <w:highlight w:val="none"/>
                <w:lang w:val="en-US" w:eastAsia="zh-CN"/>
              </w:rPr>
              <w:t>1.5</w:t>
            </w:r>
            <w:r>
              <w:rPr>
                <w:rFonts w:hint="eastAsia" w:ascii="宋体" w:hAnsi="宋体" w:eastAsia="宋体" w:cs="宋体"/>
                <w:b w:val="0"/>
                <w:bCs w:val="0"/>
                <w:color w:val="auto"/>
                <w:kern w:val="0"/>
                <w:sz w:val="22"/>
                <w:szCs w:val="22"/>
                <w:highlight w:val="none"/>
                <w:lang w:val="en-US" w:eastAsia="zh-CN"/>
              </w:rPr>
              <w:t>分，方案内容安排一般得</w:t>
            </w:r>
            <w:r>
              <w:rPr>
                <w:rFonts w:hint="eastAsia" w:ascii="宋体" w:hAnsi="宋体" w:cs="宋体"/>
                <w:b w:val="0"/>
                <w:bCs w:val="0"/>
                <w:color w:val="auto"/>
                <w:kern w:val="0"/>
                <w:sz w:val="22"/>
                <w:szCs w:val="22"/>
                <w:highlight w:val="none"/>
                <w:lang w:val="en-US" w:eastAsia="zh-CN"/>
              </w:rPr>
              <w:t>1</w:t>
            </w:r>
            <w:r>
              <w:rPr>
                <w:rFonts w:hint="eastAsia" w:ascii="宋体" w:hAnsi="宋体" w:eastAsia="宋体" w:cs="宋体"/>
                <w:b w:val="0"/>
                <w:bCs w:val="0"/>
                <w:color w:val="auto"/>
                <w:kern w:val="0"/>
                <w:sz w:val="22"/>
                <w:szCs w:val="22"/>
                <w:highlight w:val="none"/>
                <w:lang w:val="en-US" w:eastAsia="zh-CN"/>
              </w:rPr>
              <w:t>分，方案内容简单，安排不充分的得</w:t>
            </w:r>
            <w:r>
              <w:rPr>
                <w:rFonts w:hint="eastAsia" w:ascii="宋体" w:hAnsi="宋体" w:cs="宋体"/>
                <w:b w:val="0"/>
                <w:bCs w:val="0"/>
                <w:color w:val="auto"/>
                <w:kern w:val="0"/>
                <w:sz w:val="22"/>
                <w:szCs w:val="22"/>
                <w:highlight w:val="none"/>
                <w:lang w:val="en-US" w:eastAsia="zh-CN"/>
              </w:rPr>
              <w:t>0.5</w:t>
            </w:r>
            <w:r>
              <w:rPr>
                <w:rFonts w:hint="eastAsia" w:ascii="宋体" w:hAnsi="宋体" w:eastAsia="宋体" w:cs="宋体"/>
                <w:b w:val="0"/>
                <w:bCs w:val="0"/>
                <w:color w:val="auto"/>
                <w:kern w:val="0"/>
                <w:sz w:val="22"/>
                <w:szCs w:val="22"/>
                <w:highlight w:val="none"/>
                <w:lang w:val="en-US" w:eastAsia="zh-CN"/>
              </w:rPr>
              <w:t>分，无方案得0分。</w:t>
            </w:r>
          </w:p>
        </w:tc>
        <w:tc>
          <w:tcPr>
            <w:tcW w:w="775"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2</w:t>
            </w:r>
          </w:p>
        </w:tc>
        <w:tc>
          <w:tcPr>
            <w:tcW w:w="946"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主观分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default"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szCs w:val="22"/>
                <w:highlight w:val="none"/>
                <w:lang w:val="en-US" w:eastAsia="zh-CN"/>
              </w:rPr>
              <w:t>8</w:t>
            </w:r>
          </w:p>
        </w:tc>
        <w:tc>
          <w:tcPr>
            <w:tcW w:w="1293"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优惠条件</w:t>
            </w:r>
          </w:p>
        </w:tc>
        <w:tc>
          <w:tcPr>
            <w:tcW w:w="5746" w:type="dxa"/>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left"/>
              <w:textAlignment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zh-CN" w:eastAsia="zh-CN"/>
              </w:rPr>
              <w:t>根据投标人</w:t>
            </w:r>
            <w:r>
              <w:rPr>
                <w:rFonts w:hint="eastAsia" w:ascii="宋体" w:hAnsi="宋体" w:cs="宋体"/>
                <w:b w:val="0"/>
                <w:bCs w:val="0"/>
                <w:color w:val="auto"/>
                <w:kern w:val="0"/>
                <w:sz w:val="22"/>
                <w:szCs w:val="22"/>
                <w:highlight w:val="none"/>
                <w:lang w:val="en-US" w:eastAsia="zh-CN"/>
              </w:rPr>
              <w:t>针对本项目</w:t>
            </w:r>
            <w:r>
              <w:rPr>
                <w:rFonts w:hint="eastAsia" w:ascii="宋体" w:hAnsi="宋体" w:eastAsia="宋体" w:cs="宋体"/>
                <w:b w:val="0"/>
                <w:bCs w:val="0"/>
                <w:color w:val="auto"/>
                <w:kern w:val="0"/>
                <w:sz w:val="22"/>
                <w:szCs w:val="22"/>
                <w:highlight w:val="none"/>
                <w:lang w:val="zh-CN" w:eastAsia="zh-CN"/>
              </w:rPr>
              <w:t>提供的优惠条件</w:t>
            </w:r>
            <w:r>
              <w:rPr>
                <w:rFonts w:hint="eastAsia" w:ascii="宋体" w:hAnsi="宋体" w:cs="宋体"/>
                <w:b w:val="0"/>
                <w:bCs w:val="0"/>
                <w:color w:val="auto"/>
                <w:kern w:val="0"/>
                <w:sz w:val="22"/>
                <w:szCs w:val="22"/>
                <w:highlight w:val="none"/>
                <w:lang w:val="en-US" w:eastAsia="zh-CN"/>
              </w:rPr>
              <w:t>的</w:t>
            </w:r>
            <w:r>
              <w:rPr>
                <w:rFonts w:hint="eastAsia" w:ascii="宋体" w:hAnsi="宋体" w:eastAsia="宋体" w:cs="宋体"/>
                <w:b w:val="0"/>
                <w:bCs w:val="0"/>
                <w:color w:val="auto"/>
                <w:kern w:val="0"/>
                <w:sz w:val="22"/>
                <w:szCs w:val="22"/>
                <w:highlight w:val="none"/>
                <w:lang w:val="en-US" w:eastAsia="zh-CN"/>
              </w:rPr>
              <w:t>实用性</w:t>
            </w:r>
            <w:r>
              <w:rPr>
                <w:rFonts w:hint="eastAsia" w:ascii="宋体" w:hAnsi="宋体" w:eastAsia="宋体" w:cs="宋体"/>
                <w:b w:val="0"/>
                <w:bCs w:val="0"/>
                <w:color w:val="auto"/>
                <w:kern w:val="0"/>
                <w:sz w:val="22"/>
                <w:szCs w:val="22"/>
                <w:highlight w:val="none"/>
                <w:lang w:val="zh-CN" w:eastAsia="zh-CN"/>
              </w:rPr>
              <w:t>打分</w:t>
            </w:r>
            <w:r>
              <w:rPr>
                <w:rFonts w:hint="eastAsia" w:ascii="宋体" w:hAnsi="宋体" w:cs="宋体"/>
                <w:b w:val="0"/>
                <w:bCs w:val="0"/>
                <w:color w:val="auto"/>
                <w:kern w:val="0"/>
                <w:sz w:val="22"/>
                <w:szCs w:val="22"/>
                <w:highlight w:val="none"/>
                <w:lang w:val="en-US" w:eastAsia="zh-CN"/>
              </w:rPr>
              <w:t>：</w:t>
            </w:r>
            <w:r>
              <w:rPr>
                <w:rFonts w:hint="eastAsia" w:ascii="宋体" w:hAnsi="宋体" w:eastAsia="宋体" w:cs="宋体"/>
                <w:b w:val="0"/>
                <w:bCs w:val="0"/>
                <w:color w:val="auto"/>
                <w:kern w:val="0"/>
                <w:sz w:val="22"/>
                <w:szCs w:val="22"/>
                <w:highlight w:val="none"/>
                <w:lang w:val="en-US" w:eastAsia="zh-CN"/>
              </w:rPr>
              <w:t>实用性强的得</w:t>
            </w:r>
            <w:r>
              <w:rPr>
                <w:rFonts w:hint="eastAsia" w:ascii="宋体" w:hAnsi="宋体" w:cs="宋体"/>
                <w:b w:val="0"/>
                <w:bCs w:val="0"/>
                <w:color w:val="auto"/>
                <w:kern w:val="0"/>
                <w:sz w:val="22"/>
                <w:szCs w:val="22"/>
                <w:highlight w:val="none"/>
                <w:lang w:val="en-US" w:eastAsia="zh-CN"/>
              </w:rPr>
              <w:t>3</w:t>
            </w:r>
            <w:r>
              <w:rPr>
                <w:rFonts w:hint="eastAsia" w:ascii="宋体" w:hAnsi="宋体" w:eastAsia="宋体" w:cs="宋体"/>
                <w:b w:val="0"/>
                <w:bCs w:val="0"/>
                <w:color w:val="auto"/>
                <w:kern w:val="0"/>
                <w:sz w:val="22"/>
                <w:szCs w:val="22"/>
                <w:highlight w:val="none"/>
                <w:lang w:val="en-US" w:eastAsia="zh-CN"/>
              </w:rPr>
              <w:t>分，实用性较强得</w:t>
            </w:r>
            <w:r>
              <w:rPr>
                <w:rFonts w:hint="eastAsia" w:ascii="宋体" w:hAnsi="宋体" w:cs="宋体"/>
                <w:b w:val="0"/>
                <w:bCs w:val="0"/>
                <w:color w:val="auto"/>
                <w:kern w:val="0"/>
                <w:sz w:val="22"/>
                <w:szCs w:val="22"/>
                <w:highlight w:val="none"/>
                <w:lang w:val="en-US" w:eastAsia="zh-CN"/>
              </w:rPr>
              <w:t>2</w:t>
            </w:r>
            <w:r>
              <w:rPr>
                <w:rFonts w:hint="eastAsia" w:ascii="宋体" w:hAnsi="宋体" w:eastAsia="宋体" w:cs="宋体"/>
                <w:b w:val="0"/>
                <w:bCs w:val="0"/>
                <w:color w:val="auto"/>
                <w:kern w:val="0"/>
                <w:sz w:val="22"/>
                <w:szCs w:val="22"/>
                <w:highlight w:val="none"/>
                <w:lang w:val="en-US" w:eastAsia="zh-CN"/>
              </w:rPr>
              <w:t>分，实用性一般的得1分，实用性不强的得</w:t>
            </w:r>
            <w:r>
              <w:rPr>
                <w:rFonts w:hint="eastAsia" w:ascii="宋体" w:hAnsi="宋体" w:cs="宋体"/>
                <w:b w:val="0"/>
                <w:bCs w:val="0"/>
                <w:color w:val="auto"/>
                <w:kern w:val="0"/>
                <w:sz w:val="22"/>
                <w:szCs w:val="22"/>
                <w:highlight w:val="none"/>
                <w:lang w:val="en-US" w:eastAsia="zh-CN"/>
              </w:rPr>
              <w:t>0.5</w:t>
            </w:r>
            <w:r>
              <w:rPr>
                <w:rFonts w:hint="eastAsia" w:ascii="宋体" w:hAnsi="宋体" w:eastAsia="宋体" w:cs="宋体"/>
                <w:b w:val="0"/>
                <w:bCs w:val="0"/>
                <w:color w:val="auto"/>
                <w:kern w:val="0"/>
                <w:sz w:val="22"/>
                <w:szCs w:val="22"/>
                <w:highlight w:val="none"/>
                <w:lang w:val="en-US" w:eastAsia="zh-CN"/>
              </w:rPr>
              <w:t>分，没有得0分。</w:t>
            </w:r>
          </w:p>
        </w:tc>
        <w:tc>
          <w:tcPr>
            <w:tcW w:w="775"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cs="宋体"/>
                <w:b w:val="0"/>
                <w:bCs w:val="0"/>
                <w:color w:val="auto"/>
                <w:kern w:val="0"/>
                <w:sz w:val="22"/>
                <w:szCs w:val="22"/>
                <w:highlight w:val="none"/>
                <w:lang w:val="en-US" w:eastAsia="zh-CN"/>
              </w:rPr>
              <w:t>3</w:t>
            </w:r>
          </w:p>
        </w:tc>
        <w:tc>
          <w:tcPr>
            <w:tcW w:w="946"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textAlignment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主观分</w:t>
            </w:r>
          </w:p>
        </w:tc>
      </w:tr>
    </w:tbl>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2.报价评分（30分）：</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2.1资格及符合性审查通过的有效投标人进入商务报价评分。</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报价评分采用低价优先法计算，即满足招标文件要求且评审价格最低的为评标基准价，其价格分为满分。其他投标人的报价分按照下列公式计算：</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报价分=（评标基准价/评审价格）×30。</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注：以上四舍五入后保留小数2位</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投标如缺少须提供的一种功能或配置或服务，该价格将在其投标价的基础上加上其他投标人相应分项价格的最高价。如若中标，该缺漏项费用将由中标人自行承担，投标报价不做调整。</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bCs/>
          <w:color w:val="auto"/>
          <w:sz w:val="22"/>
          <w:highlight w:val="none"/>
        </w:rPr>
        <w:t>2.2</w:t>
      </w:r>
      <w:r>
        <w:rPr>
          <w:rFonts w:hint="eastAsia" w:ascii="宋体" w:hAnsi="宋体" w:eastAsia="宋体" w:cs="宋体"/>
          <w:color w:val="auto"/>
          <w:sz w:val="22"/>
          <w:highlight w:val="none"/>
        </w:rPr>
        <w:t>投标人的综合评分为“商务和技术分”和“报价分”的总计。</w:t>
      </w:r>
    </w:p>
    <w:p>
      <w:pPr>
        <w:spacing w:line="360" w:lineRule="exact"/>
        <w:rPr>
          <w:rFonts w:hint="eastAsia" w:ascii="宋体" w:hAnsi="宋体" w:eastAsia="宋体" w:cs="宋体"/>
          <w:color w:val="auto"/>
          <w:sz w:val="22"/>
          <w:highlight w:val="none"/>
        </w:rPr>
      </w:pPr>
    </w:p>
    <w:p>
      <w:pPr>
        <w:rPr>
          <w:color w:val="auto"/>
          <w:highlight w:val="none"/>
        </w:rPr>
      </w:pPr>
    </w:p>
    <w:p>
      <w:pPr>
        <w:rPr>
          <w:color w:val="auto"/>
          <w:highlight w:val="none"/>
        </w:rPr>
      </w:pPr>
    </w:p>
    <w:sectPr>
      <w:headerReference r:id="rId3" w:type="default"/>
      <w:footerReference r:id="rId4" w:type="default"/>
      <w:pgSz w:w="11906" w:h="16838"/>
      <w:pgMar w:top="1134" w:right="1134"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font-weight : 400">
    <w:altName w:val="微软雅黑"/>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59" w:rightChars="17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59105" cy="147955"/>
              <wp:effectExtent l="0" t="0" r="0" b="0"/>
              <wp:wrapNone/>
              <wp:docPr id="12" name="Quad Arrow 1"/>
              <wp:cNvGraphicFramePr/>
              <a:graphic xmlns:a="http://schemas.openxmlformats.org/drawingml/2006/main">
                <a:graphicData uri="http://schemas.microsoft.com/office/word/2010/wordprocessingShape">
                  <wps:wsp>
                    <wps:cNvSpPr txBox="1"/>
                    <wps:spPr>
                      <a:xfrm>
                        <a:off x="0" y="0"/>
                        <a:ext cx="45910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1.65pt;width:36.15pt;mso-position-horizontal:center;mso-position-horizontal-relative:margin;mso-wrap-style:none;z-index:251663360;mso-width-relative:page;mso-height-relative:page;" filled="f" stroked="f" coordsize="21600,21600" o:gfxdata="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UQJN0QAAAAMBAAAPAAAAAAAAAAEAIAAAACIAAABkcnMvZG93bnJldi54bWxQSwEC&#10;FAAUAAAACACHTuJAdxAZXcIBAACZAwAADgAAAAAAAAABACAAAAAg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8115"/>
        <w:tab w:val="clear" w:pos="4153"/>
        <w:tab w:val="clear" w:pos="8306"/>
      </w:tabs>
      <w:jc w:val="right"/>
    </w:pPr>
    <w:r>
      <w:rPr>
        <w:rFonts w:hint="eastAsia"/>
      </w:rPr>
      <w:t>浙江乐诚工程咨询有限公司招标文件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FCCBE"/>
    <w:multiLevelType w:val="singleLevel"/>
    <w:tmpl w:val="A81FCCBE"/>
    <w:lvl w:ilvl="0" w:tentative="0">
      <w:start w:val="1"/>
      <w:numFmt w:val="decimal"/>
      <w:lvlText w:val="%1."/>
      <w:lvlJc w:val="left"/>
      <w:pPr>
        <w:tabs>
          <w:tab w:val="left" w:pos="312"/>
        </w:tabs>
      </w:pPr>
    </w:lvl>
  </w:abstractNum>
  <w:abstractNum w:abstractNumId="1">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BD3B6079"/>
    <w:multiLevelType w:val="singleLevel"/>
    <w:tmpl w:val="BD3B6079"/>
    <w:lvl w:ilvl="0" w:tentative="0">
      <w:start w:val="1"/>
      <w:numFmt w:val="decimal"/>
      <w:suff w:val="nothing"/>
      <w:lvlText w:val="%1．"/>
      <w:lvlJc w:val="left"/>
      <w:pPr>
        <w:ind w:left="0" w:firstLine="400"/>
      </w:pPr>
      <w:rPr>
        <w:rFonts w:hint="default"/>
      </w:rPr>
    </w:lvl>
  </w:abstractNum>
  <w:abstractNum w:abstractNumId="3">
    <w:nsid w:val="C8B16661"/>
    <w:multiLevelType w:val="singleLevel"/>
    <w:tmpl w:val="C8B16661"/>
    <w:lvl w:ilvl="0" w:tentative="0">
      <w:start w:val="1"/>
      <w:numFmt w:val="chineseCounting"/>
      <w:suff w:val="nothing"/>
      <w:lvlText w:val="%1、"/>
      <w:lvlJc w:val="left"/>
      <w:rPr>
        <w:rFonts w:hint="eastAsia"/>
      </w:rPr>
    </w:lvl>
  </w:abstractNum>
  <w:abstractNum w:abstractNumId="4">
    <w:nsid w:val="E755E9F4"/>
    <w:multiLevelType w:val="singleLevel"/>
    <w:tmpl w:val="E755E9F4"/>
    <w:lvl w:ilvl="0" w:tentative="0">
      <w:start w:val="10"/>
      <w:numFmt w:val="decimal"/>
      <w:suff w:val="nothing"/>
      <w:lvlText w:val="%1、"/>
      <w:lvlJc w:val="left"/>
    </w:lvl>
  </w:abstractNum>
  <w:abstractNum w:abstractNumId="5">
    <w:nsid w:val="E8FAF495"/>
    <w:multiLevelType w:val="singleLevel"/>
    <w:tmpl w:val="E8FAF495"/>
    <w:lvl w:ilvl="0" w:tentative="0">
      <w:start w:val="10"/>
      <w:numFmt w:val="decimal"/>
      <w:suff w:val="nothing"/>
      <w:lvlText w:val="%1、"/>
      <w:lvlJc w:val="left"/>
    </w:lvl>
  </w:abstractNum>
  <w:abstractNum w:abstractNumId="6">
    <w:nsid w:val="134E98B4"/>
    <w:multiLevelType w:val="singleLevel"/>
    <w:tmpl w:val="134E98B4"/>
    <w:lvl w:ilvl="0" w:tentative="0">
      <w:start w:val="1"/>
      <w:numFmt w:val="chineseCounting"/>
      <w:lvlText w:val="%1."/>
      <w:lvlJc w:val="left"/>
      <w:pPr>
        <w:tabs>
          <w:tab w:val="left" w:pos="312"/>
        </w:tabs>
      </w:pPr>
      <w:rPr>
        <w:rFonts w:hint="eastAsia"/>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418D6EE1"/>
    <w:multiLevelType w:val="multilevel"/>
    <w:tmpl w:val="418D6EE1"/>
    <w:lvl w:ilvl="0" w:tentative="0">
      <w:start w:val="1"/>
      <w:numFmt w:val="decimal"/>
      <w:lvlText w:val="%1"/>
      <w:lvlJc w:val="left"/>
      <w:pPr>
        <w:ind w:left="360" w:hanging="360"/>
      </w:pPr>
      <w:rPr>
        <w:rFonts w:hint="default"/>
      </w:rPr>
    </w:lvl>
    <w:lvl w:ilvl="1" w:tentative="0">
      <w:start w:val="3"/>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9">
    <w:nsid w:val="4C59000B"/>
    <w:multiLevelType w:val="singleLevel"/>
    <w:tmpl w:val="4C59000B"/>
    <w:lvl w:ilvl="0" w:tentative="0">
      <w:start w:val="1"/>
      <w:numFmt w:val="decimal"/>
      <w:suff w:val="nothing"/>
      <w:lvlText w:val="%1、"/>
      <w:lvlJc w:val="left"/>
    </w:lvl>
  </w:abstractNum>
  <w:abstractNum w:abstractNumId="10">
    <w:nsid w:val="557FD3DA"/>
    <w:multiLevelType w:val="singleLevel"/>
    <w:tmpl w:val="557FD3DA"/>
    <w:lvl w:ilvl="0" w:tentative="0">
      <w:start w:val="3"/>
      <w:numFmt w:val="chineseCounting"/>
      <w:suff w:val="nothing"/>
      <w:lvlText w:val="%1、"/>
      <w:lvlJc w:val="left"/>
      <w:rPr>
        <w:rFonts w:cs="Times New Roman"/>
      </w:rPr>
    </w:lvl>
  </w:abstractNum>
  <w:abstractNum w:abstractNumId="11">
    <w:nsid w:val="57774443"/>
    <w:multiLevelType w:val="multilevel"/>
    <w:tmpl w:val="57774443"/>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decimal"/>
      <w:isLgl/>
      <w:lvlText w:val="%1.%2"/>
      <w:lvlJc w:val="left"/>
      <w:pPr>
        <w:tabs>
          <w:tab w:val="left" w:pos="360"/>
        </w:tabs>
        <w:ind w:left="360" w:hanging="360"/>
      </w:pPr>
      <w:rPr>
        <w:rFonts w:hint="default" w:ascii="Times New Roman" w:hAnsi="Times New Roman" w:cs="Times New Roman"/>
        <w:b w:val="0"/>
      </w:rPr>
    </w:lvl>
    <w:lvl w:ilvl="2" w:tentative="0">
      <w:start w:val="1"/>
      <w:numFmt w:val="decimal"/>
      <w:isLgl/>
      <w:lvlText w:val="%1.%2.%3"/>
      <w:lvlJc w:val="left"/>
      <w:pPr>
        <w:tabs>
          <w:tab w:val="left" w:pos="720"/>
        </w:tabs>
        <w:ind w:left="720" w:hanging="720"/>
      </w:pPr>
      <w:rPr>
        <w:rFonts w:hint="default" w:ascii="Times New Roman" w:hAnsi="Times New Roman" w:cs="Times New Roman"/>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440"/>
        </w:tabs>
        <w:ind w:left="1440" w:hanging="144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2160"/>
        </w:tabs>
        <w:ind w:left="2160" w:hanging="2160"/>
      </w:pPr>
      <w:rPr>
        <w:rFonts w:hint="default"/>
      </w:rPr>
    </w:lvl>
  </w:abstractNum>
  <w:abstractNum w:abstractNumId="12">
    <w:nsid w:val="63F55685"/>
    <w:multiLevelType w:val="singleLevel"/>
    <w:tmpl w:val="63F55685"/>
    <w:lvl w:ilvl="0" w:tentative="0">
      <w:start w:val="1"/>
      <w:numFmt w:val="decimalEnclosedCircleChinese"/>
      <w:suff w:val="nothing"/>
      <w:lvlText w:val="%1　"/>
      <w:lvlJc w:val="left"/>
      <w:pPr>
        <w:ind w:left="0" w:firstLine="400"/>
      </w:pPr>
      <w:rPr>
        <w:rFonts w:hint="eastAsia"/>
      </w:rPr>
    </w:lvl>
  </w:abstractNum>
  <w:abstractNum w:abstractNumId="13">
    <w:nsid w:val="6675D123"/>
    <w:multiLevelType w:val="singleLevel"/>
    <w:tmpl w:val="6675D123"/>
    <w:lvl w:ilvl="0" w:tentative="0">
      <w:start w:val="5"/>
      <w:numFmt w:val="chineseCounting"/>
      <w:suff w:val="space"/>
      <w:lvlText w:val="第%1部分"/>
      <w:lvlJc w:val="left"/>
      <w:rPr>
        <w:rFonts w:hint="eastAsia"/>
      </w:rPr>
    </w:lvl>
  </w:abstractNum>
  <w:num w:numId="1">
    <w:abstractNumId w:val="1"/>
  </w:num>
  <w:num w:numId="2">
    <w:abstractNumId w:val="7"/>
  </w:num>
  <w:num w:numId="3">
    <w:abstractNumId w:val="0"/>
  </w:num>
  <w:num w:numId="4">
    <w:abstractNumId w:val="12"/>
  </w:num>
  <w:num w:numId="5">
    <w:abstractNumId w:val="2"/>
  </w:num>
  <w:num w:numId="6">
    <w:abstractNumId w:val="9"/>
  </w:num>
  <w:num w:numId="7">
    <w:abstractNumId w:val="3"/>
  </w:num>
  <w:num w:numId="8">
    <w:abstractNumId w:val="10"/>
  </w:num>
  <w:num w:numId="9">
    <w:abstractNumId w:val="13"/>
  </w:num>
  <w:num w:numId="10">
    <w:abstractNumId w:val="8"/>
  </w:num>
  <w:num w:numId="11">
    <w:abstractNumId w:val="11"/>
    <w:lvlOverride w:ilvl="1">
      <w:startOverride w:val="1"/>
    </w:lvlOverride>
  </w:num>
  <w:num w:numId="12">
    <w:abstractNumId w:val="11"/>
    <w:lvlOverride w:ilvl="1">
      <w:startOverride w:val="1"/>
    </w:lvlOverride>
  </w:num>
  <w:num w:numId="13">
    <w:abstractNumId w:val="5"/>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NTQyMDU4ZjViYTgyY2JhMWRhOWMxODQ1Zjg1MTIifQ=="/>
  </w:docVars>
  <w:rsids>
    <w:rsidRoot w:val="0077105C"/>
    <w:rsid w:val="00003A8E"/>
    <w:rsid w:val="00003B8B"/>
    <w:rsid w:val="00004ACA"/>
    <w:rsid w:val="00006C3A"/>
    <w:rsid w:val="00007F11"/>
    <w:rsid w:val="000104E3"/>
    <w:rsid w:val="00011DDF"/>
    <w:rsid w:val="000126A9"/>
    <w:rsid w:val="00012BEA"/>
    <w:rsid w:val="0002341D"/>
    <w:rsid w:val="00023928"/>
    <w:rsid w:val="00026748"/>
    <w:rsid w:val="00026DF1"/>
    <w:rsid w:val="00030840"/>
    <w:rsid w:val="00030AEC"/>
    <w:rsid w:val="00032251"/>
    <w:rsid w:val="00032287"/>
    <w:rsid w:val="000358F0"/>
    <w:rsid w:val="00040878"/>
    <w:rsid w:val="00041DB4"/>
    <w:rsid w:val="00043348"/>
    <w:rsid w:val="00043A6C"/>
    <w:rsid w:val="00043DC0"/>
    <w:rsid w:val="000457EF"/>
    <w:rsid w:val="000507FF"/>
    <w:rsid w:val="000545B7"/>
    <w:rsid w:val="0005663D"/>
    <w:rsid w:val="00056ADF"/>
    <w:rsid w:val="00057DF7"/>
    <w:rsid w:val="000602E9"/>
    <w:rsid w:val="00060469"/>
    <w:rsid w:val="00060F30"/>
    <w:rsid w:val="000612EF"/>
    <w:rsid w:val="00066845"/>
    <w:rsid w:val="000730F9"/>
    <w:rsid w:val="000731FD"/>
    <w:rsid w:val="00074112"/>
    <w:rsid w:val="00080C9A"/>
    <w:rsid w:val="0008186D"/>
    <w:rsid w:val="00081A37"/>
    <w:rsid w:val="0008260D"/>
    <w:rsid w:val="00083CAF"/>
    <w:rsid w:val="00086D9D"/>
    <w:rsid w:val="00087EC6"/>
    <w:rsid w:val="00090DC1"/>
    <w:rsid w:val="00097A19"/>
    <w:rsid w:val="000A3D9E"/>
    <w:rsid w:val="000A4CA6"/>
    <w:rsid w:val="000A581B"/>
    <w:rsid w:val="000A5A7A"/>
    <w:rsid w:val="000B4A89"/>
    <w:rsid w:val="000B53F4"/>
    <w:rsid w:val="000B565E"/>
    <w:rsid w:val="000B6159"/>
    <w:rsid w:val="000B7DB9"/>
    <w:rsid w:val="000C25F3"/>
    <w:rsid w:val="000C28D0"/>
    <w:rsid w:val="000C2A04"/>
    <w:rsid w:val="000C3755"/>
    <w:rsid w:val="000C6819"/>
    <w:rsid w:val="000C6AE1"/>
    <w:rsid w:val="000C7072"/>
    <w:rsid w:val="000D0620"/>
    <w:rsid w:val="000D6160"/>
    <w:rsid w:val="000E12FE"/>
    <w:rsid w:val="000E1320"/>
    <w:rsid w:val="000E1DF1"/>
    <w:rsid w:val="000E5828"/>
    <w:rsid w:val="000E583B"/>
    <w:rsid w:val="000F0EE3"/>
    <w:rsid w:val="000F3299"/>
    <w:rsid w:val="000F5270"/>
    <w:rsid w:val="000F568F"/>
    <w:rsid w:val="000F5B1D"/>
    <w:rsid w:val="000F5EA6"/>
    <w:rsid w:val="00100B74"/>
    <w:rsid w:val="00101FE4"/>
    <w:rsid w:val="00105C9A"/>
    <w:rsid w:val="00105D7E"/>
    <w:rsid w:val="0011292B"/>
    <w:rsid w:val="001132E2"/>
    <w:rsid w:val="00113F54"/>
    <w:rsid w:val="001175AC"/>
    <w:rsid w:val="001207CC"/>
    <w:rsid w:val="0012173F"/>
    <w:rsid w:val="00122E4D"/>
    <w:rsid w:val="001260BB"/>
    <w:rsid w:val="0013237A"/>
    <w:rsid w:val="00132400"/>
    <w:rsid w:val="00132AAE"/>
    <w:rsid w:val="00133077"/>
    <w:rsid w:val="00134533"/>
    <w:rsid w:val="00136695"/>
    <w:rsid w:val="001404FE"/>
    <w:rsid w:val="00140D4A"/>
    <w:rsid w:val="0014331F"/>
    <w:rsid w:val="00143E1D"/>
    <w:rsid w:val="00144DEC"/>
    <w:rsid w:val="0014546A"/>
    <w:rsid w:val="00145D07"/>
    <w:rsid w:val="00147480"/>
    <w:rsid w:val="0015078E"/>
    <w:rsid w:val="00150A0F"/>
    <w:rsid w:val="001518ED"/>
    <w:rsid w:val="00151DD4"/>
    <w:rsid w:val="00153CDA"/>
    <w:rsid w:val="001540A3"/>
    <w:rsid w:val="001555AD"/>
    <w:rsid w:val="001557C5"/>
    <w:rsid w:val="00156193"/>
    <w:rsid w:val="00156CCD"/>
    <w:rsid w:val="001570FE"/>
    <w:rsid w:val="00161018"/>
    <w:rsid w:val="001614B3"/>
    <w:rsid w:val="0016257C"/>
    <w:rsid w:val="00163F80"/>
    <w:rsid w:val="00165B2D"/>
    <w:rsid w:val="00165C61"/>
    <w:rsid w:val="0016770B"/>
    <w:rsid w:val="0017112C"/>
    <w:rsid w:val="001716F3"/>
    <w:rsid w:val="0017476F"/>
    <w:rsid w:val="001768AD"/>
    <w:rsid w:val="00176FDF"/>
    <w:rsid w:val="001770A9"/>
    <w:rsid w:val="0018141D"/>
    <w:rsid w:val="00182127"/>
    <w:rsid w:val="001822F8"/>
    <w:rsid w:val="00182553"/>
    <w:rsid w:val="00183839"/>
    <w:rsid w:val="00183E40"/>
    <w:rsid w:val="00184429"/>
    <w:rsid w:val="00186A6C"/>
    <w:rsid w:val="00193285"/>
    <w:rsid w:val="00194CCA"/>
    <w:rsid w:val="0019571A"/>
    <w:rsid w:val="00196379"/>
    <w:rsid w:val="001A5952"/>
    <w:rsid w:val="001B0609"/>
    <w:rsid w:val="001B0883"/>
    <w:rsid w:val="001B0DFB"/>
    <w:rsid w:val="001B32B4"/>
    <w:rsid w:val="001B5603"/>
    <w:rsid w:val="001C094A"/>
    <w:rsid w:val="001C1392"/>
    <w:rsid w:val="001C1E7D"/>
    <w:rsid w:val="001C2259"/>
    <w:rsid w:val="001C636B"/>
    <w:rsid w:val="001C6DFA"/>
    <w:rsid w:val="001D16CC"/>
    <w:rsid w:val="001D3E24"/>
    <w:rsid w:val="001D4C20"/>
    <w:rsid w:val="001E5864"/>
    <w:rsid w:val="001F0342"/>
    <w:rsid w:val="001F4FD4"/>
    <w:rsid w:val="001F56C4"/>
    <w:rsid w:val="001F6CF4"/>
    <w:rsid w:val="0020352C"/>
    <w:rsid w:val="00203EBC"/>
    <w:rsid w:val="002047B7"/>
    <w:rsid w:val="00204A26"/>
    <w:rsid w:val="00207187"/>
    <w:rsid w:val="0020787C"/>
    <w:rsid w:val="00211325"/>
    <w:rsid w:val="002132FC"/>
    <w:rsid w:val="00214A4F"/>
    <w:rsid w:val="00215B12"/>
    <w:rsid w:val="002168ED"/>
    <w:rsid w:val="0022235F"/>
    <w:rsid w:val="00222DDA"/>
    <w:rsid w:val="00222EE2"/>
    <w:rsid w:val="0022343A"/>
    <w:rsid w:val="0022418B"/>
    <w:rsid w:val="0022566E"/>
    <w:rsid w:val="00230F1E"/>
    <w:rsid w:val="002311D3"/>
    <w:rsid w:val="00231898"/>
    <w:rsid w:val="00232ECB"/>
    <w:rsid w:val="00234308"/>
    <w:rsid w:val="00241445"/>
    <w:rsid w:val="0024282A"/>
    <w:rsid w:val="00251544"/>
    <w:rsid w:val="00252945"/>
    <w:rsid w:val="00254A9E"/>
    <w:rsid w:val="00261663"/>
    <w:rsid w:val="002627AC"/>
    <w:rsid w:val="00263DBF"/>
    <w:rsid w:val="00263E40"/>
    <w:rsid w:val="002663A6"/>
    <w:rsid w:val="002671E3"/>
    <w:rsid w:val="002673EA"/>
    <w:rsid w:val="00270625"/>
    <w:rsid w:val="00273C8A"/>
    <w:rsid w:val="00275C15"/>
    <w:rsid w:val="00282BE2"/>
    <w:rsid w:val="00285FEB"/>
    <w:rsid w:val="00295D3C"/>
    <w:rsid w:val="00296423"/>
    <w:rsid w:val="00296F4B"/>
    <w:rsid w:val="002A39E4"/>
    <w:rsid w:val="002A5393"/>
    <w:rsid w:val="002A5E1E"/>
    <w:rsid w:val="002A7AF9"/>
    <w:rsid w:val="002A7B47"/>
    <w:rsid w:val="002B0010"/>
    <w:rsid w:val="002B023B"/>
    <w:rsid w:val="002B0C9A"/>
    <w:rsid w:val="002B2107"/>
    <w:rsid w:val="002C08E5"/>
    <w:rsid w:val="002C1CDB"/>
    <w:rsid w:val="002C3DB6"/>
    <w:rsid w:val="002D20F6"/>
    <w:rsid w:val="002D3FF2"/>
    <w:rsid w:val="002D55A9"/>
    <w:rsid w:val="002D5D33"/>
    <w:rsid w:val="002E01C2"/>
    <w:rsid w:val="002E116F"/>
    <w:rsid w:val="002E3406"/>
    <w:rsid w:val="002E66B0"/>
    <w:rsid w:val="002F18CE"/>
    <w:rsid w:val="002F65B3"/>
    <w:rsid w:val="002F71E5"/>
    <w:rsid w:val="002F72EB"/>
    <w:rsid w:val="00300AC5"/>
    <w:rsid w:val="00302FCF"/>
    <w:rsid w:val="00304644"/>
    <w:rsid w:val="003049DA"/>
    <w:rsid w:val="00304B9D"/>
    <w:rsid w:val="003054B4"/>
    <w:rsid w:val="00311197"/>
    <w:rsid w:val="003156B5"/>
    <w:rsid w:val="00317C20"/>
    <w:rsid w:val="0032028E"/>
    <w:rsid w:val="00320332"/>
    <w:rsid w:val="003213F8"/>
    <w:rsid w:val="00321468"/>
    <w:rsid w:val="0032251D"/>
    <w:rsid w:val="0032294B"/>
    <w:rsid w:val="003248FF"/>
    <w:rsid w:val="003256A3"/>
    <w:rsid w:val="00327E9A"/>
    <w:rsid w:val="003309CC"/>
    <w:rsid w:val="00330A87"/>
    <w:rsid w:val="00331413"/>
    <w:rsid w:val="00331D79"/>
    <w:rsid w:val="003320DE"/>
    <w:rsid w:val="00332EC2"/>
    <w:rsid w:val="00334FF9"/>
    <w:rsid w:val="00340883"/>
    <w:rsid w:val="00340A34"/>
    <w:rsid w:val="00342671"/>
    <w:rsid w:val="00342680"/>
    <w:rsid w:val="003433DC"/>
    <w:rsid w:val="003444DC"/>
    <w:rsid w:val="003454C1"/>
    <w:rsid w:val="00347100"/>
    <w:rsid w:val="0035085D"/>
    <w:rsid w:val="003550C0"/>
    <w:rsid w:val="00355AE1"/>
    <w:rsid w:val="0036115C"/>
    <w:rsid w:val="00362803"/>
    <w:rsid w:val="00363F5C"/>
    <w:rsid w:val="00364D8F"/>
    <w:rsid w:val="00370589"/>
    <w:rsid w:val="00371EBD"/>
    <w:rsid w:val="003746C4"/>
    <w:rsid w:val="003747DD"/>
    <w:rsid w:val="00377953"/>
    <w:rsid w:val="00377FE3"/>
    <w:rsid w:val="00380C7B"/>
    <w:rsid w:val="0038190D"/>
    <w:rsid w:val="00381D15"/>
    <w:rsid w:val="00386472"/>
    <w:rsid w:val="003901CE"/>
    <w:rsid w:val="00391E22"/>
    <w:rsid w:val="00395767"/>
    <w:rsid w:val="0039640C"/>
    <w:rsid w:val="0039763B"/>
    <w:rsid w:val="003A1D8B"/>
    <w:rsid w:val="003A26DA"/>
    <w:rsid w:val="003A4570"/>
    <w:rsid w:val="003A5724"/>
    <w:rsid w:val="003B414E"/>
    <w:rsid w:val="003B70EB"/>
    <w:rsid w:val="003B723D"/>
    <w:rsid w:val="003B78AA"/>
    <w:rsid w:val="003B7C81"/>
    <w:rsid w:val="003B7EAA"/>
    <w:rsid w:val="003C21DC"/>
    <w:rsid w:val="003C775D"/>
    <w:rsid w:val="003D0502"/>
    <w:rsid w:val="003D15A4"/>
    <w:rsid w:val="003D1C07"/>
    <w:rsid w:val="003D1F15"/>
    <w:rsid w:val="003D680D"/>
    <w:rsid w:val="003E13D9"/>
    <w:rsid w:val="003E2383"/>
    <w:rsid w:val="003E2999"/>
    <w:rsid w:val="003E301B"/>
    <w:rsid w:val="003E4080"/>
    <w:rsid w:val="003E4760"/>
    <w:rsid w:val="003E61F0"/>
    <w:rsid w:val="003F27BC"/>
    <w:rsid w:val="003F29FB"/>
    <w:rsid w:val="003F2C3E"/>
    <w:rsid w:val="003F6CCF"/>
    <w:rsid w:val="00403E9D"/>
    <w:rsid w:val="00403FA4"/>
    <w:rsid w:val="004040BA"/>
    <w:rsid w:val="00405C22"/>
    <w:rsid w:val="00414808"/>
    <w:rsid w:val="004151D4"/>
    <w:rsid w:val="00416AC0"/>
    <w:rsid w:val="00422EAC"/>
    <w:rsid w:val="00423493"/>
    <w:rsid w:val="00423D81"/>
    <w:rsid w:val="004240A8"/>
    <w:rsid w:val="00426155"/>
    <w:rsid w:val="004309FA"/>
    <w:rsid w:val="00432010"/>
    <w:rsid w:val="004324AB"/>
    <w:rsid w:val="0043495E"/>
    <w:rsid w:val="0043631A"/>
    <w:rsid w:val="00436647"/>
    <w:rsid w:val="00440F7F"/>
    <w:rsid w:val="00441DD1"/>
    <w:rsid w:val="00442784"/>
    <w:rsid w:val="00443342"/>
    <w:rsid w:val="004441AB"/>
    <w:rsid w:val="00450BE2"/>
    <w:rsid w:val="004510A6"/>
    <w:rsid w:val="00452390"/>
    <w:rsid w:val="00453744"/>
    <w:rsid w:val="00453F41"/>
    <w:rsid w:val="00454184"/>
    <w:rsid w:val="00455FE4"/>
    <w:rsid w:val="0046063F"/>
    <w:rsid w:val="004648E3"/>
    <w:rsid w:val="00466555"/>
    <w:rsid w:val="00467D8E"/>
    <w:rsid w:val="00470721"/>
    <w:rsid w:val="00472430"/>
    <w:rsid w:val="00472601"/>
    <w:rsid w:val="00472977"/>
    <w:rsid w:val="00473D55"/>
    <w:rsid w:val="004745D3"/>
    <w:rsid w:val="00477002"/>
    <w:rsid w:val="00480C00"/>
    <w:rsid w:val="00480D49"/>
    <w:rsid w:val="00483C23"/>
    <w:rsid w:val="00485846"/>
    <w:rsid w:val="00490381"/>
    <w:rsid w:val="00493D9A"/>
    <w:rsid w:val="004951ED"/>
    <w:rsid w:val="004959F9"/>
    <w:rsid w:val="0049634D"/>
    <w:rsid w:val="004A07FB"/>
    <w:rsid w:val="004A11EC"/>
    <w:rsid w:val="004A19E1"/>
    <w:rsid w:val="004A2C9E"/>
    <w:rsid w:val="004A3D91"/>
    <w:rsid w:val="004A526B"/>
    <w:rsid w:val="004A5C3F"/>
    <w:rsid w:val="004A5D08"/>
    <w:rsid w:val="004A632C"/>
    <w:rsid w:val="004A6785"/>
    <w:rsid w:val="004A6F82"/>
    <w:rsid w:val="004B0E35"/>
    <w:rsid w:val="004B27F5"/>
    <w:rsid w:val="004B3A25"/>
    <w:rsid w:val="004B3EE8"/>
    <w:rsid w:val="004B566B"/>
    <w:rsid w:val="004B77F3"/>
    <w:rsid w:val="004C3D63"/>
    <w:rsid w:val="004C4F92"/>
    <w:rsid w:val="004C611B"/>
    <w:rsid w:val="004C768A"/>
    <w:rsid w:val="004D05FE"/>
    <w:rsid w:val="004D5CDE"/>
    <w:rsid w:val="004D7275"/>
    <w:rsid w:val="004D7CE2"/>
    <w:rsid w:val="004E096B"/>
    <w:rsid w:val="004E0F0C"/>
    <w:rsid w:val="004E2A3C"/>
    <w:rsid w:val="004F559F"/>
    <w:rsid w:val="004F674A"/>
    <w:rsid w:val="004F6ADB"/>
    <w:rsid w:val="0050061C"/>
    <w:rsid w:val="00503552"/>
    <w:rsid w:val="00504F25"/>
    <w:rsid w:val="005077BF"/>
    <w:rsid w:val="0050792B"/>
    <w:rsid w:val="00511559"/>
    <w:rsid w:val="0051201B"/>
    <w:rsid w:val="00516CC2"/>
    <w:rsid w:val="005204A1"/>
    <w:rsid w:val="00520C55"/>
    <w:rsid w:val="00522C0C"/>
    <w:rsid w:val="00530C03"/>
    <w:rsid w:val="00532D11"/>
    <w:rsid w:val="00536411"/>
    <w:rsid w:val="00536C23"/>
    <w:rsid w:val="0053710F"/>
    <w:rsid w:val="005379B0"/>
    <w:rsid w:val="00540D43"/>
    <w:rsid w:val="00540E7C"/>
    <w:rsid w:val="005427B5"/>
    <w:rsid w:val="0054288D"/>
    <w:rsid w:val="005439E1"/>
    <w:rsid w:val="00543DD0"/>
    <w:rsid w:val="00545705"/>
    <w:rsid w:val="00546135"/>
    <w:rsid w:val="005475C6"/>
    <w:rsid w:val="005513BB"/>
    <w:rsid w:val="0055369D"/>
    <w:rsid w:val="00553BCB"/>
    <w:rsid w:val="00556E6D"/>
    <w:rsid w:val="00560CBB"/>
    <w:rsid w:val="00561C78"/>
    <w:rsid w:val="005624FC"/>
    <w:rsid w:val="005626D3"/>
    <w:rsid w:val="005630C8"/>
    <w:rsid w:val="00563435"/>
    <w:rsid w:val="0056470E"/>
    <w:rsid w:val="00567B73"/>
    <w:rsid w:val="00571AAB"/>
    <w:rsid w:val="00572049"/>
    <w:rsid w:val="00572EEE"/>
    <w:rsid w:val="005742B4"/>
    <w:rsid w:val="005760B3"/>
    <w:rsid w:val="0057676F"/>
    <w:rsid w:val="00576AD5"/>
    <w:rsid w:val="00582768"/>
    <w:rsid w:val="00591BD6"/>
    <w:rsid w:val="005922DF"/>
    <w:rsid w:val="00592D53"/>
    <w:rsid w:val="00593BBF"/>
    <w:rsid w:val="005963F3"/>
    <w:rsid w:val="00596948"/>
    <w:rsid w:val="0059696F"/>
    <w:rsid w:val="005A0BE8"/>
    <w:rsid w:val="005A13D4"/>
    <w:rsid w:val="005A3F25"/>
    <w:rsid w:val="005A66B8"/>
    <w:rsid w:val="005A6998"/>
    <w:rsid w:val="005A6CFB"/>
    <w:rsid w:val="005A76EC"/>
    <w:rsid w:val="005C3A03"/>
    <w:rsid w:val="005C4511"/>
    <w:rsid w:val="005C4F9C"/>
    <w:rsid w:val="005D3FCC"/>
    <w:rsid w:val="005D471C"/>
    <w:rsid w:val="005D7625"/>
    <w:rsid w:val="005E132B"/>
    <w:rsid w:val="005E34EE"/>
    <w:rsid w:val="005E6893"/>
    <w:rsid w:val="005E72FE"/>
    <w:rsid w:val="005E791B"/>
    <w:rsid w:val="005E79FF"/>
    <w:rsid w:val="005E7D83"/>
    <w:rsid w:val="005F153E"/>
    <w:rsid w:val="005F1A3B"/>
    <w:rsid w:val="005F22F0"/>
    <w:rsid w:val="005F23AD"/>
    <w:rsid w:val="005F463E"/>
    <w:rsid w:val="005F658D"/>
    <w:rsid w:val="005F6B90"/>
    <w:rsid w:val="005F7262"/>
    <w:rsid w:val="005F7AED"/>
    <w:rsid w:val="00603F5E"/>
    <w:rsid w:val="0060579F"/>
    <w:rsid w:val="00606280"/>
    <w:rsid w:val="00606C57"/>
    <w:rsid w:val="006104D9"/>
    <w:rsid w:val="0061084C"/>
    <w:rsid w:val="006117CC"/>
    <w:rsid w:val="00612FB6"/>
    <w:rsid w:val="00617C4D"/>
    <w:rsid w:val="00623400"/>
    <w:rsid w:val="00633180"/>
    <w:rsid w:val="00634F4D"/>
    <w:rsid w:val="0063506D"/>
    <w:rsid w:val="006358CB"/>
    <w:rsid w:val="00636BC6"/>
    <w:rsid w:val="00641B84"/>
    <w:rsid w:val="0064338C"/>
    <w:rsid w:val="00646E09"/>
    <w:rsid w:val="006511C9"/>
    <w:rsid w:val="00651895"/>
    <w:rsid w:val="0065201B"/>
    <w:rsid w:val="006524F3"/>
    <w:rsid w:val="00653670"/>
    <w:rsid w:val="00654187"/>
    <w:rsid w:val="006564D3"/>
    <w:rsid w:val="00663A1E"/>
    <w:rsid w:val="00664C8A"/>
    <w:rsid w:val="00671537"/>
    <w:rsid w:val="00671FB5"/>
    <w:rsid w:val="00672FC4"/>
    <w:rsid w:val="00674397"/>
    <w:rsid w:val="00682698"/>
    <w:rsid w:val="00684BAC"/>
    <w:rsid w:val="00684F2E"/>
    <w:rsid w:val="0069034C"/>
    <w:rsid w:val="00690534"/>
    <w:rsid w:val="00696113"/>
    <w:rsid w:val="006A3DD1"/>
    <w:rsid w:val="006A6830"/>
    <w:rsid w:val="006B1563"/>
    <w:rsid w:val="006B1607"/>
    <w:rsid w:val="006B25DD"/>
    <w:rsid w:val="006B282E"/>
    <w:rsid w:val="006B29E3"/>
    <w:rsid w:val="006B4822"/>
    <w:rsid w:val="006C14BA"/>
    <w:rsid w:val="006C20F4"/>
    <w:rsid w:val="006D1D49"/>
    <w:rsid w:val="006D2249"/>
    <w:rsid w:val="006D5BB8"/>
    <w:rsid w:val="006E04B7"/>
    <w:rsid w:val="006E13C3"/>
    <w:rsid w:val="006E2467"/>
    <w:rsid w:val="006E33F4"/>
    <w:rsid w:val="006E493D"/>
    <w:rsid w:val="006E66EB"/>
    <w:rsid w:val="006E76A8"/>
    <w:rsid w:val="006F0482"/>
    <w:rsid w:val="006F118C"/>
    <w:rsid w:val="006F19FA"/>
    <w:rsid w:val="006F2348"/>
    <w:rsid w:val="006F338B"/>
    <w:rsid w:val="006F5ADD"/>
    <w:rsid w:val="00701465"/>
    <w:rsid w:val="007015A5"/>
    <w:rsid w:val="00704C01"/>
    <w:rsid w:val="00704E14"/>
    <w:rsid w:val="00710827"/>
    <w:rsid w:val="00715981"/>
    <w:rsid w:val="00715B86"/>
    <w:rsid w:val="0071666B"/>
    <w:rsid w:val="0072097C"/>
    <w:rsid w:val="00722218"/>
    <w:rsid w:val="00722285"/>
    <w:rsid w:val="00722CCE"/>
    <w:rsid w:val="00722E0E"/>
    <w:rsid w:val="00727797"/>
    <w:rsid w:val="0073174B"/>
    <w:rsid w:val="00731FD5"/>
    <w:rsid w:val="0073374B"/>
    <w:rsid w:val="00733A27"/>
    <w:rsid w:val="007343DC"/>
    <w:rsid w:val="007350D9"/>
    <w:rsid w:val="00736DED"/>
    <w:rsid w:val="0074273F"/>
    <w:rsid w:val="007447FA"/>
    <w:rsid w:val="00745423"/>
    <w:rsid w:val="00745472"/>
    <w:rsid w:val="00746267"/>
    <w:rsid w:val="007465DC"/>
    <w:rsid w:val="00747A1A"/>
    <w:rsid w:val="007502D4"/>
    <w:rsid w:val="00750E06"/>
    <w:rsid w:val="007510BF"/>
    <w:rsid w:val="00752793"/>
    <w:rsid w:val="00752901"/>
    <w:rsid w:val="00753973"/>
    <w:rsid w:val="00754289"/>
    <w:rsid w:val="0075573C"/>
    <w:rsid w:val="0075650C"/>
    <w:rsid w:val="007573B6"/>
    <w:rsid w:val="00760554"/>
    <w:rsid w:val="007627AC"/>
    <w:rsid w:val="00766882"/>
    <w:rsid w:val="00766F11"/>
    <w:rsid w:val="007702EB"/>
    <w:rsid w:val="0077105C"/>
    <w:rsid w:val="007725AC"/>
    <w:rsid w:val="0077266A"/>
    <w:rsid w:val="00772770"/>
    <w:rsid w:val="007757BB"/>
    <w:rsid w:val="007774FC"/>
    <w:rsid w:val="00784974"/>
    <w:rsid w:val="00785A1A"/>
    <w:rsid w:val="0079269B"/>
    <w:rsid w:val="007955FD"/>
    <w:rsid w:val="007A01FA"/>
    <w:rsid w:val="007A380B"/>
    <w:rsid w:val="007A4E9E"/>
    <w:rsid w:val="007B2A8E"/>
    <w:rsid w:val="007B310C"/>
    <w:rsid w:val="007B5508"/>
    <w:rsid w:val="007B5753"/>
    <w:rsid w:val="007B5D48"/>
    <w:rsid w:val="007C1C6D"/>
    <w:rsid w:val="007C2AD0"/>
    <w:rsid w:val="007C4620"/>
    <w:rsid w:val="007C5A41"/>
    <w:rsid w:val="007D06BB"/>
    <w:rsid w:val="007D0DE8"/>
    <w:rsid w:val="007D18E0"/>
    <w:rsid w:val="007D2ECF"/>
    <w:rsid w:val="007D36F1"/>
    <w:rsid w:val="007D3BF0"/>
    <w:rsid w:val="007D660B"/>
    <w:rsid w:val="007E04AB"/>
    <w:rsid w:val="007E1708"/>
    <w:rsid w:val="007E1FD2"/>
    <w:rsid w:val="007E209D"/>
    <w:rsid w:val="007E21DD"/>
    <w:rsid w:val="007E2F1C"/>
    <w:rsid w:val="007E414F"/>
    <w:rsid w:val="007E640F"/>
    <w:rsid w:val="007E65A2"/>
    <w:rsid w:val="007E6EAD"/>
    <w:rsid w:val="007E6FDD"/>
    <w:rsid w:val="007F5585"/>
    <w:rsid w:val="007F5696"/>
    <w:rsid w:val="008025E2"/>
    <w:rsid w:val="008067B7"/>
    <w:rsid w:val="008069C3"/>
    <w:rsid w:val="008070F2"/>
    <w:rsid w:val="00807624"/>
    <w:rsid w:val="008122F5"/>
    <w:rsid w:val="0081267F"/>
    <w:rsid w:val="00813965"/>
    <w:rsid w:val="008166B5"/>
    <w:rsid w:val="008167F1"/>
    <w:rsid w:val="00824203"/>
    <w:rsid w:val="00824E71"/>
    <w:rsid w:val="00825164"/>
    <w:rsid w:val="00826E9A"/>
    <w:rsid w:val="008271A3"/>
    <w:rsid w:val="00827BC6"/>
    <w:rsid w:val="008309E3"/>
    <w:rsid w:val="00834D7F"/>
    <w:rsid w:val="00836FC9"/>
    <w:rsid w:val="008409F9"/>
    <w:rsid w:val="00841487"/>
    <w:rsid w:val="00851BB8"/>
    <w:rsid w:val="00851E3C"/>
    <w:rsid w:val="00853618"/>
    <w:rsid w:val="00854EE7"/>
    <w:rsid w:val="00857374"/>
    <w:rsid w:val="00860156"/>
    <w:rsid w:val="008611A0"/>
    <w:rsid w:val="00862DC0"/>
    <w:rsid w:val="0086644D"/>
    <w:rsid w:val="00870137"/>
    <w:rsid w:val="00870B61"/>
    <w:rsid w:val="00871E2A"/>
    <w:rsid w:val="00873133"/>
    <w:rsid w:val="00873AB5"/>
    <w:rsid w:val="00876669"/>
    <w:rsid w:val="00877E68"/>
    <w:rsid w:val="0088214B"/>
    <w:rsid w:val="00883D22"/>
    <w:rsid w:val="00885A37"/>
    <w:rsid w:val="00886215"/>
    <w:rsid w:val="008931FC"/>
    <w:rsid w:val="00893340"/>
    <w:rsid w:val="008944A3"/>
    <w:rsid w:val="008945C6"/>
    <w:rsid w:val="008A1BB2"/>
    <w:rsid w:val="008A4CE3"/>
    <w:rsid w:val="008A7713"/>
    <w:rsid w:val="008B0A1E"/>
    <w:rsid w:val="008B0F77"/>
    <w:rsid w:val="008B17D6"/>
    <w:rsid w:val="008B1B8C"/>
    <w:rsid w:val="008B2649"/>
    <w:rsid w:val="008B2947"/>
    <w:rsid w:val="008B2B77"/>
    <w:rsid w:val="008B43BF"/>
    <w:rsid w:val="008B4A6F"/>
    <w:rsid w:val="008B72E8"/>
    <w:rsid w:val="008B73BD"/>
    <w:rsid w:val="008C0A8A"/>
    <w:rsid w:val="008C2580"/>
    <w:rsid w:val="008C2B3B"/>
    <w:rsid w:val="008C34BC"/>
    <w:rsid w:val="008C5CDA"/>
    <w:rsid w:val="008C72EE"/>
    <w:rsid w:val="008D146B"/>
    <w:rsid w:val="008D1E95"/>
    <w:rsid w:val="008D4038"/>
    <w:rsid w:val="008D6D00"/>
    <w:rsid w:val="008E1F8E"/>
    <w:rsid w:val="008E3395"/>
    <w:rsid w:val="008E4282"/>
    <w:rsid w:val="008E46A3"/>
    <w:rsid w:val="008E4818"/>
    <w:rsid w:val="008E48C1"/>
    <w:rsid w:val="008E71A9"/>
    <w:rsid w:val="00900EDC"/>
    <w:rsid w:val="009013C1"/>
    <w:rsid w:val="00901681"/>
    <w:rsid w:val="00902F6C"/>
    <w:rsid w:val="009034C6"/>
    <w:rsid w:val="00905199"/>
    <w:rsid w:val="00905382"/>
    <w:rsid w:val="00913DF5"/>
    <w:rsid w:val="009144F9"/>
    <w:rsid w:val="009145DE"/>
    <w:rsid w:val="00915F03"/>
    <w:rsid w:val="009161F6"/>
    <w:rsid w:val="00917EE1"/>
    <w:rsid w:val="009201F3"/>
    <w:rsid w:val="00920B3F"/>
    <w:rsid w:val="009221FB"/>
    <w:rsid w:val="009235E2"/>
    <w:rsid w:val="00927A68"/>
    <w:rsid w:val="00931D3E"/>
    <w:rsid w:val="00933477"/>
    <w:rsid w:val="009341E9"/>
    <w:rsid w:val="009343F9"/>
    <w:rsid w:val="00935CF8"/>
    <w:rsid w:val="00937198"/>
    <w:rsid w:val="00937994"/>
    <w:rsid w:val="00937B24"/>
    <w:rsid w:val="00937C7B"/>
    <w:rsid w:val="00942418"/>
    <w:rsid w:val="009434C2"/>
    <w:rsid w:val="00947646"/>
    <w:rsid w:val="00951BE0"/>
    <w:rsid w:val="00953672"/>
    <w:rsid w:val="009537FB"/>
    <w:rsid w:val="00960FB4"/>
    <w:rsid w:val="0096287A"/>
    <w:rsid w:val="0096297E"/>
    <w:rsid w:val="00963B31"/>
    <w:rsid w:val="00970259"/>
    <w:rsid w:val="009704A6"/>
    <w:rsid w:val="009704AA"/>
    <w:rsid w:val="009715D5"/>
    <w:rsid w:val="00971620"/>
    <w:rsid w:val="00972664"/>
    <w:rsid w:val="009755B0"/>
    <w:rsid w:val="0097598C"/>
    <w:rsid w:val="00976FEF"/>
    <w:rsid w:val="00977661"/>
    <w:rsid w:val="00977D75"/>
    <w:rsid w:val="009801EC"/>
    <w:rsid w:val="00981201"/>
    <w:rsid w:val="00982389"/>
    <w:rsid w:val="009823BD"/>
    <w:rsid w:val="00983F6E"/>
    <w:rsid w:val="00986727"/>
    <w:rsid w:val="00991F0C"/>
    <w:rsid w:val="00992903"/>
    <w:rsid w:val="00993742"/>
    <w:rsid w:val="00994BB6"/>
    <w:rsid w:val="009A031F"/>
    <w:rsid w:val="009A0480"/>
    <w:rsid w:val="009A06CB"/>
    <w:rsid w:val="009A37A8"/>
    <w:rsid w:val="009A3906"/>
    <w:rsid w:val="009A4BC6"/>
    <w:rsid w:val="009A500B"/>
    <w:rsid w:val="009B41F6"/>
    <w:rsid w:val="009C204D"/>
    <w:rsid w:val="009C56FD"/>
    <w:rsid w:val="009D1541"/>
    <w:rsid w:val="009D1BA6"/>
    <w:rsid w:val="009D2A6B"/>
    <w:rsid w:val="009D49F0"/>
    <w:rsid w:val="009D4A5B"/>
    <w:rsid w:val="009D56E5"/>
    <w:rsid w:val="009D67ED"/>
    <w:rsid w:val="009D7C02"/>
    <w:rsid w:val="009E1B04"/>
    <w:rsid w:val="009E1DF8"/>
    <w:rsid w:val="009E4D8B"/>
    <w:rsid w:val="009E72D3"/>
    <w:rsid w:val="009F048C"/>
    <w:rsid w:val="009F21FC"/>
    <w:rsid w:val="009F23C0"/>
    <w:rsid w:val="009F3ED1"/>
    <w:rsid w:val="009F5A37"/>
    <w:rsid w:val="009F5B96"/>
    <w:rsid w:val="009F7C44"/>
    <w:rsid w:val="00A01A0E"/>
    <w:rsid w:val="00A0237C"/>
    <w:rsid w:val="00A1099B"/>
    <w:rsid w:val="00A11A6B"/>
    <w:rsid w:val="00A13441"/>
    <w:rsid w:val="00A15D13"/>
    <w:rsid w:val="00A16B45"/>
    <w:rsid w:val="00A177F9"/>
    <w:rsid w:val="00A2015E"/>
    <w:rsid w:val="00A22B4D"/>
    <w:rsid w:val="00A24A00"/>
    <w:rsid w:val="00A30646"/>
    <w:rsid w:val="00A30F0E"/>
    <w:rsid w:val="00A31F2E"/>
    <w:rsid w:val="00A35556"/>
    <w:rsid w:val="00A356DC"/>
    <w:rsid w:val="00A357B7"/>
    <w:rsid w:val="00A35A72"/>
    <w:rsid w:val="00A402CC"/>
    <w:rsid w:val="00A433B3"/>
    <w:rsid w:val="00A434DD"/>
    <w:rsid w:val="00A476CE"/>
    <w:rsid w:val="00A50675"/>
    <w:rsid w:val="00A50C5F"/>
    <w:rsid w:val="00A5245C"/>
    <w:rsid w:val="00A549E3"/>
    <w:rsid w:val="00A55BCF"/>
    <w:rsid w:val="00A5682C"/>
    <w:rsid w:val="00A6002C"/>
    <w:rsid w:val="00A604A4"/>
    <w:rsid w:val="00A63CBD"/>
    <w:rsid w:val="00A6569E"/>
    <w:rsid w:val="00A6599E"/>
    <w:rsid w:val="00A674CA"/>
    <w:rsid w:val="00A70319"/>
    <w:rsid w:val="00A70BD7"/>
    <w:rsid w:val="00A716AD"/>
    <w:rsid w:val="00A73AD7"/>
    <w:rsid w:val="00A73F4C"/>
    <w:rsid w:val="00A75AF1"/>
    <w:rsid w:val="00A770E3"/>
    <w:rsid w:val="00A8036F"/>
    <w:rsid w:val="00A82CC5"/>
    <w:rsid w:val="00A83BAC"/>
    <w:rsid w:val="00A86B79"/>
    <w:rsid w:val="00A87928"/>
    <w:rsid w:val="00A87D46"/>
    <w:rsid w:val="00A913C6"/>
    <w:rsid w:val="00A93780"/>
    <w:rsid w:val="00A9449A"/>
    <w:rsid w:val="00A94DC1"/>
    <w:rsid w:val="00A95A22"/>
    <w:rsid w:val="00A95C2C"/>
    <w:rsid w:val="00AA3B5C"/>
    <w:rsid w:val="00AA4306"/>
    <w:rsid w:val="00AA5144"/>
    <w:rsid w:val="00AB076C"/>
    <w:rsid w:val="00AB2053"/>
    <w:rsid w:val="00AB395A"/>
    <w:rsid w:val="00AB4661"/>
    <w:rsid w:val="00AB76EC"/>
    <w:rsid w:val="00AB7FC6"/>
    <w:rsid w:val="00AC2457"/>
    <w:rsid w:val="00AC3D2A"/>
    <w:rsid w:val="00AC3DFC"/>
    <w:rsid w:val="00AC446B"/>
    <w:rsid w:val="00AC6A48"/>
    <w:rsid w:val="00AD281B"/>
    <w:rsid w:val="00AD641A"/>
    <w:rsid w:val="00AD6820"/>
    <w:rsid w:val="00AE5895"/>
    <w:rsid w:val="00AF149F"/>
    <w:rsid w:val="00AF1809"/>
    <w:rsid w:val="00AF3567"/>
    <w:rsid w:val="00AF3CA1"/>
    <w:rsid w:val="00AF3D82"/>
    <w:rsid w:val="00AF6A40"/>
    <w:rsid w:val="00B01B36"/>
    <w:rsid w:val="00B021A0"/>
    <w:rsid w:val="00B049D3"/>
    <w:rsid w:val="00B05BBD"/>
    <w:rsid w:val="00B05E56"/>
    <w:rsid w:val="00B05F74"/>
    <w:rsid w:val="00B0642C"/>
    <w:rsid w:val="00B06E15"/>
    <w:rsid w:val="00B07206"/>
    <w:rsid w:val="00B072A3"/>
    <w:rsid w:val="00B078DF"/>
    <w:rsid w:val="00B10013"/>
    <w:rsid w:val="00B10E32"/>
    <w:rsid w:val="00B11D56"/>
    <w:rsid w:val="00B1290E"/>
    <w:rsid w:val="00B143FC"/>
    <w:rsid w:val="00B17116"/>
    <w:rsid w:val="00B177F8"/>
    <w:rsid w:val="00B17A7E"/>
    <w:rsid w:val="00B2094E"/>
    <w:rsid w:val="00B24DC2"/>
    <w:rsid w:val="00B24E69"/>
    <w:rsid w:val="00B32351"/>
    <w:rsid w:val="00B368E9"/>
    <w:rsid w:val="00B37E59"/>
    <w:rsid w:val="00B400A4"/>
    <w:rsid w:val="00B45592"/>
    <w:rsid w:val="00B45CB7"/>
    <w:rsid w:val="00B45F21"/>
    <w:rsid w:val="00B479A9"/>
    <w:rsid w:val="00B54D0F"/>
    <w:rsid w:val="00B54D36"/>
    <w:rsid w:val="00B552A5"/>
    <w:rsid w:val="00B55535"/>
    <w:rsid w:val="00B55CA8"/>
    <w:rsid w:val="00B60CB1"/>
    <w:rsid w:val="00B61E79"/>
    <w:rsid w:val="00B6210E"/>
    <w:rsid w:val="00B62450"/>
    <w:rsid w:val="00B64D48"/>
    <w:rsid w:val="00B65B38"/>
    <w:rsid w:val="00B66EC1"/>
    <w:rsid w:val="00B67886"/>
    <w:rsid w:val="00B71985"/>
    <w:rsid w:val="00B75E5D"/>
    <w:rsid w:val="00B8128E"/>
    <w:rsid w:val="00B81895"/>
    <w:rsid w:val="00B81D30"/>
    <w:rsid w:val="00B869DA"/>
    <w:rsid w:val="00B91822"/>
    <w:rsid w:val="00B91921"/>
    <w:rsid w:val="00B91FD0"/>
    <w:rsid w:val="00B93C27"/>
    <w:rsid w:val="00B93CBE"/>
    <w:rsid w:val="00B94581"/>
    <w:rsid w:val="00B94715"/>
    <w:rsid w:val="00B971FF"/>
    <w:rsid w:val="00B97D6F"/>
    <w:rsid w:val="00B97DEA"/>
    <w:rsid w:val="00BA098F"/>
    <w:rsid w:val="00BA0A8D"/>
    <w:rsid w:val="00BA0FB6"/>
    <w:rsid w:val="00BA2509"/>
    <w:rsid w:val="00BA382A"/>
    <w:rsid w:val="00BA49B1"/>
    <w:rsid w:val="00BA63ED"/>
    <w:rsid w:val="00BA7B27"/>
    <w:rsid w:val="00BB2A32"/>
    <w:rsid w:val="00BB39C9"/>
    <w:rsid w:val="00BB46CD"/>
    <w:rsid w:val="00BB548C"/>
    <w:rsid w:val="00BB75F1"/>
    <w:rsid w:val="00BC0A28"/>
    <w:rsid w:val="00BC1DB5"/>
    <w:rsid w:val="00BC2425"/>
    <w:rsid w:val="00BC3F6D"/>
    <w:rsid w:val="00BC6651"/>
    <w:rsid w:val="00BC74DD"/>
    <w:rsid w:val="00BC7C5E"/>
    <w:rsid w:val="00BD3986"/>
    <w:rsid w:val="00BD3B0C"/>
    <w:rsid w:val="00BD5735"/>
    <w:rsid w:val="00BD7AA0"/>
    <w:rsid w:val="00BE22AB"/>
    <w:rsid w:val="00BE5F5D"/>
    <w:rsid w:val="00BF0FEE"/>
    <w:rsid w:val="00BF343A"/>
    <w:rsid w:val="00BF3486"/>
    <w:rsid w:val="00BF6920"/>
    <w:rsid w:val="00C02585"/>
    <w:rsid w:val="00C051ED"/>
    <w:rsid w:val="00C05DE7"/>
    <w:rsid w:val="00C06A27"/>
    <w:rsid w:val="00C07D71"/>
    <w:rsid w:val="00C13269"/>
    <w:rsid w:val="00C135E5"/>
    <w:rsid w:val="00C15523"/>
    <w:rsid w:val="00C207E7"/>
    <w:rsid w:val="00C20E45"/>
    <w:rsid w:val="00C22E88"/>
    <w:rsid w:val="00C232CA"/>
    <w:rsid w:val="00C2540C"/>
    <w:rsid w:val="00C27701"/>
    <w:rsid w:val="00C279F8"/>
    <w:rsid w:val="00C3103F"/>
    <w:rsid w:val="00C31DD7"/>
    <w:rsid w:val="00C349B7"/>
    <w:rsid w:val="00C35FC9"/>
    <w:rsid w:val="00C37F96"/>
    <w:rsid w:val="00C406EA"/>
    <w:rsid w:val="00C43F9A"/>
    <w:rsid w:val="00C447D2"/>
    <w:rsid w:val="00C4593D"/>
    <w:rsid w:val="00C4614F"/>
    <w:rsid w:val="00C47D1C"/>
    <w:rsid w:val="00C50B72"/>
    <w:rsid w:val="00C530E8"/>
    <w:rsid w:val="00C54D99"/>
    <w:rsid w:val="00C55BFB"/>
    <w:rsid w:val="00C56109"/>
    <w:rsid w:val="00C60FB5"/>
    <w:rsid w:val="00C61FA3"/>
    <w:rsid w:val="00C6218A"/>
    <w:rsid w:val="00C6289F"/>
    <w:rsid w:val="00C663EA"/>
    <w:rsid w:val="00C70AD1"/>
    <w:rsid w:val="00C70C1C"/>
    <w:rsid w:val="00C72A10"/>
    <w:rsid w:val="00C74E5A"/>
    <w:rsid w:val="00C75E55"/>
    <w:rsid w:val="00C777A7"/>
    <w:rsid w:val="00C802FF"/>
    <w:rsid w:val="00C808BC"/>
    <w:rsid w:val="00C8155E"/>
    <w:rsid w:val="00C83A40"/>
    <w:rsid w:val="00C83B7F"/>
    <w:rsid w:val="00C84133"/>
    <w:rsid w:val="00C84925"/>
    <w:rsid w:val="00C9105C"/>
    <w:rsid w:val="00C92E08"/>
    <w:rsid w:val="00C96721"/>
    <w:rsid w:val="00C9686B"/>
    <w:rsid w:val="00C97A95"/>
    <w:rsid w:val="00CA2429"/>
    <w:rsid w:val="00CA2C2D"/>
    <w:rsid w:val="00CA454D"/>
    <w:rsid w:val="00CA5E7A"/>
    <w:rsid w:val="00CA7CBC"/>
    <w:rsid w:val="00CB1090"/>
    <w:rsid w:val="00CB369C"/>
    <w:rsid w:val="00CB7C72"/>
    <w:rsid w:val="00CC05C3"/>
    <w:rsid w:val="00CC1279"/>
    <w:rsid w:val="00CC3FEF"/>
    <w:rsid w:val="00CC58B2"/>
    <w:rsid w:val="00CD0D1A"/>
    <w:rsid w:val="00CD2EF9"/>
    <w:rsid w:val="00CE13D0"/>
    <w:rsid w:val="00CE13E7"/>
    <w:rsid w:val="00CE18E7"/>
    <w:rsid w:val="00CE33E2"/>
    <w:rsid w:val="00CE49C7"/>
    <w:rsid w:val="00CF03D6"/>
    <w:rsid w:val="00CF0731"/>
    <w:rsid w:val="00CF0816"/>
    <w:rsid w:val="00CF27C9"/>
    <w:rsid w:val="00CF45B2"/>
    <w:rsid w:val="00CF6A5D"/>
    <w:rsid w:val="00D0056C"/>
    <w:rsid w:val="00D03FF7"/>
    <w:rsid w:val="00D0783C"/>
    <w:rsid w:val="00D10729"/>
    <w:rsid w:val="00D10A18"/>
    <w:rsid w:val="00D142C1"/>
    <w:rsid w:val="00D14F91"/>
    <w:rsid w:val="00D1527F"/>
    <w:rsid w:val="00D15FA1"/>
    <w:rsid w:val="00D16E0D"/>
    <w:rsid w:val="00D225A2"/>
    <w:rsid w:val="00D2310D"/>
    <w:rsid w:val="00D254A7"/>
    <w:rsid w:val="00D273F6"/>
    <w:rsid w:val="00D27A0A"/>
    <w:rsid w:val="00D31327"/>
    <w:rsid w:val="00D31376"/>
    <w:rsid w:val="00D3537A"/>
    <w:rsid w:val="00D36571"/>
    <w:rsid w:val="00D368A8"/>
    <w:rsid w:val="00D36DBA"/>
    <w:rsid w:val="00D37A55"/>
    <w:rsid w:val="00D4040A"/>
    <w:rsid w:val="00D42A3D"/>
    <w:rsid w:val="00D42DED"/>
    <w:rsid w:val="00D45ACA"/>
    <w:rsid w:val="00D460A1"/>
    <w:rsid w:val="00D46949"/>
    <w:rsid w:val="00D50118"/>
    <w:rsid w:val="00D513B3"/>
    <w:rsid w:val="00D5377F"/>
    <w:rsid w:val="00D54291"/>
    <w:rsid w:val="00D57961"/>
    <w:rsid w:val="00D57C93"/>
    <w:rsid w:val="00D60F6E"/>
    <w:rsid w:val="00D61DB8"/>
    <w:rsid w:val="00D63B17"/>
    <w:rsid w:val="00D63B5A"/>
    <w:rsid w:val="00D659E6"/>
    <w:rsid w:val="00D70B59"/>
    <w:rsid w:val="00D70FA0"/>
    <w:rsid w:val="00D73703"/>
    <w:rsid w:val="00D7566B"/>
    <w:rsid w:val="00D8330D"/>
    <w:rsid w:val="00D840ED"/>
    <w:rsid w:val="00D90432"/>
    <w:rsid w:val="00D9125A"/>
    <w:rsid w:val="00D91979"/>
    <w:rsid w:val="00D91B09"/>
    <w:rsid w:val="00D9364B"/>
    <w:rsid w:val="00D94DD5"/>
    <w:rsid w:val="00D95FE8"/>
    <w:rsid w:val="00D979F2"/>
    <w:rsid w:val="00DA1766"/>
    <w:rsid w:val="00DA23AC"/>
    <w:rsid w:val="00DA29A4"/>
    <w:rsid w:val="00DA4201"/>
    <w:rsid w:val="00DA4965"/>
    <w:rsid w:val="00DA6990"/>
    <w:rsid w:val="00DA6A5A"/>
    <w:rsid w:val="00DA7100"/>
    <w:rsid w:val="00DB2CE2"/>
    <w:rsid w:val="00DB4CBD"/>
    <w:rsid w:val="00DB4DB2"/>
    <w:rsid w:val="00DB5AB6"/>
    <w:rsid w:val="00DB7052"/>
    <w:rsid w:val="00DC0218"/>
    <w:rsid w:val="00DC1366"/>
    <w:rsid w:val="00DC415D"/>
    <w:rsid w:val="00DC6FA3"/>
    <w:rsid w:val="00DD3703"/>
    <w:rsid w:val="00DD4479"/>
    <w:rsid w:val="00DD593C"/>
    <w:rsid w:val="00DE12AB"/>
    <w:rsid w:val="00DE53FB"/>
    <w:rsid w:val="00DE7B0B"/>
    <w:rsid w:val="00DF082B"/>
    <w:rsid w:val="00DF5B3B"/>
    <w:rsid w:val="00E00F37"/>
    <w:rsid w:val="00E0179D"/>
    <w:rsid w:val="00E04FAE"/>
    <w:rsid w:val="00E065CD"/>
    <w:rsid w:val="00E10415"/>
    <w:rsid w:val="00E105C7"/>
    <w:rsid w:val="00E10C19"/>
    <w:rsid w:val="00E10D9E"/>
    <w:rsid w:val="00E11792"/>
    <w:rsid w:val="00E11B81"/>
    <w:rsid w:val="00E120B6"/>
    <w:rsid w:val="00E1328E"/>
    <w:rsid w:val="00E15797"/>
    <w:rsid w:val="00E17E1A"/>
    <w:rsid w:val="00E24BFF"/>
    <w:rsid w:val="00E24EB1"/>
    <w:rsid w:val="00E25BE9"/>
    <w:rsid w:val="00E2617B"/>
    <w:rsid w:val="00E3127E"/>
    <w:rsid w:val="00E3318A"/>
    <w:rsid w:val="00E3761B"/>
    <w:rsid w:val="00E401F5"/>
    <w:rsid w:val="00E40B2F"/>
    <w:rsid w:val="00E41FE5"/>
    <w:rsid w:val="00E42201"/>
    <w:rsid w:val="00E42479"/>
    <w:rsid w:val="00E43960"/>
    <w:rsid w:val="00E50D52"/>
    <w:rsid w:val="00E567CE"/>
    <w:rsid w:val="00E57D7D"/>
    <w:rsid w:val="00E6033F"/>
    <w:rsid w:val="00E61611"/>
    <w:rsid w:val="00E62ACF"/>
    <w:rsid w:val="00E633A0"/>
    <w:rsid w:val="00E66803"/>
    <w:rsid w:val="00E67891"/>
    <w:rsid w:val="00E67E11"/>
    <w:rsid w:val="00E72FF8"/>
    <w:rsid w:val="00E76AF7"/>
    <w:rsid w:val="00E77389"/>
    <w:rsid w:val="00E77DB3"/>
    <w:rsid w:val="00E815D8"/>
    <w:rsid w:val="00E81755"/>
    <w:rsid w:val="00E827C8"/>
    <w:rsid w:val="00E83491"/>
    <w:rsid w:val="00E84105"/>
    <w:rsid w:val="00E8617B"/>
    <w:rsid w:val="00E90CDB"/>
    <w:rsid w:val="00E91318"/>
    <w:rsid w:val="00E92F8D"/>
    <w:rsid w:val="00E94DD5"/>
    <w:rsid w:val="00E964E0"/>
    <w:rsid w:val="00E97F1B"/>
    <w:rsid w:val="00EA0D87"/>
    <w:rsid w:val="00EB1962"/>
    <w:rsid w:val="00EB37F8"/>
    <w:rsid w:val="00EB3A37"/>
    <w:rsid w:val="00EB494B"/>
    <w:rsid w:val="00EC1939"/>
    <w:rsid w:val="00EC1FDD"/>
    <w:rsid w:val="00EC4E22"/>
    <w:rsid w:val="00EC5179"/>
    <w:rsid w:val="00EC6B3D"/>
    <w:rsid w:val="00EC7C2C"/>
    <w:rsid w:val="00ED2A02"/>
    <w:rsid w:val="00ED2D9E"/>
    <w:rsid w:val="00ED3DF9"/>
    <w:rsid w:val="00ED45C3"/>
    <w:rsid w:val="00ED4657"/>
    <w:rsid w:val="00ED63B9"/>
    <w:rsid w:val="00ED6D26"/>
    <w:rsid w:val="00EE3156"/>
    <w:rsid w:val="00EE4354"/>
    <w:rsid w:val="00EE612D"/>
    <w:rsid w:val="00EF2A61"/>
    <w:rsid w:val="00EF5878"/>
    <w:rsid w:val="00F029F6"/>
    <w:rsid w:val="00F05042"/>
    <w:rsid w:val="00F05A18"/>
    <w:rsid w:val="00F061E5"/>
    <w:rsid w:val="00F072B0"/>
    <w:rsid w:val="00F10386"/>
    <w:rsid w:val="00F11672"/>
    <w:rsid w:val="00F12FE4"/>
    <w:rsid w:val="00F13CAA"/>
    <w:rsid w:val="00F16E22"/>
    <w:rsid w:val="00F203F1"/>
    <w:rsid w:val="00F212B6"/>
    <w:rsid w:val="00F22810"/>
    <w:rsid w:val="00F23454"/>
    <w:rsid w:val="00F23784"/>
    <w:rsid w:val="00F25409"/>
    <w:rsid w:val="00F26310"/>
    <w:rsid w:val="00F27265"/>
    <w:rsid w:val="00F27BEA"/>
    <w:rsid w:val="00F351C8"/>
    <w:rsid w:val="00F40A3F"/>
    <w:rsid w:val="00F437FC"/>
    <w:rsid w:val="00F45F68"/>
    <w:rsid w:val="00F4756C"/>
    <w:rsid w:val="00F477F6"/>
    <w:rsid w:val="00F51603"/>
    <w:rsid w:val="00F516AF"/>
    <w:rsid w:val="00F52C96"/>
    <w:rsid w:val="00F540E5"/>
    <w:rsid w:val="00F55763"/>
    <w:rsid w:val="00F55A7E"/>
    <w:rsid w:val="00F57882"/>
    <w:rsid w:val="00F57BA7"/>
    <w:rsid w:val="00F667B2"/>
    <w:rsid w:val="00F70075"/>
    <w:rsid w:val="00F702A1"/>
    <w:rsid w:val="00F71C4B"/>
    <w:rsid w:val="00F721FB"/>
    <w:rsid w:val="00F727AB"/>
    <w:rsid w:val="00F73DAE"/>
    <w:rsid w:val="00F74C3A"/>
    <w:rsid w:val="00F750BF"/>
    <w:rsid w:val="00F762B3"/>
    <w:rsid w:val="00F76B45"/>
    <w:rsid w:val="00F77735"/>
    <w:rsid w:val="00F77F63"/>
    <w:rsid w:val="00F830E5"/>
    <w:rsid w:val="00F83EB0"/>
    <w:rsid w:val="00F851FC"/>
    <w:rsid w:val="00F85562"/>
    <w:rsid w:val="00F867EE"/>
    <w:rsid w:val="00F9073D"/>
    <w:rsid w:val="00F91337"/>
    <w:rsid w:val="00F924D7"/>
    <w:rsid w:val="00F93901"/>
    <w:rsid w:val="00FA0DC1"/>
    <w:rsid w:val="00FA3045"/>
    <w:rsid w:val="00FA38EF"/>
    <w:rsid w:val="00FA501F"/>
    <w:rsid w:val="00FA63A2"/>
    <w:rsid w:val="00FA7D89"/>
    <w:rsid w:val="00FB0917"/>
    <w:rsid w:val="00FB0C2D"/>
    <w:rsid w:val="00FB22FB"/>
    <w:rsid w:val="00FB239A"/>
    <w:rsid w:val="00FB2F50"/>
    <w:rsid w:val="00FB3CEC"/>
    <w:rsid w:val="00FC28CC"/>
    <w:rsid w:val="00FC3E2B"/>
    <w:rsid w:val="00FC5852"/>
    <w:rsid w:val="00FC5A5F"/>
    <w:rsid w:val="00FD1F48"/>
    <w:rsid w:val="00FD2066"/>
    <w:rsid w:val="00FD3D6C"/>
    <w:rsid w:val="00FD44C8"/>
    <w:rsid w:val="00FE18B4"/>
    <w:rsid w:val="00FE1FB8"/>
    <w:rsid w:val="00FE2106"/>
    <w:rsid w:val="00FE28D5"/>
    <w:rsid w:val="00FE67CB"/>
    <w:rsid w:val="00FE750A"/>
    <w:rsid w:val="00FF0515"/>
    <w:rsid w:val="00FF4E6E"/>
    <w:rsid w:val="00FF65D0"/>
    <w:rsid w:val="00FF74F7"/>
    <w:rsid w:val="013C6B15"/>
    <w:rsid w:val="0144054E"/>
    <w:rsid w:val="015772A4"/>
    <w:rsid w:val="01651772"/>
    <w:rsid w:val="0174421B"/>
    <w:rsid w:val="018717BE"/>
    <w:rsid w:val="018E7169"/>
    <w:rsid w:val="01BB7833"/>
    <w:rsid w:val="01BD06D2"/>
    <w:rsid w:val="01BF097B"/>
    <w:rsid w:val="01D105CE"/>
    <w:rsid w:val="01E73C24"/>
    <w:rsid w:val="021A76DB"/>
    <w:rsid w:val="021F3882"/>
    <w:rsid w:val="02331E12"/>
    <w:rsid w:val="023B2304"/>
    <w:rsid w:val="02497F4C"/>
    <w:rsid w:val="025B1344"/>
    <w:rsid w:val="02766999"/>
    <w:rsid w:val="02791447"/>
    <w:rsid w:val="02BC18B0"/>
    <w:rsid w:val="02F07097"/>
    <w:rsid w:val="032A0016"/>
    <w:rsid w:val="033243A8"/>
    <w:rsid w:val="033C4F4D"/>
    <w:rsid w:val="035442EC"/>
    <w:rsid w:val="03564F29"/>
    <w:rsid w:val="035B707C"/>
    <w:rsid w:val="037126EF"/>
    <w:rsid w:val="0386205B"/>
    <w:rsid w:val="039E11BA"/>
    <w:rsid w:val="03AA5705"/>
    <w:rsid w:val="03B66B9F"/>
    <w:rsid w:val="03E73237"/>
    <w:rsid w:val="03EE5F1E"/>
    <w:rsid w:val="04384DC4"/>
    <w:rsid w:val="04B067CA"/>
    <w:rsid w:val="04B7013D"/>
    <w:rsid w:val="04BB3243"/>
    <w:rsid w:val="04BF5738"/>
    <w:rsid w:val="04EE55EA"/>
    <w:rsid w:val="04EF3205"/>
    <w:rsid w:val="05213A64"/>
    <w:rsid w:val="0549108E"/>
    <w:rsid w:val="05502A1B"/>
    <w:rsid w:val="056563FC"/>
    <w:rsid w:val="05B92DB0"/>
    <w:rsid w:val="0601511F"/>
    <w:rsid w:val="060B54D3"/>
    <w:rsid w:val="06102D2E"/>
    <w:rsid w:val="063B2D6C"/>
    <w:rsid w:val="06503F20"/>
    <w:rsid w:val="06506B03"/>
    <w:rsid w:val="068C6142"/>
    <w:rsid w:val="069627A6"/>
    <w:rsid w:val="06AA7299"/>
    <w:rsid w:val="06CF225A"/>
    <w:rsid w:val="06F33957"/>
    <w:rsid w:val="06F86FDF"/>
    <w:rsid w:val="07012726"/>
    <w:rsid w:val="07155AF2"/>
    <w:rsid w:val="07307513"/>
    <w:rsid w:val="076F1972"/>
    <w:rsid w:val="07921D3A"/>
    <w:rsid w:val="07A81035"/>
    <w:rsid w:val="07DE064D"/>
    <w:rsid w:val="084C5688"/>
    <w:rsid w:val="08525629"/>
    <w:rsid w:val="08591333"/>
    <w:rsid w:val="0870518C"/>
    <w:rsid w:val="087F1B50"/>
    <w:rsid w:val="088722D5"/>
    <w:rsid w:val="089867F5"/>
    <w:rsid w:val="08A7269C"/>
    <w:rsid w:val="08BB5CE2"/>
    <w:rsid w:val="08BE70FF"/>
    <w:rsid w:val="08F100D7"/>
    <w:rsid w:val="08FB0BD0"/>
    <w:rsid w:val="08FD0FC1"/>
    <w:rsid w:val="09141087"/>
    <w:rsid w:val="09420CC2"/>
    <w:rsid w:val="09437AA9"/>
    <w:rsid w:val="095306DD"/>
    <w:rsid w:val="09695409"/>
    <w:rsid w:val="09717093"/>
    <w:rsid w:val="097C1EFD"/>
    <w:rsid w:val="0993275B"/>
    <w:rsid w:val="09AE6768"/>
    <w:rsid w:val="09EE5A33"/>
    <w:rsid w:val="09F33BC2"/>
    <w:rsid w:val="0A005A8E"/>
    <w:rsid w:val="0A005B38"/>
    <w:rsid w:val="0A012F12"/>
    <w:rsid w:val="0A46002E"/>
    <w:rsid w:val="0A59542B"/>
    <w:rsid w:val="0A5A21CE"/>
    <w:rsid w:val="0A600644"/>
    <w:rsid w:val="0A63046B"/>
    <w:rsid w:val="0A655977"/>
    <w:rsid w:val="0A6F30BC"/>
    <w:rsid w:val="0A714A90"/>
    <w:rsid w:val="0A7E6C48"/>
    <w:rsid w:val="0A8670D2"/>
    <w:rsid w:val="0A8A6649"/>
    <w:rsid w:val="0A8D0F9E"/>
    <w:rsid w:val="0AB440F8"/>
    <w:rsid w:val="0AD2601C"/>
    <w:rsid w:val="0AD84D58"/>
    <w:rsid w:val="0B085950"/>
    <w:rsid w:val="0B0D0CC4"/>
    <w:rsid w:val="0B212BCE"/>
    <w:rsid w:val="0B283234"/>
    <w:rsid w:val="0B2E3B34"/>
    <w:rsid w:val="0B7A69B0"/>
    <w:rsid w:val="0B914FAE"/>
    <w:rsid w:val="0B963D2B"/>
    <w:rsid w:val="0B9948AC"/>
    <w:rsid w:val="0B9E7162"/>
    <w:rsid w:val="0BAD6DE0"/>
    <w:rsid w:val="0BBD289A"/>
    <w:rsid w:val="0BC35643"/>
    <w:rsid w:val="0BC6115D"/>
    <w:rsid w:val="0BD939C5"/>
    <w:rsid w:val="0BF76D62"/>
    <w:rsid w:val="0C0E0E49"/>
    <w:rsid w:val="0C0F3E0E"/>
    <w:rsid w:val="0C232562"/>
    <w:rsid w:val="0C2F5309"/>
    <w:rsid w:val="0C5A518D"/>
    <w:rsid w:val="0C6F15EF"/>
    <w:rsid w:val="0C9C13C4"/>
    <w:rsid w:val="0CAA5073"/>
    <w:rsid w:val="0CD56D9C"/>
    <w:rsid w:val="0D060C4A"/>
    <w:rsid w:val="0D141552"/>
    <w:rsid w:val="0D496472"/>
    <w:rsid w:val="0D7E5526"/>
    <w:rsid w:val="0D8867AE"/>
    <w:rsid w:val="0D8E5096"/>
    <w:rsid w:val="0DC70E1E"/>
    <w:rsid w:val="0DD37DB4"/>
    <w:rsid w:val="0E220B89"/>
    <w:rsid w:val="0E3039A1"/>
    <w:rsid w:val="0E333E3A"/>
    <w:rsid w:val="0E3D2E6B"/>
    <w:rsid w:val="0E401B23"/>
    <w:rsid w:val="0E807E3A"/>
    <w:rsid w:val="0E8A18A4"/>
    <w:rsid w:val="0E9E3EDE"/>
    <w:rsid w:val="0EB90A7B"/>
    <w:rsid w:val="0EC518EB"/>
    <w:rsid w:val="0ECF454E"/>
    <w:rsid w:val="0EE22D8A"/>
    <w:rsid w:val="0EF735EC"/>
    <w:rsid w:val="0EF9511D"/>
    <w:rsid w:val="0F03003B"/>
    <w:rsid w:val="0F106671"/>
    <w:rsid w:val="0F127DDC"/>
    <w:rsid w:val="0F225395"/>
    <w:rsid w:val="0F2A7991"/>
    <w:rsid w:val="0F31231F"/>
    <w:rsid w:val="0F450599"/>
    <w:rsid w:val="0F7A251E"/>
    <w:rsid w:val="0F7B2B4A"/>
    <w:rsid w:val="0FAE55CB"/>
    <w:rsid w:val="0FBC37E4"/>
    <w:rsid w:val="0FF33AF6"/>
    <w:rsid w:val="100E0CEE"/>
    <w:rsid w:val="10233173"/>
    <w:rsid w:val="10737E0E"/>
    <w:rsid w:val="10864BC6"/>
    <w:rsid w:val="10A71E01"/>
    <w:rsid w:val="10BA0075"/>
    <w:rsid w:val="10C063DA"/>
    <w:rsid w:val="10CC21FA"/>
    <w:rsid w:val="10EC2887"/>
    <w:rsid w:val="10F72164"/>
    <w:rsid w:val="10FB5E9E"/>
    <w:rsid w:val="110D5CB2"/>
    <w:rsid w:val="11112249"/>
    <w:rsid w:val="1112510D"/>
    <w:rsid w:val="114E14F4"/>
    <w:rsid w:val="115E3F3F"/>
    <w:rsid w:val="116A035F"/>
    <w:rsid w:val="116A6B46"/>
    <w:rsid w:val="11834E46"/>
    <w:rsid w:val="11875444"/>
    <w:rsid w:val="11970C4B"/>
    <w:rsid w:val="11A95278"/>
    <w:rsid w:val="11AF44DF"/>
    <w:rsid w:val="11C852FC"/>
    <w:rsid w:val="11F72CE6"/>
    <w:rsid w:val="122951DD"/>
    <w:rsid w:val="123B7DDD"/>
    <w:rsid w:val="127D7035"/>
    <w:rsid w:val="12CF0657"/>
    <w:rsid w:val="12E95249"/>
    <w:rsid w:val="12F1671E"/>
    <w:rsid w:val="12FE2ECF"/>
    <w:rsid w:val="13200CAC"/>
    <w:rsid w:val="134C3F41"/>
    <w:rsid w:val="134E40D7"/>
    <w:rsid w:val="134F4780"/>
    <w:rsid w:val="13511013"/>
    <w:rsid w:val="135C3DD4"/>
    <w:rsid w:val="135C7002"/>
    <w:rsid w:val="137D7A57"/>
    <w:rsid w:val="13962258"/>
    <w:rsid w:val="13AF2F6F"/>
    <w:rsid w:val="13E7075D"/>
    <w:rsid w:val="13F33946"/>
    <w:rsid w:val="14042263"/>
    <w:rsid w:val="141745DC"/>
    <w:rsid w:val="14300996"/>
    <w:rsid w:val="14725E70"/>
    <w:rsid w:val="148E0ACB"/>
    <w:rsid w:val="149F31A0"/>
    <w:rsid w:val="14B118C5"/>
    <w:rsid w:val="14B415E1"/>
    <w:rsid w:val="14D43BDB"/>
    <w:rsid w:val="14F57E7D"/>
    <w:rsid w:val="15152C81"/>
    <w:rsid w:val="151B44F0"/>
    <w:rsid w:val="152E2DCC"/>
    <w:rsid w:val="153017B9"/>
    <w:rsid w:val="153B570B"/>
    <w:rsid w:val="15574E0D"/>
    <w:rsid w:val="15914050"/>
    <w:rsid w:val="15B72A35"/>
    <w:rsid w:val="15F1546C"/>
    <w:rsid w:val="160547D6"/>
    <w:rsid w:val="161C40B5"/>
    <w:rsid w:val="16287BB0"/>
    <w:rsid w:val="16445414"/>
    <w:rsid w:val="16467CC8"/>
    <w:rsid w:val="165D579D"/>
    <w:rsid w:val="165F2BDF"/>
    <w:rsid w:val="165F712D"/>
    <w:rsid w:val="16720653"/>
    <w:rsid w:val="16730A7D"/>
    <w:rsid w:val="168E46B6"/>
    <w:rsid w:val="168F7E12"/>
    <w:rsid w:val="16A87CE1"/>
    <w:rsid w:val="16B7318B"/>
    <w:rsid w:val="16E021C2"/>
    <w:rsid w:val="17213D1A"/>
    <w:rsid w:val="172C4239"/>
    <w:rsid w:val="174D3358"/>
    <w:rsid w:val="176214A7"/>
    <w:rsid w:val="176A780D"/>
    <w:rsid w:val="1780366E"/>
    <w:rsid w:val="17845DA0"/>
    <w:rsid w:val="179E277E"/>
    <w:rsid w:val="17BC177E"/>
    <w:rsid w:val="17BE3B1C"/>
    <w:rsid w:val="17F14C98"/>
    <w:rsid w:val="18061007"/>
    <w:rsid w:val="18074726"/>
    <w:rsid w:val="18080A9E"/>
    <w:rsid w:val="18296253"/>
    <w:rsid w:val="18395DE4"/>
    <w:rsid w:val="18A56142"/>
    <w:rsid w:val="18AF38AF"/>
    <w:rsid w:val="18C17432"/>
    <w:rsid w:val="18C94AAF"/>
    <w:rsid w:val="18D32287"/>
    <w:rsid w:val="18ED538B"/>
    <w:rsid w:val="18F06F9F"/>
    <w:rsid w:val="18FC3FD1"/>
    <w:rsid w:val="18FF73A6"/>
    <w:rsid w:val="191A45C5"/>
    <w:rsid w:val="19266DE4"/>
    <w:rsid w:val="192F2566"/>
    <w:rsid w:val="194E0081"/>
    <w:rsid w:val="195B397D"/>
    <w:rsid w:val="195F6609"/>
    <w:rsid w:val="1995403F"/>
    <w:rsid w:val="19AF15A8"/>
    <w:rsid w:val="19B67EC1"/>
    <w:rsid w:val="19CC4C5A"/>
    <w:rsid w:val="19D83035"/>
    <w:rsid w:val="19D87710"/>
    <w:rsid w:val="1A101888"/>
    <w:rsid w:val="1A2A3728"/>
    <w:rsid w:val="1A512009"/>
    <w:rsid w:val="1A566CC7"/>
    <w:rsid w:val="1A6D5C1B"/>
    <w:rsid w:val="1A8644CD"/>
    <w:rsid w:val="1AA569B7"/>
    <w:rsid w:val="1AAB190A"/>
    <w:rsid w:val="1AAE000B"/>
    <w:rsid w:val="1AB3650A"/>
    <w:rsid w:val="1AB62382"/>
    <w:rsid w:val="1ACB1C1D"/>
    <w:rsid w:val="1ADA6788"/>
    <w:rsid w:val="1ADF05DE"/>
    <w:rsid w:val="1AFA2B1C"/>
    <w:rsid w:val="1B68216E"/>
    <w:rsid w:val="1B6F77A7"/>
    <w:rsid w:val="1B704CD6"/>
    <w:rsid w:val="1B817D0B"/>
    <w:rsid w:val="1B8721E3"/>
    <w:rsid w:val="1BA94A07"/>
    <w:rsid w:val="1BD05A6D"/>
    <w:rsid w:val="1BD6575E"/>
    <w:rsid w:val="1BD85D3B"/>
    <w:rsid w:val="1C0804E7"/>
    <w:rsid w:val="1C1B04AC"/>
    <w:rsid w:val="1C1E24F0"/>
    <w:rsid w:val="1C5115AF"/>
    <w:rsid w:val="1C59360F"/>
    <w:rsid w:val="1C5A616E"/>
    <w:rsid w:val="1C5B0F48"/>
    <w:rsid w:val="1C6C076D"/>
    <w:rsid w:val="1C7F44D1"/>
    <w:rsid w:val="1C8A6A1B"/>
    <w:rsid w:val="1CA70C88"/>
    <w:rsid w:val="1CBA44B6"/>
    <w:rsid w:val="1CBC6A50"/>
    <w:rsid w:val="1D386B0A"/>
    <w:rsid w:val="1D39665B"/>
    <w:rsid w:val="1D453B92"/>
    <w:rsid w:val="1D49325F"/>
    <w:rsid w:val="1D54432D"/>
    <w:rsid w:val="1D7066B8"/>
    <w:rsid w:val="1D873EC6"/>
    <w:rsid w:val="1DA444AF"/>
    <w:rsid w:val="1DB06DBB"/>
    <w:rsid w:val="1DC71769"/>
    <w:rsid w:val="1DD4347C"/>
    <w:rsid w:val="1DD866A7"/>
    <w:rsid w:val="1DEC0FD1"/>
    <w:rsid w:val="1E055F60"/>
    <w:rsid w:val="1E1F64E2"/>
    <w:rsid w:val="1E4273A0"/>
    <w:rsid w:val="1E4708BE"/>
    <w:rsid w:val="1E5B402C"/>
    <w:rsid w:val="1E7F3375"/>
    <w:rsid w:val="1E960FB4"/>
    <w:rsid w:val="1E9C0FD7"/>
    <w:rsid w:val="1EA27733"/>
    <w:rsid w:val="1EA71441"/>
    <w:rsid w:val="1EDB57B8"/>
    <w:rsid w:val="1EFF22DF"/>
    <w:rsid w:val="1F2465AE"/>
    <w:rsid w:val="1F272EF3"/>
    <w:rsid w:val="1F474417"/>
    <w:rsid w:val="1F6D766F"/>
    <w:rsid w:val="1F75506D"/>
    <w:rsid w:val="1F7801F4"/>
    <w:rsid w:val="1F861028"/>
    <w:rsid w:val="1FA051B1"/>
    <w:rsid w:val="1FBC5A21"/>
    <w:rsid w:val="1FE01BF2"/>
    <w:rsid w:val="1FF103F0"/>
    <w:rsid w:val="20005C3E"/>
    <w:rsid w:val="200C1FD7"/>
    <w:rsid w:val="202A0BEF"/>
    <w:rsid w:val="20516442"/>
    <w:rsid w:val="20676614"/>
    <w:rsid w:val="20780877"/>
    <w:rsid w:val="20B1574E"/>
    <w:rsid w:val="20BD49E5"/>
    <w:rsid w:val="20C12A4D"/>
    <w:rsid w:val="20D719F1"/>
    <w:rsid w:val="20DF4E94"/>
    <w:rsid w:val="20FF754E"/>
    <w:rsid w:val="21066A24"/>
    <w:rsid w:val="212906CA"/>
    <w:rsid w:val="212E3396"/>
    <w:rsid w:val="214F070A"/>
    <w:rsid w:val="21504889"/>
    <w:rsid w:val="21511091"/>
    <w:rsid w:val="216805FB"/>
    <w:rsid w:val="216A59FA"/>
    <w:rsid w:val="218D304A"/>
    <w:rsid w:val="219915D3"/>
    <w:rsid w:val="219D45B2"/>
    <w:rsid w:val="21A672A2"/>
    <w:rsid w:val="21B92F19"/>
    <w:rsid w:val="21BC28A6"/>
    <w:rsid w:val="21C329A3"/>
    <w:rsid w:val="21E56FBC"/>
    <w:rsid w:val="21FA005D"/>
    <w:rsid w:val="21FB12EC"/>
    <w:rsid w:val="220137C3"/>
    <w:rsid w:val="221A1C96"/>
    <w:rsid w:val="224F6446"/>
    <w:rsid w:val="225861FF"/>
    <w:rsid w:val="226C4FAD"/>
    <w:rsid w:val="22813D29"/>
    <w:rsid w:val="22943A5C"/>
    <w:rsid w:val="229F47AE"/>
    <w:rsid w:val="22A27797"/>
    <w:rsid w:val="22C22251"/>
    <w:rsid w:val="22C8691D"/>
    <w:rsid w:val="22D3233B"/>
    <w:rsid w:val="22E25839"/>
    <w:rsid w:val="22FF181D"/>
    <w:rsid w:val="231F40E3"/>
    <w:rsid w:val="232C7632"/>
    <w:rsid w:val="2333170A"/>
    <w:rsid w:val="23341EE3"/>
    <w:rsid w:val="234A2DC3"/>
    <w:rsid w:val="235A6F13"/>
    <w:rsid w:val="237F1E99"/>
    <w:rsid w:val="23B26890"/>
    <w:rsid w:val="23BC6D45"/>
    <w:rsid w:val="23FC16C5"/>
    <w:rsid w:val="23FD21A6"/>
    <w:rsid w:val="24096C1E"/>
    <w:rsid w:val="241124F4"/>
    <w:rsid w:val="2442787A"/>
    <w:rsid w:val="24493ED0"/>
    <w:rsid w:val="247450BF"/>
    <w:rsid w:val="248458D3"/>
    <w:rsid w:val="248C2B1F"/>
    <w:rsid w:val="24AF30EF"/>
    <w:rsid w:val="24C31ACA"/>
    <w:rsid w:val="24C37822"/>
    <w:rsid w:val="24C979B7"/>
    <w:rsid w:val="24D228AC"/>
    <w:rsid w:val="24DE282F"/>
    <w:rsid w:val="2502156D"/>
    <w:rsid w:val="250234C2"/>
    <w:rsid w:val="250B5C95"/>
    <w:rsid w:val="2516370B"/>
    <w:rsid w:val="25427164"/>
    <w:rsid w:val="25525D92"/>
    <w:rsid w:val="25527D56"/>
    <w:rsid w:val="255B191F"/>
    <w:rsid w:val="2563572A"/>
    <w:rsid w:val="25637736"/>
    <w:rsid w:val="25876A82"/>
    <w:rsid w:val="25AE478C"/>
    <w:rsid w:val="25B90919"/>
    <w:rsid w:val="25E22D30"/>
    <w:rsid w:val="25FF38E2"/>
    <w:rsid w:val="263B2C60"/>
    <w:rsid w:val="26411C1D"/>
    <w:rsid w:val="265453C2"/>
    <w:rsid w:val="26567ACD"/>
    <w:rsid w:val="267C5888"/>
    <w:rsid w:val="26A175D7"/>
    <w:rsid w:val="26B464FA"/>
    <w:rsid w:val="26C94FDE"/>
    <w:rsid w:val="26D3098E"/>
    <w:rsid w:val="26E50D2A"/>
    <w:rsid w:val="26EA5725"/>
    <w:rsid w:val="27154B6D"/>
    <w:rsid w:val="271E227A"/>
    <w:rsid w:val="2724421E"/>
    <w:rsid w:val="272D5531"/>
    <w:rsid w:val="272F1AD3"/>
    <w:rsid w:val="2741315F"/>
    <w:rsid w:val="274568EC"/>
    <w:rsid w:val="27573CBB"/>
    <w:rsid w:val="277A6660"/>
    <w:rsid w:val="279B1B14"/>
    <w:rsid w:val="27A249CA"/>
    <w:rsid w:val="27C2663C"/>
    <w:rsid w:val="27C77490"/>
    <w:rsid w:val="27CA12A3"/>
    <w:rsid w:val="27F64177"/>
    <w:rsid w:val="28046D84"/>
    <w:rsid w:val="2818512F"/>
    <w:rsid w:val="282633A8"/>
    <w:rsid w:val="286B5532"/>
    <w:rsid w:val="288F52D5"/>
    <w:rsid w:val="28BF58E7"/>
    <w:rsid w:val="28E5527A"/>
    <w:rsid w:val="28ED30E6"/>
    <w:rsid w:val="29162571"/>
    <w:rsid w:val="291800E1"/>
    <w:rsid w:val="291D38AE"/>
    <w:rsid w:val="29216A36"/>
    <w:rsid w:val="29225D1F"/>
    <w:rsid w:val="29234A57"/>
    <w:rsid w:val="29321FE3"/>
    <w:rsid w:val="29476C8B"/>
    <w:rsid w:val="294E725A"/>
    <w:rsid w:val="29526C4F"/>
    <w:rsid w:val="29551B41"/>
    <w:rsid w:val="295558E1"/>
    <w:rsid w:val="29572E0D"/>
    <w:rsid w:val="29654128"/>
    <w:rsid w:val="29787CCE"/>
    <w:rsid w:val="29803570"/>
    <w:rsid w:val="298A7BDE"/>
    <w:rsid w:val="29AC3EFF"/>
    <w:rsid w:val="29B95570"/>
    <w:rsid w:val="29CF4CDE"/>
    <w:rsid w:val="29E40114"/>
    <w:rsid w:val="29EE601C"/>
    <w:rsid w:val="2A141291"/>
    <w:rsid w:val="2A1425C1"/>
    <w:rsid w:val="2A17665E"/>
    <w:rsid w:val="2A3519F9"/>
    <w:rsid w:val="2A35592E"/>
    <w:rsid w:val="2A3B2255"/>
    <w:rsid w:val="2A5F5F98"/>
    <w:rsid w:val="2A7279D5"/>
    <w:rsid w:val="2A7B5DC7"/>
    <w:rsid w:val="2A862EB1"/>
    <w:rsid w:val="2AA50C96"/>
    <w:rsid w:val="2AAA6513"/>
    <w:rsid w:val="2ACB1A84"/>
    <w:rsid w:val="2ACB7330"/>
    <w:rsid w:val="2AD479BA"/>
    <w:rsid w:val="2AD970ED"/>
    <w:rsid w:val="2AEA3820"/>
    <w:rsid w:val="2AEC01AB"/>
    <w:rsid w:val="2AEDA948"/>
    <w:rsid w:val="2B051EE7"/>
    <w:rsid w:val="2B06250A"/>
    <w:rsid w:val="2B451595"/>
    <w:rsid w:val="2B78175F"/>
    <w:rsid w:val="2B9039C7"/>
    <w:rsid w:val="2BC359F4"/>
    <w:rsid w:val="2BFA65AF"/>
    <w:rsid w:val="2BFF422E"/>
    <w:rsid w:val="2C1D2D14"/>
    <w:rsid w:val="2C2119A9"/>
    <w:rsid w:val="2C3B063C"/>
    <w:rsid w:val="2C51791C"/>
    <w:rsid w:val="2C6D06DB"/>
    <w:rsid w:val="2C9D7CDC"/>
    <w:rsid w:val="2CA1763D"/>
    <w:rsid w:val="2CA74D32"/>
    <w:rsid w:val="2CDF46B1"/>
    <w:rsid w:val="2CF319CD"/>
    <w:rsid w:val="2D106A69"/>
    <w:rsid w:val="2D3044ED"/>
    <w:rsid w:val="2D406CBA"/>
    <w:rsid w:val="2D4A2971"/>
    <w:rsid w:val="2D5B265D"/>
    <w:rsid w:val="2D8F14A1"/>
    <w:rsid w:val="2D8F3AF9"/>
    <w:rsid w:val="2D94069C"/>
    <w:rsid w:val="2DA5032C"/>
    <w:rsid w:val="2DB7125F"/>
    <w:rsid w:val="2DDD501E"/>
    <w:rsid w:val="2DF43E01"/>
    <w:rsid w:val="2DFC2B75"/>
    <w:rsid w:val="2E03773F"/>
    <w:rsid w:val="2E336E30"/>
    <w:rsid w:val="2E3950D7"/>
    <w:rsid w:val="2E586EFC"/>
    <w:rsid w:val="2E5909BE"/>
    <w:rsid w:val="2E6C063D"/>
    <w:rsid w:val="2E731A57"/>
    <w:rsid w:val="2E901932"/>
    <w:rsid w:val="2ECB3349"/>
    <w:rsid w:val="2EDC20CB"/>
    <w:rsid w:val="2F235B39"/>
    <w:rsid w:val="2F236C79"/>
    <w:rsid w:val="2F2D3DF4"/>
    <w:rsid w:val="2F302550"/>
    <w:rsid w:val="2F4319EA"/>
    <w:rsid w:val="2F45327D"/>
    <w:rsid w:val="2F735768"/>
    <w:rsid w:val="2F7610B9"/>
    <w:rsid w:val="2F963509"/>
    <w:rsid w:val="2FA808A6"/>
    <w:rsid w:val="2FAD4710"/>
    <w:rsid w:val="2FD0497E"/>
    <w:rsid w:val="2FD25B53"/>
    <w:rsid w:val="2FD6409B"/>
    <w:rsid w:val="2FDD6778"/>
    <w:rsid w:val="30010B58"/>
    <w:rsid w:val="300A56D7"/>
    <w:rsid w:val="301E4C05"/>
    <w:rsid w:val="302774A3"/>
    <w:rsid w:val="303A0349"/>
    <w:rsid w:val="30566F21"/>
    <w:rsid w:val="30710A41"/>
    <w:rsid w:val="308B6CE7"/>
    <w:rsid w:val="30AE767C"/>
    <w:rsid w:val="30C3638E"/>
    <w:rsid w:val="30DC0F43"/>
    <w:rsid w:val="30F23983"/>
    <w:rsid w:val="31314B0F"/>
    <w:rsid w:val="31443D36"/>
    <w:rsid w:val="31611217"/>
    <w:rsid w:val="318159BF"/>
    <w:rsid w:val="3195152F"/>
    <w:rsid w:val="319544E8"/>
    <w:rsid w:val="31975348"/>
    <w:rsid w:val="31993A22"/>
    <w:rsid w:val="319A0EEB"/>
    <w:rsid w:val="319C62F4"/>
    <w:rsid w:val="31AA48F6"/>
    <w:rsid w:val="31C01998"/>
    <w:rsid w:val="31D66C4B"/>
    <w:rsid w:val="3204479C"/>
    <w:rsid w:val="32182B20"/>
    <w:rsid w:val="32226669"/>
    <w:rsid w:val="32261F27"/>
    <w:rsid w:val="3250264F"/>
    <w:rsid w:val="32703589"/>
    <w:rsid w:val="32726352"/>
    <w:rsid w:val="32DE682A"/>
    <w:rsid w:val="32F26CE9"/>
    <w:rsid w:val="330E191A"/>
    <w:rsid w:val="33156AA8"/>
    <w:rsid w:val="33207E7D"/>
    <w:rsid w:val="332335D3"/>
    <w:rsid w:val="33304B62"/>
    <w:rsid w:val="33483B2E"/>
    <w:rsid w:val="337E770A"/>
    <w:rsid w:val="33875D9F"/>
    <w:rsid w:val="338B56E0"/>
    <w:rsid w:val="339F6079"/>
    <w:rsid w:val="33B60C44"/>
    <w:rsid w:val="33E95046"/>
    <w:rsid w:val="3406659D"/>
    <w:rsid w:val="34066F3C"/>
    <w:rsid w:val="340B4EF1"/>
    <w:rsid w:val="341D068F"/>
    <w:rsid w:val="34316959"/>
    <w:rsid w:val="344E2731"/>
    <w:rsid w:val="345001F6"/>
    <w:rsid w:val="345B6BC1"/>
    <w:rsid w:val="34685AE6"/>
    <w:rsid w:val="346C2A8B"/>
    <w:rsid w:val="347A51A8"/>
    <w:rsid w:val="349903C0"/>
    <w:rsid w:val="34AB3B17"/>
    <w:rsid w:val="34B15BC4"/>
    <w:rsid w:val="34B95D31"/>
    <w:rsid w:val="34DE1EC7"/>
    <w:rsid w:val="35183915"/>
    <w:rsid w:val="35192255"/>
    <w:rsid w:val="35287FAE"/>
    <w:rsid w:val="353E11C4"/>
    <w:rsid w:val="35581B81"/>
    <w:rsid w:val="357B7805"/>
    <w:rsid w:val="35896F5C"/>
    <w:rsid w:val="35AC6D6C"/>
    <w:rsid w:val="35C13050"/>
    <w:rsid w:val="35C802BA"/>
    <w:rsid w:val="35E429BA"/>
    <w:rsid w:val="35F45BEE"/>
    <w:rsid w:val="35FE4C86"/>
    <w:rsid w:val="361D7265"/>
    <w:rsid w:val="363362DB"/>
    <w:rsid w:val="363E657D"/>
    <w:rsid w:val="36510EAD"/>
    <w:rsid w:val="366A5161"/>
    <w:rsid w:val="366F1AE0"/>
    <w:rsid w:val="36706BB8"/>
    <w:rsid w:val="3674012D"/>
    <w:rsid w:val="367852F0"/>
    <w:rsid w:val="368E39AF"/>
    <w:rsid w:val="36910587"/>
    <w:rsid w:val="369A304A"/>
    <w:rsid w:val="369F433B"/>
    <w:rsid w:val="36D04A11"/>
    <w:rsid w:val="36F275DB"/>
    <w:rsid w:val="36F823B4"/>
    <w:rsid w:val="37093120"/>
    <w:rsid w:val="37134BE4"/>
    <w:rsid w:val="371948C9"/>
    <w:rsid w:val="371A057C"/>
    <w:rsid w:val="373321D9"/>
    <w:rsid w:val="375A0A59"/>
    <w:rsid w:val="37691FF5"/>
    <w:rsid w:val="376B4967"/>
    <w:rsid w:val="377E4B13"/>
    <w:rsid w:val="379762ED"/>
    <w:rsid w:val="37A22AA5"/>
    <w:rsid w:val="37C849B6"/>
    <w:rsid w:val="37CD3840"/>
    <w:rsid w:val="37EF5486"/>
    <w:rsid w:val="37F61973"/>
    <w:rsid w:val="37F62926"/>
    <w:rsid w:val="37F74366"/>
    <w:rsid w:val="37FEB1B5"/>
    <w:rsid w:val="384D4981"/>
    <w:rsid w:val="386C755C"/>
    <w:rsid w:val="386F0D9D"/>
    <w:rsid w:val="389B032D"/>
    <w:rsid w:val="38AA793D"/>
    <w:rsid w:val="38B277DA"/>
    <w:rsid w:val="38B642D4"/>
    <w:rsid w:val="38BD1295"/>
    <w:rsid w:val="38DC1FD6"/>
    <w:rsid w:val="38FC4711"/>
    <w:rsid w:val="394D47A6"/>
    <w:rsid w:val="3961704A"/>
    <w:rsid w:val="398D24B2"/>
    <w:rsid w:val="399A1496"/>
    <w:rsid w:val="39B42F70"/>
    <w:rsid w:val="39BA1BA2"/>
    <w:rsid w:val="39D52796"/>
    <w:rsid w:val="39D6051A"/>
    <w:rsid w:val="39EB1191"/>
    <w:rsid w:val="39FC65CC"/>
    <w:rsid w:val="39FE6F59"/>
    <w:rsid w:val="3A1A6AE5"/>
    <w:rsid w:val="3A2B69F3"/>
    <w:rsid w:val="3A4526F1"/>
    <w:rsid w:val="3A701AE7"/>
    <w:rsid w:val="3A750E6E"/>
    <w:rsid w:val="3A941C32"/>
    <w:rsid w:val="3AA83C87"/>
    <w:rsid w:val="3AB67AB0"/>
    <w:rsid w:val="3AC628CD"/>
    <w:rsid w:val="3ACE7FFB"/>
    <w:rsid w:val="3AD603BE"/>
    <w:rsid w:val="3AEF76EC"/>
    <w:rsid w:val="3AF2384C"/>
    <w:rsid w:val="3B002605"/>
    <w:rsid w:val="3B0E070B"/>
    <w:rsid w:val="3B0E7276"/>
    <w:rsid w:val="3B5A0033"/>
    <w:rsid w:val="3B6E3567"/>
    <w:rsid w:val="3BA34E54"/>
    <w:rsid w:val="3BAD45C9"/>
    <w:rsid w:val="3BC477EF"/>
    <w:rsid w:val="3BD54ECE"/>
    <w:rsid w:val="3BDA7FB9"/>
    <w:rsid w:val="3BE26336"/>
    <w:rsid w:val="3C136345"/>
    <w:rsid w:val="3C260152"/>
    <w:rsid w:val="3C4F3ADC"/>
    <w:rsid w:val="3C5C187A"/>
    <w:rsid w:val="3C7F4555"/>
    <w:rsid w:val="3C9B5744"/>
    <w:rsid w:val="3CA36B67"/>
    <w:rsid w:val="3CA46E57"/>
    <w:rsid w:val="3CA628B2"/>
    <w:rsid w:val="3CC276DE"/>
    <w:rsid w:val="3CD27392"/>
    <w:rsid w:val="3CF32FDE"/>
    <w:rsid w:val="3CF570D5"/>
    <w:rsid w:val="3CFC24D2"/>
    <w:rsid w:val="3CFF78D5"/>
    <w:rsid w:val="3D1D0DC6"/>
    <w:rsid w:val="3D1F4B70"/>
    <w:rsid w:val="3D3706E1"/>
    <w:rsid w:val="3D3B3C1C"/>
    <w:rsid w:val="3D3F3B51"/>
    <w:rsid w:val="3D4A629D"/>
    <w:rsid w:val="3D4C5425"/>
    <w:rsid w:val="3D6A1E76"/>
    <w:rsid w:val="3D944C04"/>
    <w:rsid w:val="3DA908AC"/>
    <w:rsid w:val="3DD00851"/>
    <w:rsid w:val="3DF862BE"/>
    <w:rsid w:val="3E016DE0"/>
    <w:rsid w:val="3E124382"/>
    <w:rsid w:val="3E23472E"/>
    <w:rsid w:val="3E522CC8"/>
    <w:rsid w:val="3E5C192C"/>
    <w:rsid w:val="3E6C53A7"/>
    <w:rsid w:val="3E785CFB"/>
    <w:rsid w:val="3E826A0A"/>
    <w:rsid w:val="3E935747"/>
    <w:rsid w:val="3EB06511"/>
    <w:rsid w:val="3EBC1C11"/>
    <w:rsid w:val="3ECC2AA4"/>
    <w:rsid w:val="3ECF1D83"/>
    <w:rsid w:val="3EDDF4FA"/>
    <w:rsid w:val="3EE55913"/>
    <w:rsid w:val="3EE8198D"/>
    <w:rsid w:val="3EF6D5F8"/>
    <w:rsid w:val="3F001701"/>
    <w:rsid w:val="3F01199F"/>
    <w:rsid w:val="3F0561CC"/>
    <w:rsid w:val="3F7B1879"/>
    <w:rsid w:val="3F8E6E64"/>
    <w:rsid w:val="3FB07CE1"/>
    <w:rsid w:val="3FC24032"/>
    <w:rsid w:val="3FCD4E02"/>
    <w:rsid w:val="3FE0008D"/>
    <w:rsid w:val="3FE27F44"/>
    <w:rsid w:val="3FE44DB0"/>
    <w:rsid w:val="40295C55"/>
    <w:rsid w:val="402B1A4C"/>
    <w:rsid w:val="40461D6E"/>
    <w:rsid w:val="404F327E"/>
    <w:rsid w:val="40764F3C"/>
    <w:rsid w:val="40766F7A"/>
    <w:rsid w:val="40C75330"/>
    <w:rsid w:val="40CA7613"/>
    <w:rsid w:val="40CE7297"/>
    <w:rsid w:val="40ED7B88"/>
    <w:rsid w:val="40F40090"/>
    <w:rsid w:val="4119401A"/>
    <w:rsid w:val="4134318C"/>
    <w:rsid w:val="414420D7"/>
    <w:rsid w:val="41497185"/>
    <w:rsid w:val="414B6138"/>
    <w:rsid w:val="417D70A3"/>
    <w:rsid w:val="418740B0"/>
    <w:rsid w:val="419844D8"/>
    <w:rsid w:val="41A2034E"/>
    <w:rsid w:val="41A979CC"/>
    <w:rsid w:val="41B240A7"/>
    <w:rsid w:val="41BD4926"/>
    <w:rsid w:val="41D536E3"/>
    <w:rsid w:val="41D95FE8"/>
    <w:rsid w:val="41E11CA7"/>
    <w:rsid w:val="41F1648E"/>
    <w:rsid w:val="41F8600A"/>
    <w:rsid w:val="420014A1"/>
    <w:rsid w:val="422D2160"/>
    <w:rsid w:val="42396A7D"/>
    <w:rsid w:val="423F1898"/>
    <w:rsid w:val="42580183"/>
    <w:rsid w:val="426D552C"/>
    <w:rsid w:val="42C03D90"/>
    <w:rsid w:val="42C3234A"/>
    <w:rsid w:val="42CB1C99"/>
    <w:rsid w:val="42EC7954"/>
    <w:rsid w:val="42F9254F"/>
    <w:rsid w:val="43090FD9"/>
    <w:rsid w:val="430D0D7E"/>
    <w:rsid w:val="43171E14"/>
    <w:rsid w:val="43313A24"/>
    <w:rsid w:val="433D10E2"/>
    <w:rsid w:val="43416A49"/>
    <w:rsid w:val="435C75F3"/>
    <w:rsid w:val="436F7031"/>
    <w:rsid w:val="43715308"/>
    <w:rsid w:val="43AA5F6D"/>
    <w:rsid w:val="43B14016"/>
    <w:rsid w:val="43BB6864"/>
    <w:rsid w:val="43E01243"/>
    <w:rsid w:val="43F00510"/>
    <w:rsid w:val="43FF5C60"/>
    <w:rsid w:val="44133386"/>
    <w:rsid w:val="442858E1"/>
    <w:rsid w:val="4431474F"/>
    <w:rsid w:val="44321313"/>
    <w:rsid w:val="446C6E24"/>
    <w:rsid w:val="447E2A0F"/>
    <w:rsid w:val="448A411E"/>
    <w:rsid w:val="44915828"/>
    <w:rsid w:val="449A30DE"/>
    <w:rsid w:val="44A47695"/>
    <w:rsid w:val="44BE666B"/>
    <w:rsid w:val="44D426B2"/>
    <w:rsid w:val="44D9550F"/>
    <w:rsid w:val="450918B6"/>
    <w:rsid w:val="452717E6"/>
    <w:rsid w:val="452F4F26"/>
    <w:rsid w:val="453F45E2"/>
    <w:rsid w:val="45405345"/>
    <w:rsid w:val="45463295"/>
    <w:rsid w:val="45875321"/>
    <w:rsid w:val="4588590C"/>
    <w:rsid w:val="45AB5E98"/>
    <w:rsid w:val="45C33153"/>
    <w:rsid w:val="45C513B0"/>
    <w:rsid w:val="45C861FB"/>
    <w:rsid w:val="46014259"/>
    <w:rsid w:val="461C5622"/>
    <w:rsid w:val="462678CF"/>
    <w:rsid w:val="46602401"/>
    <w:rsid w:val="4668035E"/>
    <w:rsid w:val="46883415"/>
    <w:rsid w:val="468F73FE"/>
    <w:rsid w:val="469A0BA6"/>
    <w:rsid w:val="46A4761C"/>
    <w:rsid w:val="46BD0001"/>
    <w:rsid w:val="46CF3BB8"/>
    <w:rsid w:val="46F62080"/>
    <w:rsid w:val="46FC4F20"/>
    <w:rsid w:val="47270310"/>
    <w:rsid w:val="47872571"/>
    <w:rsid w:val="478E4E27"/>
    <w:rsid w:val="47B570E5"/>
    <w:rsid w:val="47BD2B2E"/>
    <w:rsid w:val="47CC29CB"/>
    <w:rsid w:val="47CC540F"/>
    <w:rsid w:val="48042B34"/>
    <w:rsid w:val="48150631"/>
    <w:rsid w:val="482228FB"/>
    <w:rsid w:val="48284AC3"/>
    <w:rsid w:val="48304BEE"/>
    <w:rsid w:val="48524B0F"/>
    <w:rsid w:val="488E6683"/>
    <w:rsid w:val="488F4366"/>
    <w:rsid w:val="48D86719"/>
    <w:rsid w:val="48F32F3B"/>
    <w:rsid w:val="490259A8"/>
    <w:rsid w:val="49132D3B"/>
    <w:rsid w:val="4935600E"/>
    <w:rsid w:val="49385C0C"/>
    <w:rsid w:val="497425E1"/>
    <w:rsid w:val="498116C1"/>
    <w:rsid w:val="499F1C25"/>
    <w:rsid w:val="49AC50DE"/>
    <w:rsid w:val="49B101C9"/>
    <w:rsid w:val="49C05A4A"/>
    <w:rsid w:val="49E4340C"/>
    <w:rsid w:val="49F673AD"/>
    <w:rsid w:val="4A171FDA"/>
    <w:rsid w:val="4A1F34F0"/>
    <w:rsid w:val="4A3E1DFE"/>
    <w:rsid w:val="4A4F3F3B"/>
    <w:rsid w:val="4A557DC9"/>
    <w:rsid w:val="4A571D1F"/>
    <w:rsid w:val="4A5859B6"/>
    <w:rsid w:val="4A5E5A7F"/>
    <w:rsid w:val="4A6F5CAB"/>
    <w:rsid w:val="4A7B361B"/>
    <w:rsid w:val="4A8C1339"/>
    <w:rsid w:val="4A8E24A5"/>
    <w:rsid w:val="4A951FC0"/>
    <w:rsid w:val="4AA85AA1"/>
    <w:rsid w:val="4AAC3CC5"/>
    <w:rsid w:val="4AB074A4"/>
    <w:rsid w:val="4AB859D6"/>
    <w:rsid w:val="4ACE54AE"/>
    <w:rsid w:val="4ADC18E8"/>
    <w:rsid w:val="4AEF530D"/>
    <w:rsid w:val="4B012F2C"/>
    <w:rsid w:val="4B3012BB"/>
    <w:rsid w:val="4B4F2A61"/>
    <w:rsid w:val="4B6206BA"/>
    <w:rsid w:val="4BA14318"/>
    <w:rsid w:val="4BC75FB4"/>
    <w:rsid w:val="4BCD4F56"/>
    <w:rsid w:val="4BDE0179"/>
    <w:rsid w:val="4BE15EC5"/>
    <w:rsid w:val="4BF5731E"/>
    <w:rsid w:val="4C3B48FD"/>
    <w:rsid w:val="4C457A46"/>
    <w:rsid w:val="4C57618A"/>
    <w:rsid w:val="4CBD6FDE"/>
    <w:rsid w:val="4CE87073"/>
    <w:rsid w:val="4CF71222"/>
    <w:rsid w:val="4D2D61FC"/>
    <w:rsid w:val="4D3A55F0"/>
    <w:rsid w:val="4D5679DC"/>
    <w:rsid w:val="4D956F49"/>
    <w:rsid w:val="4D9661D8"/>
    <w:rsid w:val="4D97655C"/>
    <w:rsid w:val="4D9F06AB"/>
    <w:rsid w:val="4DB45FFA"/>
    <w:rsid w:val="4DD62336"/>
    <w:rsid w:val="4DE107E9"/>
    <w:rsid w:val="4DE82D2A"/>
    <w:rsid w:val="4DEB5A29"/>
    <w:rsid w:val="4E144BA8"/>
    <w:rsid w:val="4E163B5A"/>
    <w:rsid w:val="4E2B2C17"/>
    <w:rsid w:val="4E324158"/>
    <w:rsid w:val="4E332FE3"/>
    <w:rsid w:val="4E57075F"/>
    <w:rsid w:val="4E717CB1"/>
    <w:rsid w:val="4E846B0F"/>
    <w:rsid w:val="4E9A4715"/>
    <w:rsid w:val="4E9F1C96"/>
    <w:rsid w:val="4EA62F7D"/>
    <w:rsid w:val="4EAF0CD3"/>
    <w:rsid w:val="4EB4138B"/>
    <w:rsid w:val="4EE5527D"/>
    <w:rsid w:val="4EF76B75"/>
    <w:rsid w:val="4F307F99"/>
    <w:rsid w:val="4F3A5808"/>
    <w:rsid w:val="4F5712D6"/>
    <w:rsid w:val="4F61758B"/>
    <w:rsid w:val="4F6F18D7"/>
    <w:rsid w:val="4FAD422B"/>
    <w:rsid w:val="4FB9185A"/>
    <w:rsid w:val="4FE35DF0"/>
    <w:rsid w:val="4FE94B64"/>
    <w:rsid w:val="501C56B7"/>
    <w:rsid w:val="50530BC8"/>
    <w:rsid w:val="506F39D9"/>
    <w:rsid w:val="508C01A9"/>
    <w:rsid w:val="50A54FE5"/>
    <w:rsid w:val="50B0253B"/>
    <w:rsid w:val="50C15033"/>
    <w:rsid w:val="50E040CF"/>
    <w:rsid w:val="50FA20DB"/>
    <w:rsid w:val="51187221"/>
    <w:rsid w:val="5131350C"/>
    <w:rsid w:val="51316E35"/>
    <w:rsid w:val="513C2EDD"/>
    <w:rsid w:val="5148016F"/>
    <w:rsid w:val="51833443"/>
    <w:rsid w:val="51906B62"/>
    <w:rsid w:val="519949CA"/>
    <w:rsid w:val="5199796C"/>
    <w:rsid w:val="51BB4F4F"/>
    <w:rsid w:val="51DE196A"/>
    <w:rsid w:val="51E273BE"/>
    <w:rsid w:val="51E61FD0"/>
    <w:rsid w:val="51EF26CD"/>
    <w:rsid w:val="52244CE0"/>
    <w:rsid w:val="522A03F2"/>
    <w:rsid w:val="52341AFD"/>
    <w:rsid w:val="523B5CD2"/>
    <w:rsid w:val="52597C66"/>
    <w:rsid w:val="52847CC6"/>
    <w:rsid w:val="529D3D17"/>
    <w:rsid w:val="52A07287"/>
    <w:rsid w:val="52B17872"/>
    <w:rsid w:val="52BA0C9C"/>
    <w:rsid w:val="52C06C9F"/>
    <w:rsid w:val="53074673"/>
    <w:rsid w:val="53187152"/>
    <w:rsid w:val="532B17C9"/>
    <w:rsid w:val="5349236F"/>
    <w:rsid w:val="534C5B64"/>
    <w:rsid w:val="53515CAE"/>
    <w:rsid w:val="536107A3"/>
    <w:rsid w:val="538240B5"/>
    <w:rsid w:val="538C167D"/>
    <w:rsid w:val="538E7ED0"/>
    <w:rsid w:val="53A800FC"/>
    <w:rsid w:val="53AD440C"/>
    <w:rsid w:val="53DE163D"/>
    <w:rsid w:val="53E61ABA"/>
    <w:rsid w:val="541455EA"/>
    <w:rsid w:val="542303F8"/>
    <w:rsid w:val="54444A33"/>
    <w:rsid w:val="545D2753"/>
    <w:rsid w:val="54604F80"/>
    <w:rsid w:val="54612EE1"/>
    <w:rsid w:val="546209B4"/>
    <w:rsid w:val="54666D10"/>
    <w:rsid w:val="5478407C"/>
    <w:rsid w:val="5481397B"/>
    <w:rsid w:val="5490425F"/>
    <w:rsid w:val="54961B6C"/>
    <w:rsid w:val="54967355"/>
    <w:rsid w:val="54EC26DD"/>
    <w:rsid w:val="55051CE9"/>
    <w:rsid w:val="55090217"/>
    <w:rsid w:val="551A29AD"/>
    <w:rsid w:val="55364E1B"/>
    <w:rsid w:val="55437EFB"/>
    <w:rsid w:val="55844014"/>
    <w:rsid w:val="558C32BA"/>
    <w:rsid w:val="55AC05AB"/>
    <w:rsid w:val="55B45D02"/>
    <w:rsid w:val="55BC6AC0"/>
    <w:rsid w:val="55C34E73"/>
    <w:rsid w:val="55FC2402"/>
    <w:rsid w:val="55FC6482"/>
    <w:rsid w:val="55FD2356"/>
    <w:rsid w:val="55FD7D0A"/>
    <w:rsid w:val="561624E4"/>
    <w:rsid w:val="56433506"/>
    <w:rsid w:val="56617DD7"/>
    <w:rsid w:val="568238F3"/>
    <w:rsid w:val="56AB71DB"/>
    <w:rsid w:val="56BD2924"/>
    <w:rsid w:val="56D71B8E"/>
    <w:rsid w:val="57085EE4"/>
    <w:rsid w:val="570B3E02"/>
    <w:rsid w:val="571BFF49"/>
    <w:rsid w:val="573F5101"/>
    <w:rsid w:val="576D37A4"/>
    <w:rsid w:val="578E65D4"/>
    <w:rsid w:val="57B049BA"/>
    <w:rsid w:val="57B958F8"/>
    <w:rsid w:val="57C05CCD"/>
    <w:rsid w:val="57C413A5"/>
    <w:rsid w:val="57CE11E3"/>
    <w:rsid w:val="57E767A6"/>
    <w:rsid w:val="57EE3484"/>
    <w:rsid w:val="57F80C60"/>
    <w:rsid w:val="58215AB6"/>
    <w:rsid w:val="582B0154"/>
    <w:rsid w:val="585F534A"/>
    <w:rsid w:val="58862B72"/>
    <w:rsid w:val="588A5AE9"/>
    <w:rsid w:val="58900C95"/>
    <w:rsid w:val="589C50B7"/>
    <w:rsid w:val="589E625B"/>
    <w:rsid w:val="58B20AEC"/>
    <w:rsid w:val="58BF52A9"/>
    <w:rsid w:val="58D87F55"/>
    <w:rsid w:val="58D927FA"/>
    <w:rsid w:val="58DF4FEC"/>
    <w:rsid w:val="58FE49B7"/>
    <w:rsid w:val="58FEAF7A"/>
    <w:rsid w:val="59021FD2"/>
    <w:rsid w:val="59267B33"/>
    <w:rsid w:val="592B4373"/>
    <w:rsid w:val="59615283"/>
    <w:rsid w:val="596662A5"/>
    <w:rsid w:val="59902F35"/>
    <w:rsid w:val="5994238E"/>
    <w:rsid w:val="5995052F"/>
    <w:rsid w:val="59B93C4C"/>
    <w:rsid w:val="59D165F0"/>
    <w:rsid w:val="59D35D63"/>
    <w:rsid w:val="59E04505"/>
    <w:rsid w:val="59FA3177"/>
    <w:rsid w:val="5A143B8D"/>
    <w:rsid w:val="5A223159"/>
    <w:rsid w:val="5A3A0AA5"/>
    <w:rsid w:val="5A4F554A"/>
    <w:rsid w:val="5A506F3E"/>
    <w:rsid w:val="5A7526C4"/>
    <w:rsid w:val="5A940D72"/>
    <w:rsid w:val="5AB41DB0"/>
    <w:rsid w:val="5AD732CB"/>
    <w:rsid w:val="5AF46232"/>
    <w:rsid w:val="5B12588A"/>
    <w:rsid w:val="5B411CCC"/>
    <w:rsid w:val="5B506E2B"/>
    <w:rsid w:val="5B6441D3"/>
    <w:rsid w:val="5B6B430D"/>
    <w:rsid w:val="5B6F3E29"/>
    <w:rsid w:val="5B7B31A9"/>
    <w:rsid w:val="5B815166"/>
    <w:rsid w:val="5B83592D"/>
    <w:rsid w:val="5BA33C64"/>
    <w:rsid w:val="5BDD7F38"/>
    <w:rsid w:val="5C047B83"/>
    <w:rsid w:val="5C0B29A6"/>
    <w:rsid w:val="5C1D4690"/>
    <w:rsid w:val="5C267747"/>
    <w:rsid w:val="5C414134"/>
    <w:rsid w:val="5C4D667C"/>
    <w:rsid w:val="5C7E1B5B"/>
    <w:rsid w:val="5C9A3C1D"/>
    <w:rsid w:val="5C9D30FF"/>
    <w:rsid w:val="5C9F6CAA"/>
    <w:rsid w:val="5CA7BEF0"/>
    <w:rsid w:val="5CC24565"/>
    <w:rsid w:val="5CC77665"/>
    <w:rsid w:val="5CD37506"/>
    <w:rsid w:val="5CD9561D"/>
    <w:rsid w:val="5CEC1798"/>
    <w:rsid w:val="5D050023"/>
    <w:rsid w:val="5D077BAE"/>
    <w:rsid w:val="5D1B4EFD"/>
    <w:rsid w:val="5D232C38"/>
    <w:rsid w:val="5D276BDB"/>
    <w:rsid w:val="5D2E7780"/>
    <w:rsid w:val="5D779D4D"/>
    <w:rsid w:val="5D787B8A"/>
    <w:rsid w:val="5D93642D"/>
    <w:rsid w:val="5D956205"/>
    <w:rsid w:val="5D983E4F"/>
    <w:rsid w:val="5DCB48EE"/>
    <w:rsid w:val="5DCF5602"/>
    <w:rsid w:val="5DF448E5"/>
    <w:rsid w:val="5E09755D"/>
    <w:rsid w:val="5E2C3A7D"/>
    <w:rsid w:val="5E390CAF"/>
    <w:rsid w:val="5E3C6D30"/>
    <w:rsid w:val="5E4E37AD"/>
    <w:rsid w:val="5E5F5EF7"/>
    <w:rsid w:val="5E60128D"/>
    <w:rsid w:val="5E697D49"/>
    <w:rsid w:val="5E6D720A"/>
    <w:rsid w:val="5E7F4FE5"/>
    <w:rsid w:val="5E9E7B40"/>
    <w:rsid w:val="5EB23E2B"/>
    <w:rsid w:val="5EC5386C"/>
    <w:rsid w:val="5EDA419A"/>
    <w:rsid w:val="5EE51AE4"/>
    <w:rsid w:val="5EF048AB"/>
    <w:rsid w:val="5F036FBE"/>
    <w:rsid w:val="5F0A15F3"/>
    <w:rsid w:val="5F313E05"/>
    <w:rsid w:val="5F433247"/>
    <w:rsid w:val="5F45258B"/>
    <w:rsid w:val="5F5C1C5B"/>
    <w:rsid w:val="5F5D5201"/>
    <w:rsid w:val="5F690130"/>
    <w:rsid w:val="5F73BD68"/>
    <w:rsid w:val="5F7E1630"/>
    <w:rsid w:val="5F966E18"/>
    <w:rsid w:val="5F970059"/>
    <w:rsid w:val="5F9A70E8"/>
    <w:rsid w:val="5FAD1249"/>
    <w:rsid w:val="5FB0093D"/>
    <w:rsid w:val="5FE65556"/>
    <w:rsid w:val="601E660F"/>
    <w:rsid w:val="603A21D9"/>
    <w:rsid w:val="6094289E"/>
    <w:rsid w:val="609C6B9A"/>
    <w:rsid w:val="60B52778"/>
    <w:rsid w:val="60B718BC"/>
    <w:rsid w:val="60D90292"/>
    <w:rsid w:val="61022FB1"/>
    <w:rsid w:val="61031113"/>
    <w:rsid w:val="6113529D"/>
    <w:rsid w:val="61166383"/>
    <w:rsid w:val="613A7352"/>
    <w:rsid w:val="613D732D"/>
    <w:rsid w:val="614A63D5"/>
    <w:rsid w:val="614B4412"/>
    <w:rsid w:val="6155317E"/>
    <w:rsid w:val="615F1B75"/>
    <w:rsid w:val="61616C24"/>
    <w:rsid w:val="617D7BD4"/>
    <w:rsid w:val="61973B2B"/>
    <w:rsid w:val="61BB2FCE"/>
    <w:rsid w:val="61D57BE4"/>
    <w:rsid w:val="6200214A"/>
    <w:rsid w:val="62521141"/>
    <w:rsid w:val="629A0A03"/>
    <w:rsid w:val="62A102F6"/>
    <w:rsid w:val="62A15832"/>
    <w:rsid w:val="62A872C5"/>
    <w:rsid w:val="62B84231"/>
    <w:rsid w:val="62C47FC5"/>
    <w:rsid w:val="62D31681"/>
    <w:rsid w:val="62D50185"/>
    <w:rsid w:val="62F449E2"/>
    <w:rsid w:val="630E388B"/>
    <w:rsid w:val="63203565"/>
    <w:rsid w:val="63282DB4"/>
    <w:rsid w:val="63360D48"/>
    <w:rsid w:val="63813D88"/>
    <w:rsid w:val="63896059"/>
    <w:rsid w:val="63A75A25"/>
    <w:rsid w:val="63AA056F"/>
    <w:rsid w:val="63B81E84"/>
    <w:rsid w:val="63D559FD"/>
    <w:rsid w:val="63D65836"/>
    <w:rsid w:val="63E632A0"/>
    <w:rsid w:val="63EA73A4"/>
    <w:rsid w:val="63FA14BE"/>
    <w:rsid w:val="640516EE"/>
    <w:rsid w:val="64257378"/>
    <w:rsid w:val="64284B5D"/>
    <w:rsid w:val="642E3C6C"/>
    <w:rsid w:val="644C3123"/>
    <w:rsid w:val="645C0C48"/>
    <w:rsid w:val="64732602"/>
    <w:rsid w:val="64945730"/>
    <w:rsid w:val="64B97A50"/>
    <w:rsid w:val="64BC7EC9"/>
    <w:rsid w:val="64C85EB7"/>
    <w:rsid w:val="64E472EC"/>
    <w:rsid w:val="64F1387C"/>
    <w:rsid w:val="64FD041F"/>
    <w:rsid w:val="64FE7D01"/>
    <w:rsid w:val="64FF55AF"/>
    <w:rsid w:val="6510166A"/>
    <w:rsid w:val="6510790A"/>
    <w:rsid w:val="6511382D"/>
    <w:rsid w:val="652468A8"/>
    <w:rsid w:val="654153AA"/>
    <w:rsid w:val="655D5D1D"/>
    <w:rsid w:val="65684079"/>
    <w:rsid w:val="657F4530"/>
    <w:rsid w:val="65847FCB"/>
    <w:rsid w:val="658D6CC0"/>
    <w:rsid w:val="659912BC"/>
    <w:rsid w:val="65E850A7"/>
    <w:rsid w:val="65F22F16"/>
    <w:rsid w:val="66205162"/>
    <w:rsid w:val="663C214A"/>
    <w:rsid w:val="664B3CD4"/>
    <w:rsid w:val="666770BE"/>
    <w:rsid w:val="666A2BB2"/>
    <w:rsid w:val="666B550A"/>
    <w:rsid w:val="668A491E"/>
    <w:rsid w:val="66BC2B4E"/>
    <w:rsid w:val="66CC6427"/>
    <w:rsid w:val="66E66872"/>
    <w:rsid w:val="67255D99"/>
    <w:rsid w:val="672701F0"/>
    <w:rsid w:val="67467301"/>
    <w:rsid w:val="67512BB0"/>
    <w:rsid w:val="675D5843"/>
    <w:rsid w:val="676952A1"/>
    <w:rsid w:val="676B24FB"/>
    <w:rsid w:val="67786092"/>
    <w:rsid w:val="67967A99"/>
    <w:rsid w:val="67C174B3"/>
    <w:rsid w:val="681A2772"/>
    <w:rsid w:val="681E5132"/>
    <w:rsid w:val="682B7F8C"/>
    <w:rsid w:val="683F2746"/>
    <w:rsid w:val="68421E34"/>
    <w:rsid w:val="684C208C"/>
    <w:rsid w:val="68701E42"/>
    <w:rsid w:val="68982479"/>
    <w:rsid w:val="68AB5D80"/>
    <w:rsid w:val="68B02F4E"/>
    <w:rsid w:val="68C54DA1"/>
    <w:rsid w:val="68E0239E"/>
    <w:rsid w:val="68E82796"/>
    <w:rsid w:val="68EC55F7"/>
    <w:rsid w:val="690540BF"/>
    <w:rsid w:val="690560DF"/>
    <w:rsid w:val="69075C34"/>
    <w:rsid w:val="691A5EE6"/>
    <w:rsid w:val="691E5013"/>
    <w:rsid w:val="69341349"/>
    <w:rsid w:val="693F23B7"/>
    <w:rsid w:val="6956398A"/>
    <w:rsid w:val="696370F4"/>
    <w:rsid w:val="696C0310"/>
    <w:rsid w:val="69845C64"/>
    <w:rsid w:val="69B247C8"/>
    <w:rsid w:val="69C64714"/>
    <w:rsid w:val="69CA4852"/>
    <w:rsid w:val="69CC56B4"/>
    <w:rsid w:val="69EF59B1"/>
    <w:rsid w:val="6A0700E9"/>
    <w:rsid w:val="6A2B02B0"/>
    <w:rsid w:val="6A327563"/>
    <w:rsid w:val="6A4109EA"/>
    <w:rsid w:val="6A4C7071"/>
    <w:rsid w:val="6A694F27"/>
    <w:rsid w:val="6AAA1233"/>
    <w:rsid w:val="6ABB6531"/>
    <w:rsid w:val="6AE663EC"/>
    <w:rsid w:val="6B1E16E2"/>
    <w:rsid w:val="6B3525B5"/>
    <w:rsid w:val="6B4337DD"/>
    <w:rsid w:val="6B5B3A72"/>
    <w:rsid w:val="6B6D5FC2"/>
    <w:rsid w:val="6B960C61"/>
    <w:rsid w:val="6C171503"/>
    <w:rsid w:val="6C1A7210"/>
    <w:rsid w:val="6C1B6850"/>
    <w:rsid w:val="6C225448"/>
    <w:rsid w:val="6C2C6080"/>
    <w:rsid w:val="6C3167E0"/>
    <w:rsid w:val="6C350AD4"/>
    <w:rsid w:val="6C933EFE"/>
    <w:rsid w:val="6C9C5BD4"/>
    <w:rsid w:val="6CA251B2"/>
    <w:rsid w:val="6CB76C88"/>
    <w:rsid w:val="6CCB691F"/>
    <w:rsid w:val="6CEB1A97"/>
    <w:rsid w:val="6CF42ABF"/>
    <w:rsid w:val="6D1C298A"/>
    <w:rsid w:val="6D216851"/>
    <w:rsid w:val="6D5E2905"/>
    <w:rsid w:val="6D723F25"/>
    <w:rsid w:val="6D827B16"/>
    <w:rsid w:val="6D8E1695"/>
    <w:rsid w:val="6D9222C1"/>
    <w:rsid w:val="6D9803A2"/>
    <w:rsid w:val="6DC13CA6"/>
    <w:rsid w:val="6DCD28E3"/>
    <w:rsid w:val="6DE63790"/>
    <w:rsid w:val="6DEA4F8E"/>
    <w:rsid w:val="6DF710C0"/>
    <w:rsid w:val="6DFE7A4F"/>
    <w:rsid w:val="6E0C0136"/>
    <w:rsid w:val="6E130DE5"/>
    <w:rsid w:val="6E194716"/>
    <w:rsid w:val="6E5A1A5A"/>
    <w:rsid w:val="6E5E7425"/>
    <w:rsid w:val="6E6C37E0"/>
    <w:rsid w:val="6E6E31FD"/>
    <w:rsid w:val="6E7962F9"/>
    <w:rsid w:val="6EAE2137"/>
    <w:rsid w:val="6EB221A0"/>
    <w:rsid w:val="6EB44823"/>
    <w:rsid w:val="6ECF300F"/>
    <w:rsid w:val="6EEE712E"/>
    <w:rsid w:val="6F010C33"/>
    <w:rsid w:val="6F431348"/>
    <w:rsid w:val="6F58000D"/>
    <w:rsid w:val="6F7C77BD"/>
    <w:rsid w:val="6F7DC595"/>
    <w:rsid w:val="6F7E7354"/>
    <w:rsid w:val="6F7F1B4B"/>
    <w:rsid w:val="6F9A4163"/>
    <w:rsid w:val="6FB645DF"/>
    <w:rsid w:val="6FCD1A6E"/>
    <w:rsid w:val="6FD77A28"/>
    <w:rsid w:val="6FF35895"/>
    <w:rsid w:val="6FFF5A7F"/>
    <w:rsid w:val="701E0731"/>
    <w:rsid w:val="70291C46"/>
    <w:rsid w:val="70341DAC"/>
    <w:rsid w:val="70350C60"/>
    <w:rsid w:val="7075685A"/>
    <w:rsid w:val="70A30A11"/>
    <w:rsid w:val="70AC2981"/>
    <w:rsid w:val="70B7547C"/>
    <w:rsid w:val="70C04C1F"/>
    <w:rsid w:val="70C655B0"/>
    <w:rsid w:val="70CE4C96"/>
    <w:rsid w:val="70CF0B3D"/>
    <w:rsid w:val="71354387"/>
    <w:rsid w:val="714317DD"/>
    <w:rsid w:val="715116D2"/>
    <w:rsid w:val="7162408D"/>
    <w:rsid w:val="71625915"/>
    <w:rsid w:val="71772542"/>
    <w:rsid w:val="71B21069"/>
    <w:rsid w:val="71CA73EC"/>
    <w:rsid w:val="71CC3CC0"/>
    <w:rsid w:val="71DB24DA"/>
    <w:rsid w:val="71F633F8"/>
    <w:rsid w:val="71F744F2"/>
    <w:rsid w:val="72126C7F"/>
    <w:rsid w:val="7218415A"/>
    <w:rsid w:val="721F5CC8"/>
    <w:rsid w:val="72450106"/>
    <w:rsid w:val="72A33D69"/>
    <w:rsid w:val="72DE9038"/>
    <w:rsid w:val="730F3394"/>
    <w:rsid w:val="731A697D"/>
    <w:rsid w:val="733D4CBA"/>
    <w:rsid w:val="73410663"/>
    <w:rsid w:val="735A2220"/>
    <w:rsid w:val="73793F92"/>
    <w:rsid w:val="73D83477"/>
    <w:rsid w:val="73E43E5B"/>
    <w:rsid w:val="74026044"/>
    <w:rsid w:val="741B3C37"/>
    <w:rsid w:val="743B2BB7"/>
    <w:rsid w:val="747924D5"/>
    <w:rsid w:val="748D443D"/>
    <w:rsid w:val="749F7D37"/>
    <w:rsid w:val="74B63C4A"/>
    <w:rsid w:val="74BF0839"/>
    <w:rsid w:val="74BFAF04"/>
    <w:rsid w:val="74CF6187"/>
    <w:rsid w:val="74D30D95"/>
    <w:rsid w:val="74F62207"/>
    <w:rsid w:val="750D788E"/>
    <w:rsid w:val="752A5775"/>
    <w:rsid w:val="753A15D7"/>
    <w:rsid w:val="754A4575"/>
    <w:rsid w:val="7564688B"/>
    <w:rsid w:val="75745F30"/>
    <w:rsid w:val="75CC5684"/>
    <w:rsid w:val="75D52C2D"/>
    <w:rsid w:val="76021F59"/>
    <w:rsid w:val="760807B1"/>
    <w:rsid w:val="765B1419"/>
    <w:rsid w:val="76652961"/>
    <w:rsid w:val="7671275F"/>
    <w:rsid w:val="76971CDF"/>
    <w:rsid w:val="769D4069"/>
    <w:rsid w:val="76A60379"/>
    <w:rsid w:val="76AA5144"/>
    <w:rsid w:val="76AC1D52"/>
    <w:rsid w:val="76BD0685"/>
    <w:rsid w:val="76DF0815"/>
    <w:rsid w:val="76E56A8E"/>
    <w:rsid w:val="76F83B54"/>
    <w:rsid w:val="773125E2"/>
    <w:rsid w:val="778B4ADE"/>
    <w:rsid w:val="778E4093"/>
    <w:rsid w:val="779BF821"/>
    <w:rsid w:val="77AA273E"/>
    <w:rsid w:val="77AC0674"/>
    <w:rsid w:val="77BA7C86"/>
    <w:rsid w:val="77CC7198"/>
    <w:rsid w:val="77CE2B57"/>
    <w:rsid w:val="77DE0B76"/>
    <w:rsid w:val="77E43DD2"/>
    <w:rsid w:val="77F6075E"/>
    <w:rsid w:val="77FB5427"/>
    <w:rsid w:val="77FF081E"/>
    <w:rsid w:val="780D0A8D"/>
    <w:rsid w:val="78151A26"/>
    <w:rsid w:val="78286AF7"/>
    <w:rsid w:val="782D3663"/>
    <w:rsid w:val="7843265A"/>
    <w:rsid w:val="786F7A21"/>
    <w:rsid w:val="788829E6"/>
    <w:rsid w:val="789B7702"/>
    <w:rsid w:val="78BA03C6"/>
    <w:rsid w:val="78E11465"/>
    <w:rsid w:val="78F47D2D"/>
    <w:rsid w:val="78F64552"/>
    <w:rsid w:val="78F6798A"/>
    <w:rsid w:val="79116D1B"/>
    <w:rsid w:val="793C5C50"/>
    <w:rsid w:val="796C0923"/>
    <w:rsid w:val="79795F5A"/>
    <w:rsid w:val="798D0AD2"/>
    <w:rsid w:val="799D2A2D"/>
    <w:rsid w:val="79A41C7C"/>
    <w:rsid w:val="79DF1B4D"/>
    <w:rsid w:val="79F81E12"/>
    <w:rsid w:val="7A0A7CEB"/>
    <w:rsid w:val="7A101951"/>
    <w:rsid w:val="7A1C65EB"/>
    <w:rsid w:val="7A60175F"/>
    <w:rsid w:val="7A707A80"/>
    <w:rsid w:val="7A7D7E7C"/>
    <w:rsid w:val="7A951FC7"/>
    <w:rsid w:val="7AAD6B20"/>
    <w:rsid w:val="7AAF1B9F"/>
    <w:rsid w:val="7ACC1665"/>
    <w:rsid w:val="7AD54C34"/>
    <w:rsid w:val="7AED3CEE"/>
    <w:rsid w:val="7AEF4A13"/>
    <w:rsid w:val="7B020435"/>
    <w:rsid w:val="7B103C8D"/>
    <w:rsid w:val="7B214B9C"/>
    <w:rsid w:val="7B265465"/>
    <w:rsid w:val="7B3D9FA7"/>
    <w:rsid w:val="7B445833"/>
    <w:rsid w:val="7B7D212A"/>
    <w:rsid w:val="7B9E7540"/>
    <w:rsid w:val="7BA41D67"/>
    <w:rsid w:val="7BA831B4"/>
    <w:rsid w:val="7BA86FCC"/>
    <w:rsid w:val="7BE2051A"/>
    <w:rsid w:val="7BF000D4"/>
    <w:rsid w:val="7BF01892"/>
    <w:rsid w:val="7BFC02C5"/>
    <w:rsid w:val="7C28417F"/>
    <w:rsid w:val="7C362405"/>
    <w:rsid w:val="7C4518F1"/>
    <w:rsid w:val="7C570B39"/>
    <w:rsid w:val="7C632338"/>
    <w:rsid w:val="7C691EE7"/>
    <w:rsid w:val="7C7D7BB2"/>
    <w:rsid w:val="7C7E7DC7"/>
    <w:rsid w:val="7CA05A4B"/>
    <w:rsid w:val="7CB20432"/>
    <w:rsid w:val="7CB26258"/>
    <w:rsid w:val="7CC40EDF"/>
    <w:rsid w:val="7CC70BC5"/>
    <w:rsid w:val="7CE3278B"/>
    <w:rsid w:val="7CE33D99"/>
    <w:rsid w:val="7CE75026"/>
    <w:rsid w:val="7CEC6459"/>
    <w:rsid w:val="7CEE2BCE"/>
    <w:rsid w:val="7D2801DA"/>
    <w:rsid w:val="7D3A306F"/>
    <w:rsid w:val="7D4166AE"/>
    <w:rsid w:val="7D585054"/>
    <w:rsid w:val="7D7B26FD"/>
    <w:rsid w:val="7D98702C"/>
    <w:rsid w:val="7DA00BB7"/>
    <w:rsid w:val="7DA74434"/>
    <w:rsid w:val="7DAF5004"/>
    <w:rsid w:val="7DC557DE"/>
    <w:rsid w:val="7DEE4DFB"/>
    <w:rsid w:val="7DF1189C"/>
    <w:rsid w:val="7DF84014"/>
    <w:rsid w:val="7DFD7EC1"/>
    <w:rsid w:val="7E12157A"/>
    <w:rsid w:val="7E197D90"/>
    <w:rsid w:val="7E21461F"/>
    <w:rsid w:val="7E29605A"/>
    <w:rsid w:val="7E615386"/>
    <w:rsid w:val="7E63219A"/>
    <w:rsid w:val="7E6C0FC8"/>
    <w:rsid w:val="7E6E2BF3"/>
    <w:rsid w:val="7E8F68F6"/>
    <w:rsid w:val="7E953069"/>
    <w:rsid w:val="7EA832D9"/>
    <w:rsid w:val="7EA85A3A"/>
    <w:rsid w:val="7EBAEAA8"/>
    <w:rsid w:val="7EBF0A54"/>
    <w:rsid w:val="7EFF4B02"/>
    <w:rsid w:val="7F192FBE"/>
    <w:rsid w:val="7F3F008D"/>
    <w:rsid w:val="7F4BB895"/>
    <w:rsid w:val="7F5D65DE"/>
    <w:rsid w:val="7F61630B"/>
    <w:rsid w:val="7F714AE8"/>
    <w:rsid w:val="7F913F52"/>
    <w:rsid w:val="7F99375C"/>
    <w:rsid w:val="7FAF7D48"/>
    <w:rsid w:val="7FDD9412"/>
    <w:rsid w:val="7FE04BEF"/>
    <w:rsid w:val="7FFC956A"/>
    <w:rsid w:val="7FFD1D74"/>
    <w:rsid w:val="7FFE4638"/>
    <w:rsid w:val="7FFF9244"/>
    <w:rsid w:val="9FBCEFEF"/>
    <w:rsid w:val="9FFFEEA9"/>
    <w:rsid w:val="A7EF19A3"/>
    <w:rsid w:val="B756443B"/>
    <w:rsid w:val="B7AFA605"/>
    <w:rsid w:val="B9D735BB"/>
    <w:rsid w:val="BBE88D54"/>
    <w:rsid w:val="BDDDBE5F"/>
    <w:rsid w:val="BDEA80E2"/>
    <w:rsid w:val="BE1F382C"/>
    <w:rsid w:val="BFCFF0FE"/>
    <w:rsid w:val="BFDFF4A1"/>
    <w:rsid w:val="BFED499C"/>
    <w:rsid w:val="CF1F4758"/>
    <w:rsid w:val="D9FFEB83"/>
    <w:rsid w:val="DB57264C"/>
    <w:rsid w:val="DBFF2C18"/>
    <w:rsid w:val="DC7E0118"/>
    <w:rsid w:val="DEB5E111"/>
    <w:rsid w:val="DF77B095"/>
    <w:rsid w:val="E7DDD554"/>
    <w:rsid w:val="EDFE5D15"/>
    <w:rsid w:val="EDFF0F34"/>
    <w:rsid w:val="EE7DBB0F"/>
    <w:rsid w:val="F3DA4BD6"/>
    <w:rsid w:val="F755205E"/>
    <w:rsid w:val="F7B3F94B"/>
    <w:rsid w:val="F7EF331C"/>
    <w:rsid w:val="F9FE33CD"/>
    <w:rsid w:val="FBDB6B59"/>
    <w:rsid w:val="FBE715E6"/>
    <w:rsid w:val="FD9FF8E1"/>
    <w:rsid w:val="FDF11AFE"/>
    <w:rsid w:val="FEFEBAF5"/>
    <w:rsid w:val="FF5F5589"/>
    <w:rsid w:val="FF7EC9C5"/>
    <w:rsid w:val="FF8F10A3"/>
    <w:rsid w:val="FFCAD2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nhideWhenUsed="0" w:uiPriority="99" w:semiHidden="0" w:name="toc 2"/>
    <w:lsdException w:uiPriority="0" w:name="toc 3"/>
    <w:lsdException w:qFormat="1" w:uiPriority="39" w:semiHidden="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qFormat="1" w:uiPriority="99" w:semiHidden="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2" w:lineRule="auto"/>
      <w:outlineLvl w:val="4"/>
    </w:pPr>
    <w:rPr>
      <w:rFonts w:ascii="仿宋_GB2312" w:hAnsi="Tahoma"/>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78"/>
    <w:qFormat/>
    <w:uiPriority w:val="0"/>
    <w:pPr>
      <w:ind w:left="480" w:hanging="480" w:hangingChars="200"/>
    </w:pPr>
    <w:rPr>
      <w:sz w:val="24"/>
    </w:rPr>
  </w:style>
  <w:style w:type="paragraph" w:styleId="3">
    <w:name w:val="Body Text First Indent 2"/>
    <w:basedOn w:val="2"/>
    <w:next w:val="1"/>
    <w:unhideWhenUsed/>
    <w:qFormat/>
    <w:uiPriority w:val="99"/>
    <w:pPr>
      <w:ind w:firstLine="420"/>
    </w:pPr>
  </w:style>
  <w:style w:type="paragraph" w:styleId="9">
    <w:name w:val="Normal Indent"/>
    <w:basedOn w:val="1"/>
    <w:qFormat/>
    <w:uiPriority w:val="0"/>
    <w:pPr>
      <w:adjustRightInd w:val="0"/>
      <w:spacing w:line="312" w:lineRule="atLeast"/>
      <w:ind w:firstLine="420"/>
      <w:textAlignment w:val="baseline"/>
    </w:pPr>
    <w:rPr>
      <w:rFonts w:ascii="宋体" w:hAnsi="Courier New"/>
      <w:kern w:val="0"/>
    </w:rPr>
  </w:style>
  <w:style w:type="paragraph" w:styleId="10">
    <w:name w:val="annotation text"/>
    <w:basedOn w:val="1"/>
    <w:link w:val="72"/>
    <w:qFormat/>
    <w:uiPriority w:val="0"/>
    <w:pPr>
      <w:jc w:val="left"/>
    </w:pPr>
    <w:rPr>
      <w:rFonts w:ascii="Times New Roman" w:hAnsi="Times New Roman"/>
    </w:rPr>
  </w:style>
  <w:style w:type="paragraph" w:styleId="11">
    <w:name w:val="Body Text"/>
    <w:basedOn w:val="1"/>
    <w:next w:val="12"/>
    <w:qFormat/>
    <w:uiPriority w:val="0"/>
    <w:pPr>
      <w:spacing w:after="120"/>
    </w:pPr>
  </w:style>
  <w:style w:type="paragraph" w:styleId="12">
    <w:name w:val="toc 4"/>
    <w:basedOn w:val="1"/>
    <w:next w:val="1"/>
    <w:unhideWhenUsed/>
    <w:qFormat/>
    <w:uiPriority w:val="39"/>
    <w:pPr>
      <w:ind w:left="1260" w:leftChars="600"/>
    </w:pPr>
  </w:style>
  <w:style w:type="paragraph" w:styleId="13">
    <w:name w:val="List 2"/>
    <w:basedOn w:val="1"/>
    <w:qFormat/>
    <w:uiPriority w:val="99"/>
    <w:pPr>
      <w:ind w:left="100" w:leftChars="200" w:hanging="200" w:hangingChars="200"/>
    </w:pPr>
    <w:rPr>
      <w:sz w:val="28"/>
      <w:szCs w:val="28"/>
    </w:rPr>
  </w:style>
  <w:style w:type="paragraph" w:styleId="14">
    <w:name w:val="Block Text"/>
    <w:basedOn w:val="1"/>
    <w:qFormat/>
    <w:uiPriority w:val="99"/>
    <w:pPr>
      <w:spacing w:after="120"/>
      <w:ind w:left="1440" w:leftChars="700" w:right="1440" w:rightChars="700"/>
    </w:pPr>
  </w:style>
  <w:style w:type="paragraph" w:styleId="15">
    <w:name w:val="Plain Text"/>
    <w:basedOn w:val="1"/>
    <w:next w:val="16"/>
    <w:link w:val="74"/>
    <w:qFormat/>
    <w:uiPriority w:val="0"/>
    <w:pPr>
      <w:widowControl/>
      <w:overflowPunct w:val="0"/>
      <w:autoSpaceDE w:val="0"/>
      <w:autoSpaceDN w:val="0"/>
      <w:adjustRightInd w:val="0"/>
      <w:jc w:val="left"/>
      <w:textAlignment w:val="baseline"/>
    </w:pPr>
    <w:rPr>
      <w:rFonts w:ascii="宋体" w:hAnsi="Courier New"/>
      <w:sz w:val="24"/>
    </w:rPr>
  </w:style>
  <w:style w:type="paragraph" w:styleId="16">
    <w:name w:val="toc 2"/>
    <w:basedOn w:val="1"/>
    <w:next w:val="1"/>
    <w:qFormat/>
    <w:uiPriority w:val="99"/>
    <w:pPr>
      <w:tabs>
        <w:tab w:val="right" w:leader="dot" w:pos="8302"/>
      </w:tabs>
      <w:ind w:left="200" w:leftChars="200"/>
    </w:pPr>
    <w:rPr>
      <w:b/>
      <w:sz w:val="24"/>
    </w:rPr>
  </w:style>
  <w:style w:type="paragraph" w:styleId="17">
    <w:name w:val="Date"/>
    <w:basedOn w:val="1"/>
    <w:next w:val="1"/>
    <w:qFormat/>
    <w:uiPriority w:val="0"/>
    <w:pPr>
      <w:ind w:left="2500" w:leftChars="2500"/>
    </w:pPr>
    <w:rPr>
      <w:rFonts w:eastAsia="楷体_GB2312"/>
      <w:sz w:val="32"/>
      <w:szCs w:val="20"/>
    </w:rPr>
  </w:style>
  <w:style w:type="paragraph" w:styleId="18">
    <w:name w:val="Body Text Indent 2"/>
    <w:basedOn w:val="1"/>
    <w:unhideWhenUsed/>
    <w:qFormat/>
    <w:uiPriority w:val="99"/>
    <w:pPr>
      <w:spacing w:after="120" w:line="480" w:lineRule="auto"/>
      <w:ind w:left="420" w:leftChars="200"/>
    </w:pPr>
  </w:style>
  <w:style w:type="paragraph" w:styleId="19">
    <w:name w:val="Balloon Text"/>
    <w:basedOn w:val="1"/>
    <w:link w:val="75"/>
    <w:qFormat/>
    <w:uiPriority w:val="0"/>
    <w:rPr>
      <w:rFonts w:ascii="Times New Roman" w:hAnsi="Times New Roman"/>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envelope return"/>
    <w:basedOn w:val="1"/>
    <w:qFormat/>
    <w:uiPriority w:val="0"/>
    <w:pPr>
      <w:snapToGrid w:val="0"/>
    </w:pPr>
    <w:rPr>
      <w:rFonts w:ascii="Arial" w:hAnsi="Arial"/>
    </w:rPr>
  </w:style>
  <w:style w:type="paragraph" w:styleId="22">
    <w:name w:val="header"/>
    <w:basedOn w:val="1"/>
    <w:qFormat/>
    <w:uiPriority w:val="99"/>
    <w:pPr>
      <w:pBdr>
        <w:bottom w:val="single" w:color="auto" w:sz="6" w:space="1"/>
      </w:pBdr>
      <w:tabs>
        <w:tab w:val="center" w:pos="4153"/>
        <w:tab w:val="right" w:pos="8306"/>
      </w:tabs>
      <w:snapToGrid w:val="0"/>
      <w:jc w:val="center"/>
    </w:pPr>
    <w:rPr>
      <w:sz w:val="18"/>
    </w:rPr>
  </w:style>
  <w:style w:type="paragraph" w:styleId="23">
    <w:name w:val="toc 1"/>
    <w:basedOn w:val="1"/>
    <w:next w:val="1"/>
    <w:unhideWhenUsed/>
    <w:qFormat/>
    <w:uiPriority w:val="0"/>
    <w:rPr>
      <w:rFonts w:ascii="Times New Roman" w:hAnsi="Times New Roman"/>
    </w:rPr>
  </w:style>
  <w:style w:type="paragraph" w:styleId="24">
    <w:name w:val="List"/>
    <w:basedOn w:val="1"/>
    <w:qFormat/>
    <w:uiPriority w:val="0"/>
    <w:pPr>
      <w:ind w:left="200" w:hanging="200" w:hangingChars="200"/>
    </w:pPr>
  </w:style>
  <w:style w:type="paragraph" w:styleId="25">
    <w:name w:val="footnote text"/>
    <w:basedOn w:val="1"/>
    <w:link w:val="77"/>
    <w:qFormat/>
    <w:uiPriority w:val="99"/>
    <w:pPr>
      <w:snapToGrid w:val="0"/>
      <w:jc w:val="left"/>
    </w:pPr>
    <w:rPr>
      <w:sz w:val="18"/>
    </w:rPr>
  </w:style>
  <w:style w:type="paragraph" w:styleId="26">
    <w:name w:val="toc 6"/>
    <w:basedOn w:val="1"/>
    <w:next w:val="1"/>
    <w:qFormat/>
    <w:uiPriority w:val="0"/>
    <w:pPr>
      <w:spacing w:line="360" w:lineRule="auto"/>
      <w:ind w:left="1200" w:firstLine="200" w:firstLineChars="200"/>
      <w:jc w:val="left"/>
    </w:pPr>
    <w:rPr>
      <w:rFonts w:cs="Calibri"/>
      <w:sz w:val="18"/>
      <w:szCs w:val="18"/>
    </w:rPr>
  </w:style>
  <w:style w:type="paragraph" w:styleId="27">
    <w:name w:val="Body Text 2"/>
    <w:basedOn w:val="1"/>
    <w:qFormat/>
    <w:uiPriority w:val="0"/>
    <w:pPr>
      <w:widowControl/>
      <w:snapToGrid w:val="0"/>
      <w:spacing w:before="50" w:after="156" w:afterLines="50" w:line="400" w:lineRule="atLeast"/>
      <w:jc w:val="left"/>
    </w:pPr>
    <w:rPr>
      <w:rFonts w:hint="eastAsia" w:ascii="宋体" w:hAnsi="宋体"/>
      <w:color w:val="000000"/>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9">
    <w:name w:val="Title"/>
    <w:basedOn w:val="1"/>
    <w:qFormat/>
    <w:uiPriority w:val="10"/>
    <w:pPr>
      <w:spacing w:before="240" w:after="60"/>
      <w:jc w:val="center"/>
      <w:outlineLvl w:val="0"/>
    </w:pPr>
    <w:rPr>
      <w:rFonts w:ascii="Cambria" w:hAnsi="Cambria" w:cs="Times New Roman"/>
      <w:b/>
      <w:bCs/>
      <w:sz w:val="32"/>
      <w:szCs w:val="32"/>
    </w:rPr>
  </w:style>
  <w:style w:type="paragraph" w:styleId="30">
    <w:name w:val="annotation subject"/>
    <w:basedOn w:val="10"/>
    <w:next w:val="10"/>
    <w:link w:val="76"/>
    <w:qFormat/>
    <w:uiPriority w:val="0"/>
    <w:rPr>
      <w:b/>
      <w:bCs/>
    </w:rPr>
  </w:style>
  <w:style w:type="paragraph" w:styleId="31">
    <w:name w:val="Body Text First Indent"/>
    <w:basedOn w:val="11"/>
    <w:next w:val="26"/>
    <w:qFormat/>
    <w:uiPriority w:val="0"/>
    <w:pPr>
      <w:autoSpaceDE w:val="0"/>
      <w:autoSpaceDN w:val="0"/>
      <w:adjustRightInd w:val="0"/>
      <w:ind w:firstLine="420" w:firstLineChars="100"/>
      <w:jc w:val="left"/>
    </w:pPr>
    <w:rPr>
      <w:rFonts w:ascii="仿宋_GB2312"/>
      <w:b/>
      <w:kern w:val="0"/>
      <w:sz w:val="32"/>
      <w:szCs w:val="32"/>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22"/>
    <w:rPr>
      <w:b/>
    </w:rPr>
  </w:style>
  <w:style w:type="character" w:styleId="36">
    <w:name w:val="page number"/>
    <w:basedOn w:val="34"/>
    <w:unhideWhenUsed/>
    <w:qFormat/>
    <w:uiPriority w:val="0"/>
  </w:style>
  <w:style w:type="character" w:styleId="37">
    <w:name w:val="Emphasis"/>
    <w:basedOn w:val="34"/>
    <w:qFormat/>
    <w:uiPriority w:val="20"/>
    <w:rPr>
      <w:i/>
      <w:iCs/>
    </w:rPr>
  </w:style>
  <w:style w:type="character" w:styleId="38">
    <w:name w:val="Hyperlink"/>
    <w:basedOn w:val="34"/>
    <w:qFormat/>
    <w:uiPriority w:val="0"/>
  </w:style>
  <w:style w:type="character" w:styleId="39">
    <w:name w:val="annotation reference"/>
    <w:basedOn w:val="34"/>
    <w:qFormat/>
    <w:uiPriority w:val="99"/>
    <w:rPr>
      <w:sz w:val="21"/>
      <w:szCs w:val="21"/>
    </w:rPr>
  </w:style>
  <w:style w:type="character" w:styleId="40">
    <w:name w:val="footnote reference"/>
    <w:basedOn w:val="34"/>
    <w:qFormat/>
    <w:uiPriority w:val="99"/>
    <w:rPr>
      <w:rFonts w:cs="Times New Roman"/>
      <w:vertAlign w:val="superscript"/>
    </w:rPr>
  </w:style>
  <w:style w:type="character" w:styleId="41">
    <w:name w:val="HTML Sample"/>
    <w:basedOn w:val="34"/>
    <w:qFormat/>
    <w:uiPriority w:val="0"/>
    <w:rPr>
      <w:rFonts w:ascii="Courier New" w:hAnsi="Courier New"/>
    </w:rPr>
  </w:style>
  <w:style w:type="paragraph" w:customStyle="1" w:styleId="42">
    <w:name w:val="Default"/>
    <w:next w:val="4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4">
    <w:name w:val="[Normal]"/>
    <w:qFormat/>
    <w:uiPriority w:val="99"/>
    <w:rPr>
      <w:rFonts w:ascii="宋体" w:hAnsi="宋体" w:eastAsia="宋体" w:cs="Times New Roman"/>
      <w:sz w:val="24"/>
      <w:szCs w:val="22"/>
      <w:lang w:val="zh-CN" w:eastAsia="zh-CN" w:bidi="ar-SA"/>
    </w:rPr>
  </w:style>
  <w:style w:type="paragraph" w:customStyle="1" w:styleId="45">
    <w:name w:val="DAS正文"/>
    <w:basedOn w:val="1"/>
    <w:qFormat/>
    <w:uiPriority w:val="0"/>
    <w:pPr>
      <w:spacing w:line="360" w:lineRule="auto"/>
      <w:ind w:right="181" w:firstLine="480"/>
    </w:pPr>
    <w:rPr>
      <w:rFonts w:ascii="Verdana" w:hAnsi="Verdana"/>
      <w:szCs w:val="24"/>
    </w:rPr>
  </w:style>
  <w:style w:type="paragraph" w:customStyle="1" w:styleId="46">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表格文字"/>
    <w:basedOn w:val="1"/>
    <w:next w:val="11"/>
    <w:qFormat/>
    <w:uiPriority w:val="0"/>
    <w:pPr>
      <w:adjustRightInd w:val="0"/>
      <w:spacing w:line="420" w:lineRule="atLeast"/>
      <w:jc w:val="left"/>
      <w:textAlignment w:val="baseline"/>
    </w:pPr>
    <w:rPr>
      <w:kern w:val="0"/>
      <w:szCs w:val="24"/>
    </w:rPr>
  </w:style>
  <w:style w:type="paragraph" w:customStyle="1" w:styleId="48">
    <w:name w:val="正文1"/>
    <w:basedOn w:val="1"/>
    <w:qFormat/>
    <w:uiPriority w:val="0"/>
    <w:rPr>
      <w:rFonts w:ascii="宋体" w:hAnsi="宋体" w:cs="宋体"/>
    </w:rPr>
  </w:style>
  <w:style w:type="paragraph" w:customStyle="1" w:styleId="49">
    <w:name w:val="正文2"/>
    <w:basedOn w:val="1"/>
    <w:qFormat/>
    <w:uiPriority w:val="0"/>
    <w:pPr>
      <w:spacing w:before="156" w:line="360" w:lineRule="auto"/>
      <w:ind w:firstLine="510" w:firstLineChars="200"/>
    </w:pPr>
    <w:rPr>
      <w:sz w:val="24"/>
      <w:szCs w:val="20"/>
    </w:rPr>
  </w:style>
  <w:style w:type="paragraph" w:customStyle="1" w:styleId="50">
    <w:name w:val="列表段落1"/>
    <w:basedOn w:val="1"/>
    <w:qFormat/>
    <w:uiPriority w:val="34"/>
    <w:pPr>
      <w:widowControl/>
      <w:ind w:firstLine="420" w:firstLineChars="200"/>
      <w:jc w:val="left"/>
    </w:pPr>
    <w:rPr>
      <w:rFonts w:eastAsia="微软雅黑"/>
      <w:szCs w:val="20"/>
    </w:rPr>
  </w:style>
  <w:style w:type="paragraph" w:customStyle="1" w:styleId="51">
    <w:name w:val="List Paragraph1"/>
    <w:basedOn w:val="1"/>
    <w:qFormat/>
    <w:uiPriority w:val="99"/>
    <w:pPr>
      <w:widowControl/>
      <w:ind w:firstLine="420" w:firstLineChars="200"/>
      <w:jc w:val="left"/>
    </w:pPr>
    <w:rPr>
      <w:rFonts w:ascii="宋体" w:hAnsi="宋体" w:cs="宋体"/>
      <w:kern w:val="0"/>
      <w:sz w:val="24"/>
      <w:szCs w:val="24"/>
    </w:rPr>
  </w:style>
  <w:style w:type="paragraph" w:customStyle="1" w:styleId="52">
    <w:name w:val="样式1"/>
    <w:basedOn w:val="4"/>
    <w:qFormat/>
    <w:uiPriority w:val="0"/>
    <w:pPr>
      <w:tabs>
        <w:tab w:val="left" w:pos="425"/>
      </w:tabs>
      <w:spacing w:beforeLines="50" w:line="240" w:lineRule="auto"/>
      <w:jc w:val="center"/>
    </w:pPr>
    <w:rPr>
      <w:rFonts w:ascii="宋体" w:hAnsi="宋体"/>
      <w:sz w:val="21"/>
      <w:szCs w:val="36"/>
    </w:rPr>
  </w:style>
  <w:style w:type="paragraph" w:customStyle="1" w:styleId="53">
    <w:name w:val="正文，段落，小四，22磅行距"/>
    <w:basedOn w:val="1"/>
    <w:qFormat/>
    <w:uiPriority w:val="0"/>
    <w:pPr>
      <w:spacing w:line="440" w:lineRule="exact"/>
      <w:ind w:firstLine="420"/>
    </w:pPr>
    <w:rPr>
      <w:kern w:val="0"/>
      <w:sz w:val="24"/>
      <w:szCs w:val="24"/>
    </w:rPr>
  </w:style>
  <w:style w:type="paragraph" w:customStyle="1" w:styleId="54">
    <w:name w:val="列出段落2"/>
    <w:basedOn w:val="1"/>
    <w:qFormat/>
    <w:uiPriority w:val="34"/>
    <w:pPr>
      <w:widowControl/>
      <w:ind w:firstLine="420" w:firstLineChars="200"/>
      <w:jc w:val="left"/>
    </w:pPr>
    <w:rPr>
      <w:rFonts w:eastAsia="微软雅黑"/>
      <w:szCs w:val="20"/>
    </w:rPr>
  </w:style>
  <w:style w:type="paragraph" w:customStyle="1" w:styleId="55">
    <w:name w:val="无间隔1"/>
    <w:qFormat/>
    <w:uiPriority w:val="1"/>
    <w:pPr>
      <w:widowControl w:val="0"/>
      <w:snapToGrid w:val="0"/>
      <w:jc w:val="both"/>
    </w:pPr>
    <w:rPr>
      <w:rFonts w:ascii="Calibri" w:hAnsi="Calibri" w:eastAsia="宋体" w:cs="Times New Roman"/>
      <w:kern w:val="2"/>
      <w:sz w:val="21"/>
      <w:szCs w:val="24"/>
      <w:lang w:val="en-US" w:eastAsia="zh-CN" w:bidi="ar-SA"/>
    </w:rPr>
  </w:style>
  <w:style w:type="paragraph" w:customStyle="1" w:styleId="56">
    <w:name w:val="偏离表"/>
    <w:basedOn w:val="1"/>
    <w:qFormat/>
    <w:uiPriority w:val="0"/>
    <w:pPr>
      <w:jc w:val="center"/>
    </w:pPr>
    <w:rPr>
      <w:sz w:val="18"/>
    </w:rPr>
  </w:style>
  <w:style w:type="paragraph" w:customStyle="1" w:styleId="57">
    <w:name w:val="正文_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59">
    <w:name w:val="默认段落字体 Para Char Char Char Char Char Char Char Char Char1 Char Char Char Char"/>
    <w:basedOn w:val="1"/>
    <w:qFormat/>
    <w:uiPriority w:val="99"/>
    <w:rPr>
      <w:rFonts w:ascii="Tahoma" w:hAnsi="Tahoma" w:cs="Tahoma"/>
      <w:sz w:val="24"/>
      <w:szCs w:val="24"/>
    </w:rPr>
  </w:style>
  <w:style w:type="paragraph" w:customStyle="1" w:styleId="60">
    <w:name w:val="列出段落1"/>
    <w:basedOn w:val="1"/>
    <w:qFormat/>
    <w:uiPriority w:val="99"/>
    <w:pPr>
      <w:ind w:firstLine="420" w:firstLineChars="200"/>
    </w:pPr>
  </w:style>
  <w:style w:type="paragraph" w:customStyle="1" w:styleId="61">
    <w:name w:val="首行缩进"/>
    <w:basedOn w:val="1"/>
    <w:qFormat/>
    <w:uiPriority w:val="0"/>
    <w:pPr>
      <w:spacing w:line="360" w:lineRule="auto"/>
      <w:ind w:firstLine="420"/>
    </w:pPr>
    <w:rPr>
      <w:rFonts w:cs="宋体"/>
      <w:szCs w:val="20"/>
    </w:rPr>
  </w:style>
  <w:style w:type="paragraph" w:customStyle="1" w:styleId="62">
    <w:name w:val="纯文本2"/>
    <w:basedOn w:val="63"/>
    <w:qFormat/>
    <w:uiPriority w:val="0"/>
    <w:pPr>
      <w:widowControl/>
      <w:jc w:val="left"/>
    </w:pPr>
    <w:rPr>
      <w:rFonts w:ascii="宋体" w:hAnsi="Courier New"/>
    </w:rPr>
  </w:style>
  <w:style w:type="paragraph" w:customStyle="1" w:styleId="63">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4">
    <w:name w:val="纯文本 New New"/>
    <w:basedOn w:val="1"/>
    <w:qFormat/>
    <w:uiPriority w:val="0"/>
    <w:pPr>
      <w:widowControl/>
      <w:overflowPunct w:val="0"/>
      <w:autoSpaceDE w:val="0"/>
      <w:autoSpaceDN w:val="0"/>
      <w:adjustRightInd w:val="0"/>
      <w:jc w:val="left"/>
      <w:textAlignment w:val="baseline"/>
    </w:pPr>
    <w:rPr>
      <w:rFonts w:ascii="宋体" w:hAnsi="Courier New"/>
    </w:rPr>
  </w:style>
  <w:style w:type="paragraph" w:customStyle="1" w:styleId="65">
    <w:name w:val="Plain Text1"/>
    <w:basedOn w:val="66"/>
    <w:qFormat/>
    <w:uiPriority w:val="0"/>
    <w:pPr>
      <w:adjustRightInd w:val="0"/>
    </w:pPr>
    <w:rPr>
      <w:rFonts w:hint="eastAsia" w:ascii="宋体" w:hAnsi="Courier New" w:eastAsia="楷体_GB2312"/>
      <w:sz w:val="28"/>
    </w:rPr>
  </w:style>
  <w:style w:type="paragraph" w:customStyle="1" w:styleId="66">
    <w:name w:val="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7">
    <w:name w:val="正文文字3"/>
    <w:basedOn w:val="11"/>
    <w:qFormat/>
    <w:uiPriority w:val="0"/>
    <w:pPr>
      <w:spacing w:after="0"/>
    </w:pPr>
  </w:style>
  <w:style w:type="paragraph" w:customStyle="1" w:styleId="68">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9">
    <w:name w:val="正文文本 21"/>
    <w:basedOn w:val="1"/>
    <w:qFormat/>
    <w:uiPriority w:val="0"/>
    <w:pPr>
      <w:adjustRightInd w:val="0"/>
      <w:spacing w:line="300" w:lineRule="auto"/>
      <w:jc w:val="center"/>
    </w:pPr>
    <w:rPr>
      <w:rFonts w:ascii="宋体" w:hAnsi="宋体"/>
      <w:sz w:val="24"/>
    </w:rPr>
  </w:style>
  <w:style w:type="paragraph" w:customStyle="1" w:styleId="70">
    <w:name w:val="Body text|3"/>
    <w:basedOn w:val="1"/>
    <w:qFormat/>
    <w:uiPriority w:val="0"/>
    <w:pPr>
      <w:spacing w:after="380"/>
      <w:jc w:val="center"/>
    </w:pPr>
    <w:rPr>
      <w:rFonts w:ascii="宋体" w:hAnsi="宋体" w:cs="宋体"/>
      <w:sz w:val="26"/>
      <w:szCs w:val="26"/>
      <w:lang w:val="zh-TW" w:eastAsia="zh-TW" w:bidi="zh-TW"/>
    </w:rPr>
  </w:style>
  <w:style w:type="paragraph" w:customStyle="1" w:styleId="71">
    <w:name w:val="Body text|1"/>
    <w:basedOn w:val="1"/>
    <w:qFormat/>
    <w:uiPriority w:val="0"/>
    <w:pPr>
      <w:spacing w:line="360" w:lineRule="auto"/>
      <w:ind w:firstLine="400"/>
    </w:pPr>
    <w:rPr>
      <w:rFonts w:ascii="宋体" w:hAnsi="宋体" w:cs="宋体"/>
      <w:sz w:val="22"/>
      <w:lang w:val="zh-TW" w:eastAsia="zh-TW" w:bidi="zh-TW"/>
    </w:rPr>
  </w:style>
  <w:style w:type="character" w:customStyle="1" w:styleId="72">
    <w:name w:val="批注文字 字符"/>
    <w:link w:val="10"/>
    <w:qFormat/>
    <w:uiPriority w:val="0"/>
    <w:rPr>
      <w:rFonts w:ascii="Times New Roman" w:hAnsi="Times New Roman" w:eastAsia="宋体" w:cs="Times New Roman"/>
      <w:kern w:val="2"/>
      <w:sz w:val="21"/>
      <w:szCs w:val="22"/>
    </w:rPr>
  </w:style>
  <w:style w:type="character" w:customStyle="1" w:styleId="73">
    <w:name w:val="font11"/>
    <w:qFormat/>
    <w:uiPriority w:val="0"/>
    <w:rPr>
      <w:rFonts w:hint="default" w:ascii="仿宋_GB2312" w:eastAsia="仿宋_GB2312" w:cs="仿宋_GB2312"/>
      <w:color w:val="000000"/>
      <w:sz w:val="24"/>
      <w:szCs w:val="24"/>
      <w:u w:val="none"/>
    </w:rPr>
  </w:style>
  <w:style w:type="character" w:customStyle="1" w:styleId="74">
    <w:name w:val="纯文本 字符"/>
    <w:link w:val="15"/>
    <w:qFormat/>
    <w:uiPriority w:val="0"/>
    <w:rPr>
      <w:rFonts w:ascii="宋体" w:hAnsi="Courier New"/>
      <w:kern w:val="2"/>
      <w:sz w:val="24"/>
      <w:szCs w:val="22"/>
    </w:rPr>
  </w:style>
  <w:style w:type="character" w:customStyle="1" w:styleId="75">
    <w:name w:val="批注框文本 字符"/>
    <w:link w:val="19"/>
    <w:qFormat/>
    <w:uiPriority w:val="0"/>
    <w:rPr>
      <w:kern w:val="2"/>
      <w:sz w:val="18"/>
      <w:szCs w:val="18"/>
    </w:rPr>
  </w:style>
  <w:style w:type="character" w:customStyle="1" w:styleId="76">
    <w:name w:val="批注主题 字符"/>
    <w:basedOn w:val="72"/>
    <w:link w:val="30"/>
    <w:qFormat/>
    <w:uiPriority w:val="0"/>
    <w:rPr>
      <w:rFonts w:ascii="Times New Roman" w:hAnsi="Times New Roman" w:eastAsia="宋体" w:cs="Times New Roman"/>
      <w:kern w:val="2"/>
      <w:sz w:val="21"/>
      <w:szCs w:val="22"/>
    </w:rPr>
  </w:style>
  <w:style w:type="character" w:customStyle="1" w:styleId="77">
    <w:name w:val="脚注文本 字符"/>
    <w:basedOn w:val="34"/>
    <w:link w:val="25"/>
    <w:qFormat/>
    <w:uiPriority w:val="99"/>
    <w:rPr>
      <w:rFonts w:ascii="Calibri" w:hAnsi="Calibri"/>
      <w:kern w:val="2"/>
      <w:sz w:val="18"/>
      <w:szCs w:val="22"/>
    </w:rPr>
  </w:style>
  <w:style w:type="character" w:customStyle="1" w:styleId="78">
    <w:name w:val="正文文本缩进 字符"/>
    <w:basedOn w:val="34"/>
    <w:link w:val="2"/>
    <w:qFormat/>
    <w:uiPriority w:val="0"/>
    <w:rPr>
      <w:rFonts w:hint="default" w:ascii="Calibri" w:hAnsi="Calibri" w:cs="Calibri"/>
      <w:kern w:val="2"/>
      <w:sz w:val="21"/>
      <w:szCs w:val="22"/>
    </w:rPr>
  </w:style>
  <w:style w:type="character" w:customStyle="1" w:styleId="79">
    <w:name w:val="bookmark-item"/>
    <w:basedOn w:val="34"/>
    <w:qFormat/>
    <w:uiPriority w:val="0"/>
  </w:style>
  <w:style w:type="paragraph" w:styleId="80">
    <w:name w:val="List Paragraph"/>
    <w:basedOn w:val="1"/>
    <w:qFormat/>
    <w:uiPriority w:val="34"/>
    <w:pPr>
      <w:ind w:firstLine="420" w:firstLineChars="200"/>
    </w:pPr>
  </w:style>
  <w:style w:type="character" w:customStyle="1" w:styleId="81">
    <w:name w:val="NormalCharacter"/>
    <w:semiHidden/>
    <w:qFormat/>
    <w:uiPriority w:val="0"/>
  </w:style>
  <w:style w:type="paragraph" w:customStyle="1" w:styleId="82">
    <w:name w:val="BodyText1I2"/>
    <w:basedOn w:val="83"/>
    <w:qFormat/>
    <w:uiPriority w:val="0"/>
    <w:pPr>
      <w:ind w:firstLine="420" w:firstLineChars="200"/>
    </w:pPr>
  </w:style>
  <w:style w:type="paragraph" w:customStyle="1" w:styleId="83">
    <w:name w:val="BodyTextIndent"/>
    <w:basedOn w:val="1"/>
    <w:qFormat/>
    <w:uiPriority w:val="0"/>
    <w:pPr>
      <w:spacing w:after="120"/>
      <w:ind w:left="420" w:leftChars="200"/>
    </w:pPr>
  </w:style>
  <w:style w:type="paragraph" w:styleId="84">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85">
    <w:name w:val="正文正"/>
    <w:basedOn w:val="1"/>
    <w:qFormat/>
    <w:uiPriority w:val="0"/>
    <w:pPr>
      <w:spacing w:line="560" w:lineRule="exact"/>
      <w:ind w:firstLine="561"/>
    </w:pPr>
    <w:rPr>
      <w:sz w:val="28"/>
      <w:szCs w:val="28"/>
    </w:rPr>
  </w:style>
  <w:style w:type="paragraph" w:customStyle="1" w:styleId="86">
    <w:name w:val="UserStyle_8"/>
    <w:qFormat/>
    <w:uiPriority w:val="99"/>
    <w:pPr>
      <w:jc w:val="both"/>
      <w:textAlignment w:val="baseline"/>
    </w:pPr>
    <w:rPr>
      <w:rFonts w:ascii="Calibri" w:hAnsi="Calibri" w:eastAsia="宋体" w:cs="Times New Roman"/>
      <w:kern w:val="2"/>
      <w:sz w:val="21"/>
      <w:szCs w:val="24"/>
      <w:lang w:val="en-US" w:eastAsia="zh-CN" w:bidi="ar-SA"/>
    </w:rPr>
  </w:style>
  <w:style w:type="character" w:customStyle="1" w:styleId="87">
    <w:name w:val="apple-converted-space"/>
    <w:qFormat/>
    <w:uiPriority w:val="0"/>
    <w:rPr>
      <w:rFonts w:ascii="Times New Roman" w:hAnsi="Times New Roman" w:eastAsia="宋体" w:cs="Times New Roman"/>
    </w:rPr>
  </w:style>
  <w:style w:type="character" w:customStyle="1" w:styleId="88">
    <w:name w:val="font21"/>
    <w:qFormat/>
    <w:uiPriority w:val="0"/>
    <w:rPr>
      <w:rFonts w:hint="eastAsia" w:ascii="宋体" w:hAnsi="宋体" w:eastAsia="宋体" w:cs="宋体"/>
      <w:color w:val="000000"/>
      <w:sz w:val="21"/>
      <w:szCs w:val="21"/>
      <w:u w:val="none"/>
    </w:rPr>
  </w:style>
  <w:style w:type="character" w:customStyle="1" w:styleId="89">
    <w:name w:val="font41"/>
    <w:basedOn w:val="34"/>
    <w:qFormat/>
    <w:uiPriority w:val="0"/>
    <w:rPr>
      <w:rFonts w:hint="eastAsia" w:ascii="宋体" w:hAnsi="宋体" w:eastAsia="宋体" w:cs="宋体"/>
      <w:color w:val="FF0000"/>
      <w:sz w:val="20"/>
      <w:szCs w:val="20"/>
      <w:u w:val="none"/>
    </w:rPr>
  </w:style>
  <w:style w:type="paragraph" w:customStyle="1" w:styleId="90">
    <w:name w:val="WPSOffice手动目录 1"/>
    <w:qFormat/>
    <w:uiPriority w:val="0"/>
    <w:rPr>
      <w:rFonts w:ascii="Times New Roman" w:hAnsi="Times New Roman" w:eastAsia="宋体" w:cs="Times New Roman"/>
      <w:lang w:val="en-US" w:eastAsia="zh-CN" w:bidi="ar-SA"/>
    </w:rPr>
  </w:style>
  <w:style w:type="paragraph" w:customStyle="1" w:styleId="91">
    <w:name w:val="WPSOffice手动目录 2"/>
    <w:qFormat/>
    <w:uiPriority w:val="0"/>
    <w:pPr>
      <w:ind w:left="200" w:leftChars="200"/>
    </w:pPr>
    <w:rPr>
      <w:rFonts w:ascii="Times New Roman" w:hAnsi="Times New Roman" w:eastAsia="宋体" w:cs="Times New Roman"/>
      <w:lang w:val="en-US" w:eastAsia="zh-CN" w:bidi="ar-SA"/>
    </w:rPr>
  </w:style>
  <w:style w:type="table" w:customStyle="1" w:styleId="92">
    <w:name w:val="Table Normal"/>
    <w:semiHidden/>
    <w:unhideWhenUsed/>
    <w:qFormat/>
    <w:uiPriority w:val="0"/>
    <w:tblPr>
      <w:tblCellMar>
        <w:top w:w="0" w:type="dxa"/>
        <w:left w:w="0" w:type="dxa"/>
        <w:bottom w:w="0" w:type="dxa"/>
        <w:right w:w="0" w:type="dxa"/>
      </w:tblCellMar>
    </w:tblPr>
  </w:style>
  <w:style w:type="paragraph" w:customStyle="1" w:styleId="93">
    <w:name w:val="标题 5（有编号）（绿盟科技）"/>
    <w:basedOn w:val="1"/>
    <w:next w:val="94"/>
    <w:qFormat/>
    <w:uiPriority w:val="0"/>
    <w:pPr>
      <w:keepNext/>
      <w:keepLines/>
      <w:numPr>
        <w:ilvl w:val="4"/>
        <w:numId w:val="2"/>
      </w:numPr>
      <w:tabs>
        <w:tab w:val="left" w:pos="0"/>
      </w:tabs>
      <w:spacing w:before="280" w:after="156" w:line="377" w:lineRule="auto"/>
      <w:outlineLvl w:val="4"/>
    </w:pPr>
    <w:rPr>
      <w:rFonts w:ascii="Arial" w:hAnsi="Arial" w:eastAsia="黑体"/>
      <w:b/>
      <w:kern w:val="0"/>
      <w:szCs w:val="28"/>
    </w:rPr>
  </w:style>
  <w:style w:type="paragraph" w:customStyle="1" w:styleId="9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95">
    <w:name w:val="修订1"/>
    <w:hidden/>
    <w:semiHidden/>
    <w:qFormat/>
    <w:uiPriority w:val="99"/>
    <w:rPr>
      <w:rFonts w:ascii="Calibri" w:hAnsi="Calibri" w:eastAsia="宋体" w:cs="Times New Roman"/>
      <w:kern w:val="2"/>
      <w:sz w:val="21"/>
      <w:szCs w:val="22"/>
      <w:lang w:val="en-US" w:eastAsia="zh-CN" w:bidi="ar-SA"/>
    </w:rPr>
  </w:style>
  <w:style w:type="paragraph" w:customStyle="1" w:styleId="96">
    <w:name w:val="正文缩进1"/>
    <w:basedOn w:val="1"/>
    <w:next w:val="2"/>
    <w:qFormat/>
    <w:uiPriority w:val="0"/>
    <w:pPr>
      <w:autoSpaceDE w:val="0"/>
      <w:autoSpaceDN w:val="0"/>
      <w:adjustRightInd w:val="0"/>
      <w:snapToGrid w:val="0"/>
      <w:spacing w:after="120" w:line="360" w:lineRule="auto"/>
      <w:ind w:left="420" w:leftChars="200" w:firstLine="480" w:firstLineChars="200"/>
    </w:pPr>
    <w:rPr>
      <w:rFonts w:ascii="Times New Roman" w:hAnsi="Times New Roman"/>
      <w:sz w:val="24"/>
      <w:szCs w:val="21"/>
    </w:rPr>
  </w:style>
  <w:style w:type="paragraph" w:customStyle="1" w:styleId="97">
    <w:name w:val="索引 11"/>
    <w:basedOn w:val="1"/>
    <w:next w:val="1"/>
    <w:qFormat/>
    <w:uiPriority w:val="99"/>
    <w:pPr>
      <w:spacing w:line="360" w:lineRule="auto"/>
    </w:pPr>
    <w:rPr>
      <w:rFonts w:ascii="仿宋_GB2312" w:hAnsi="Times New Roman" w:eastAsia="仿宋_GB2312"/>
      <w:sz w:val="24"/>
      <w:szCs w:val="20"/>
    </w:rPr>
  </w:style>
  <w:style w:type="paragraph" w:customStyle="1" w:styleId="98">
    <w:name w:val="纯文本1"/>
    <w:basedOn w:val="1"/>
    <w:qFormat/>
    <w:uiPriority w:val="0"/>
    <w:rPr>
      <w:rFonts w:ascii="宋体" w:hAnsi="Courier New"/>
      <w:kern w:val="0"/>
      <w:sz w:val="20"/>
      <w:szCs w:val="20"/>
    </w:rPr>
  </w:style>
  <w:style w:type="paragraph" w:customStyle="1" w:styleId="99">
    <w:name w:val="text-tag"/>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customStyle="1" w:styleId="100">
    <w:name w:val="样式  + 首行缩进:  2 字符"/>
    <w:basedOn w:val="1"/>
    <w:qFormat/>
    <w:uiPriority w:val="0"/>
    <w:pPr>
      <w:adjustRightInd w:val="0"/>
      <w:spacing w:line="360" w:lineRule="auto"/>
      <w:ind w:firstLine="524" w:firstLineChars="200"/>
    </w:pPr>
    <w:rPr>
      <w:rFonts w:ascii="宋体" w:hAnsi="宋体"/>
      <w:spacing w:val="11"/>
      <w:kern w:val="0"/>
      <w:sz w:val="24"/>
    </w:rPr>
  </w:style>
  <w:style w:type="character" w:customStyle="1" w:styleId="101">
    <w:name w:val="font01"/>
    <w:basedOn w:val="34"/>
    <w:qFormat/>
    <w:uiPriority w:val="0"/>
    <w:rPr>
      <w:rFonts w:ascii="font-weight : 400" w:hAnsi="font-weight : 400" w:eastAsia="font-weight : 400" w:cs="font-weight : 400"/>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79</Pages>
  <Words>49635</Words>
  <Characters>54477</Characters>
  <Lines>411</Lines>
  <Paragraphs>115</Paragraphs>
  <TotalTime>0</TotalTime>
  <ScaleCrop>false</ScaleCrop>
  <LinksUpToDate>false</LinksUpToDate>
  <CharactersWithSpaces>57623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2020-08-13T16:15:00Z</dcterms:created>
  <dc:creator>Administrator</dc:creator>
  <cp:lastModifiedBy></cp:lastModifiedBy>
  <cp:lastPrinted>2022-09-05T02:43:00Z</cp:lastPrinted>
  <dcterms:modified xsi:type="dcterms:W3CDTF">2023-08-10T09:07:18Z</dcterms:modified>
  <dc:title>浙江省政府(分散)采购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6AF8223E73DC43D39637AA5358C93B3B_13</vt:lpwstr>
  </property>
  <property fmtid="{D5CDD505-2E9C-101B-9397-08002B2CF9AE}" pid="4" name="commondata">
    <vt:lpwstr>eyJoZGlkIjoiYjQ5YWNlMDcxZGY3YmQzNTllNDAxMWNmYzg3NWNlNTUifQ==</vt:lpwstr>
  </property>
</Properties>
</file>