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宋体" w:cs="宋体"/>
          <w:b/>
          <w:color w:val="auto"/>
          <w:sz w:val="84"/>
          <w:szCs w:val="84"/>
          <w:highlight w:val="none"/>
        </w:rPr>
      </w:pPr>
    </w:p>
    <w:p>
      <w:pPr>
        <w:spacing w:line="360" w:lineRule="auto"/>
        <w:jc w:val="center"/>
        <w:rPr>
          <w:rFonts w:hint="eastAsia" w:ascii="宋体" w:hAnsi="宋体" w:eastAsia="宋体" w:cs="宋体"/>
          <w:b/>
          <w:color w:val="auto"/>
          <w:sz w:val="84"/>
          <w:szCs w:val="84"/>
          <w:highlight w:val="none"/>
        </w:rPr>
      </w:pPr>
    </w:p>
    <w:p>
      <w:pPr>
        <w:spacing w:line="360" w:lineRule="auto"/>
        <w:jc w:val="center"/>
        <w:outlineLvl w:val="9"/>
        <w:rPr>
          <w:rFonts w:hint="eastAsia" w:ascii="宋体" w:hAnsi="宋体" w:eastAsia="宋体" w:cs="宋体"/>
          <w:b/>
          <w:color w:val="auto"/>
          <w:spacing w:val="26"/>
          <w:sz w:val="84"/>
          <w:szCs w:val="84"/>
          <w:highlight w:val="none"/>
        </w:rPr>
      </w:pPr>
      <w:r>
        <w:rPr>
          <w:rFonts w:hint="eastAsia" w:ascii="宋体" w:hAnsi="宋体" w:eastAsia="宋体" w:cs="宋体"/>
          <w:b/>
          <w:color w:val="auto"/>
          <w:sz w:val="84"/>
          <w:szCs w:val="84"/>
          <w:highlight w:val="none"/>
        </w:rPr>
        <w:t>温州市政府(分散)采购</w:t>
      </w:r>
    </w:p>
    <w:p>
      <w:pPr>
        <w:spacing w:line="400" w:lineRule="exact"/>
        <w:ind w:firstLine="1885" w:firstLineChars="235"/>
        <w:rPr>
          <w:rFonts w:hint="eastAsia" w:ascii="宋体" w:hAnsi="宋体" w:eastAsia="宋体" w:cs="宋体"/>
          <w:b/>
          <w:color w:val="auto"/>
          <w:spacing w:val="140"/>
          <w:sz w:val="52"/>
          <w:szCs w:val="52"/>
          <w:highlight w:val="none"/>
        </w:rPr>
      </w:pPr>
    </w:p>
    <w:p>
      <w:pPr>
        <w:spacing w:line="400" w:lineRule="exact"/>
        <w:ind w:firstLine="1885" w:firstLineChars="235"/>
        <w:rPr>
          <w:rFonts w:hint="eastAsia" w:ascii="宋体" w:hAnsi="宋体" w:eastAsia="宋体" w:cs="宋体"/>
          <w:b/>
          <w:color w:val="auto"/>
          <w:spacing w:val="140"/>
          <w:sz w:val="52"/>
          <w:szCs w:val="52"/>
          <w:highlight w:val="none"/>
        </w:rPr>
      </w:pPr>
    </w:p>
    <w:p>
      <w:pPr>
        <w:spacing w:line="360" w:lineRule="auto"/>
        <w:jc w:val="center"/>
        <w:rPr>
          <w:rFonts w:hint="eastAsia" w:ascii="宋体" w:hAnsi="宋体" w:eastAsia="宋体" w:cs="宋体"/>
          <w:b/>
          <w:color w:val="auto"/>
          <w:spacing w:val="140"/>
          <w:sz w:val="52"/>
          <w:szCs w:val="52"/>
          <w:highlight w:val="none"/>
        </w:rPr>
      </w:pPr>
      <w:r>
        <w:rPr>
          <w:rFonts w:hint="eastAsia" w:ascii="宋体" w:hAnsi="宋体" w:eastAsia="宋体" w:cs="宋体"/>
          <w:b/>
          <w:color w:val="auto"/>
          <w:spacing w:val="140"/>
          <w:sz w:val="52"/>
          <w:szCs w:val="52"/>
          <w:highlight w:val="none"/>
        </w:rPr>
        <w:t>招标文件</w:t>
      </w:r>
    </w:p>
    <w:p>
      <w:pPr>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（线上电子招投标）</w:t>
      </w:r>
    </w:p>
    <w:p>
      <w:pPr>
        <w:spacing w:line="400" w:lineRule="exact"/>
        <w:rPr>
          <w:rFonts w:hint="eastAsia" w:ascii="宋体" w:hAnsi="宋体" w:eastAsia="宋体" w:cs="宋体"/>
          <w:b/>
          <w:color w:val="auto"/>
          <w:sz w:val="24"/>
          <w:highlight w:val="none"/>
        </w:rPr>
      </w:pPr>
    </w:p>
    <w:p>
      <w:pPr>
        <w:spacing w:line="400" w:lineRule="exact"/>
        <w:rPr>
          <w:rFonts w:hint="eastAsia" w:ascii="宋体" w:hAnsi="宋体" w:eastAsia="宋体" w:cs="宋体"/>
          <w:b/>
          <w:color w:val="auto"/>
          <w:sz w:val="24"/>
          <w:highlight w:val="none"/>
        </w:rPr>
      </w:pPr>
    </w:p>
    <w:p>
      <w:pPr>
        <w:spacing w:line="360" w:lineRule="auto"/>
        <w:ind w:firstLine="2100" w:firstLineChars="700"/>
        <w:rPr>
          <w:rFonts w:hint="eastAsia" w:ascii="宋体" w:hAnsi="宋体" w:eastAsia="宋体" w:cs="宋体"/>
          <w:color w:val="auto"/>
          <w:sz w:val="30"/>
          <w:highlight w:val="none"/>
        </w:rPr>
      </w:pPr>
    </w:p>
    <w:p>
      <w:pPr>
        <w:spacing w:line="360" w:lineRule="auto"/>
        <w:ind w:firstLine="2100" w:firstLineChars="700"/>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项目编号：</w:t>
      </w:r>
      <w:r>
        <w:rPr>
          <w:rFonts w:hint="eastAsia" w:ascii="宋体" w:hAnsi="宋体" w:cs="宋体"/>
          <w:color w:val="auto"/>
          <w:sz w:val="30"/>
          <w:highlight w:val="none"/>
          <w:lang w:eastAsia="zh-CN"/>
        </w:rPr>
        <w:t>ZJYC2023050(GK)</w:t>
      </w:r>
    </w:p>
    <w:p>
      <w:pPr>
        <w:spacing w:line="360" w:lineRule="auto"/>
        <w:ind w:firstLine="2100" w:firstLineChars="700"/>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招标项目：</w:t>
      </w:r>
      <w:r>
        <w:rPr>
          <w:rFonts w:hint="eastAsia" w:ascii="宋体" w:hAnsi="宋体" w:cs="宋体"/>
          <w:color w:val="auto"/>
          <w:sz w:val="30"/>
          <w:highlight w:val="none"/>
          <w:lang w:eastAsia="zh-CN"/>
        </w:rPr>
        <w:t>2023年温州理工学院教职工疗休养服务</w:t>
      </w:r>
    </w:p>
    <w:p>
      <w:pPr>
        <w:pStyle w:val="26"/>
        <w:spacing w:before="0" w:beforeAutospacing="0" w:after="0" w:afterAutospacing="0" w:line="360" w:lineRule="auto"/>
        <w:ind w:firstLine="2100" w:firstLineChars="700"/>
        <w:jc w:val="both"/>
        <w:rPr>
          <w:rFonts w:hint="eastAsia" w:ascii="宋体" w:hAnsi="宋体" w:eastAsia="宋体" w:cs="宋体"/>
          <w:color w:val="auto"/>
          <w:sz w:val="22"/>
          <w:highlight w:val="none"/>
        </w:rPr>
      </w:pPr>
      <w:r>
        <w:rPr>
          <w:rFonts w:hint="eastAsia" w:ascii="宋体" w:hAnsi="宋体" w:eastAsia="宋体" w:cs="宋体"/>
          <w:color w:val="auto"/>
          <w:sz w:val="30"/>
          <w:highlight w:val="none"/>
        </w:rPr>
        <w:t>招标方式：公开招标</w:t>
      </w:r>
    </w:p>
    <w:p>
      <w:pPr>
        <w:spacing w:line="360" w:lineRule="auto"/>
        <w:ind w:firstLine="1140" w:firstLineChars="300"/>
        <w:rPr>
          <w:rFonts w:hint="eastAsia" w:ascii="宋体" w:hAnsi="宋体" w:eastAsia="宋体" w:cs="宋体"/>
          <w:color w:val="auto"/>
          <w:spacing w:val="40"/>
          <w:sz w:val="30"/>
          <w:highlight w:val="none"/>
        </w:rPr>
      </w:pPr>
    </w:p>
    <w:p>
      <w:pPr>
        <w:pStyle w:val="25"/>
        <w:rPr>
          <w:rFonts w:hint="eastAsia" w:ascii="宋体" w:hAnsi="宋体" w:eastAsia="宋体" w:cs="宋体"/>
          <w:color w:val="auto"/>
          <w:highlight w:val="none"/>
        </w:rPr>
      </w:pPr>
    </w:p>
    <w:p>
      <w:pPr>
        <w:spacing w:line="360" w:lineRule="auto"/>
        <w:ind w:firstLine="2240" w:firstLineChars="700"/>
        <w:rPr>
          <w:rFonts w:hint="eastAsia" w:ascii="宋体" w:hAnsi="宋体" w:eastAsia="宋体" w:cs="宋体"/>
          <w:color w:val="auto"/>
          <w:spacing w:val="40"/>
          <w:sz w:val="24"/>
          <w:szCs w:val="24"/>
          <w:highlight w:val="none"/>
        </w:rPr>
      </w:pPr>
    </w:p>
    <w:p>
      <w:pPr>
        <w:spacing w:line="360" w:lineRule="auto"/>
        <w:ind w:firstLine="2240" w:firstLineChars="700"/>
        <w:rPr>
          <w:rFonts w:hint="eastAsia" w:ascii="宋体" w:hAnsi="宋体" w:eastAsia="宋体" w:cs="宋体"/>
          <w:color w:val="auto"/>
          <w:spacing w:val="40"/>
          <w:sz w:val="24"/>
          <w:szCs w:val="24"/>
          <w:highlight w:val="none"/>
          <w:lang w:eastAsia="zh-CN"/>
        </w:rPr>
      </w:pPr>
      <w:r>
        <w:rPr>
          <w:rFonts w:hint="eastAsia" w:ascii="宋体" w:hAnsi="宋体" w:eastAsia="宋体" w:cs="宋体"/>
          <w:color w:val="auto"/>
          <w:spacing w:val="40"/>
          <w:sz w:val="24"/>
          <w:szCs w:val="24"/>
          <w:highlight w:val="none"/>
        </w:rPr>
        <w:t>采购人：</w:t>
      </w:r>
      <w:r>
        <w:rPr>
          <w:rFonts w:hint="eastAsia" w:ascii="宋体" w:hAnsi="宋体" w:cs="宋体"/>
          <w:color w:val="auto"/>
          <w:spacing w:val="40"/>
          <w:sz w:val="24"/>
          <w:szCs w:val="24"/>
          <w:highlight w:val="none"/>
          <w:lang w:eastAsia="zh-CN"/>
        </w:rPr>
        <w:t>温州理工学院</w:t>
      </w:r>
    </w:p>
    <w:p>
      <w:pPr>
        <w:spacing w:line="360" w:lineRule="auto"/>
        <w:ind w:firstLine="2240" w:firstLineChars="700"/>
        <w:rPr>
          <w:rFonts w:hint="eastAsia" w:ascii="宋体" w:hAnsi="宋体" w:eastAsia="宋体" w:cs="宋体"/>
          <w:color w:val="auto"/>
          <w:spacing w:val="40"/>
          <w:sz w:val="24"/>
          <w:szCs w:val="24"/>
          <w:highlight w:val="none"/>
        </w:rPr>
      </w:pPr>
      <w:r>
        <w:rPr>
          <w:rFonts w:hint="eastAsia" w:ascii="宋体" w:hAnsi="宋体" w:eastAsia="宋体" w:cs="宋体"/>
          <w:color w:val="auto"/>
          <w:spacing w:val="40"/>
          <w:sz w:val="24"/>
          <w:szCs w:val="24"/>
          <w:highlight w:val="none"/>
        </w:rPr>
        <w:t>采购代理机构：浙江乐诚工程咨询有限公司</w:t>
      </w:r>
    </w:p>
    <w:p>
      <w:pPr>
        <w:pStyle w:val="25"/>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pacing w:val="40"/>
          <w:sz w:val="28"/>
          <w:highlight w:val="none"/>
        </w:rPr>
      </w:pPr>
    </w:p>
    <w:p>
      <w:pPr>
        <w:spacing w:line="360" w:lineRule="auto"/>
        <w:jc w:val="center"/>
        <w:rPr>
          <w:rFonts w:hint="eastAsia" w:ascii="宋体" w:hAnsi="宋体" w:eastAsia="宋体" w:cs="宋体"/>
          <w:color w:val="auto"/>
          <w:spacing w:val="40"/>
          <w:sz w:val="28"/>
          <w:highlight w:val="none"/>
        </w:rPr>
      </w:pPr>
    </w:p>
    <w:p>
      <w:pPr>
        <w:spacing w:line="360" w:lineRule="auto"/>
        <w:jc w:val="center"/>
        <w:rPr>
          <w:rFonts w:hint="eastAsia" w:ascii="宋体" w:hAnsi="宋体" w:eastAsia="宋体" w:cs="宋体"/>
          <w:b/>
          <w:color w:val="auto"/>
          <w:sz w:val="32"/>
          <w:highlight w:val="none"/>
        </w:rPr>
      </w:pPr>
      <w:r>
        <w:rPr>
          <w:rFonts w:hint="eastAsia" w:ascii="宋体" w:hAnsi="宋体" w:eastAsia="宋体" w:cs="宋体"/>
          <w:color w:val="auto"/>
          <w:spacing w:val="40"/>
          <w:sz w:val="28"/>
          <w:highlight w:val="none"/>
        </w:rPr>
        <w:t>二0二</w:t>
      </w:r>
      <w:r>
        <w:rPr>
          <w:rFonts w:hint="eastAsia" w:ascii="宋体" w:hAnsi="宋体" w:eastAsia="宋体" w:cs="宋体"/>
          <w:color w:val="auto"/>
          <w:spacing w:val="40"/>
          <w:sz w:val="28"/>
          <w:highlight w:val="none"/>
          <w:lang w:val="en-US" w:eastAsia="zh-CN"/>
        </w:rPr>
        <w:t>三</w:t>
      </w:r>
      <w:r>
        <w:rPr>
          <w:rFonts w:hint="eastAsia" w:ascii="宋体" w:hAnsi="宋体" w:eastAsia="宋体" w:cs="宋体"/>
          <w:color w:val="auto"/>
          <w:spacing w:val="40"/>
          <w:sz w:val="28"/>
          <w:highlight w:val="none"/>
        </w:rPr>
        <w:t>年</w:t>
      </w:r>
    </w:p>
    <w:p>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sdt>
      <w:sdtPr>
        <w:rPr>
          <w:rFonts w:hint="eastAsia" w:ascii="宋体" w:hAnsi="宋体" w:eastAsia="宋体" w:cs="宋体"/>
          <w:color w:val="auto"/>
          <w:kern w:val="2"/>
          <w:sz w:val="21"/>
          <w:szCs w:val="22"/>
          <w:highlight w:val="none"/>
          <w:lang w:val="en-US" w:eastAsia="zh-CN" w:bidi="ar-SA"/>
        </w:rPr>
        <w:id w:val="147457895"/>
        <w15:color w:val="DBDBDB"/>
        <w:docPartObj>
          <w:docPartGallery w:val="Table of Contents"/>
          <w:docPartUnique/>
        </w:docPartObj>
      </w:sdtPr>
      <w:sdtEndPr>
        <w:rPr>
          <w:rFonts w:hint="eastAsia" w:ascii="宋体" w:hAnsi="宋体" w:eastAsia="宋体" w:cs="宋体"/>
          <w:b/>
          <w:color w:val="auto"/>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目录</w:t>
          </w:r>
        </w:p>
        <w:p>
          <w:pPr>
            <w:pStyle w:val="2"/>
            <w:keepNext w:val="0"/>
            <w:keepLines w:val="0"/>
            <w:pageBreakBefore w:val="0"/>
            <w:tabs>
              <w:tab w:val="right" w:leader="hyphen" w:pos="9746"/>
              <w:tab w:val="clear" w:pos="830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第一部分 投标邀请书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
            <w:keepNext w:val="0"/>
            <w:keepLines w:val="0"/>
            <w:pageBreakBefore w:val="0"/>
            <w:tabs>
              <w:tab w:val="right" w:leader="hyphen" w:pos="9746"/>
              <w:tab w:val="clear" w:pos="830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_Toc32572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val="0"/>
            <w:tabs>
              <w:tab w:val="right" w:leader="hyphen" w:pos="9746"/>
              <w:tab w:val="clear" w:pos="893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val="0"/>
            <w:tabs>
              <w:tab w:val="right" w:leader="hyphen" w:pos="9746"/>
              <w:tab w:val="clear" w:pos="893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_Toc11279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val="0"/>
            <w:tabs>
              <w:tab w:val="right" w:leader="hyphen" w:pos="9746"/>
              <w:tab w:val="clear" w:pos="893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二、招标文件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val="0"/>
            <w:tabs>
              <w:tab w:val="right" w:leader="hyphen" w:pos="9746"/>
              <w:tab w:val="clear" w:pos="893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三、投标文件的编制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_Toc5517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val="0"/>
            <w:tabs>
              <w:tab w:val="right" w:leader="hyphen" w:pos="9746"/>
              <w:tab w:val="clear" w:pos="893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_Toc6649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val="0"/>
            <w:tabs>
              <w:tab w:val="right" w:leader="hyphen" w:pos="9746"/>
              <w:tab w:val="clear" w:pos="893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_Toc4584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_Toc4584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val="0"/>
            <w:tabs>
              <w:tab w:val="right" w:leader="hyphen" w:pos="9746"/>
              <w:tab w:val="clear" w:pos="893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val="0"/>
            <w:tabs>
              <w:tab w:val="right" w:leader="hyphen" w:pos="9746"/>
              <w:tab w:val="clear" w:pos="893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七、可中止电子交易活动的情形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_Toc13312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
            <w:keepNext w:val="0"/>
            <w:keepLines w:val="0"/>
            <w:pageBreakBefore w:val="0"/>
            <w:tabs>
              <w:tab w:val="right" w:leader="hyphen" w:pos="9746"/>
              <w:tab w:val="clear" w:pos="830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第三部分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_Toc14916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
            <w:keepNext w:val="0"/>
            <w:keepLines w:val="0"/>
            <w:pageBreakBefore w:val="0"/>
            <w:tabs>
              <w:tab w:val="right" w:leader="hyphen" w:pos="9746"/>
              <w:tab w:val="clear" w:pos="830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_Toc10595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
            <w:keepNext w:val="0"/>
            <w:keepLines w:val="0"/>
            <w:pageBreakBefore w:val="0"/>
            <w:tabs>
              <w:tab w:val="right" w:leader="hyphen" w:pos="9746"/>
              <w:tab w:val="clear" w:pos="830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
            <w:keepNext w:val="0"/>
            <w:keepLines w:val="0"/>
            <w:pageBreakBefore w:val="0"/>
            <w:tabs>
              <w:tab w:val="right" w:leader="hyphen" w:pos="9746"/>
              <w:tab w:val="clear" w:pos="830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评标原则及方法</w:t>
          </w:r>
          <w:r>
            <w:rPr>
              <w:rFonts w:hint="eastAsia" w:ascii="宋体" w:hAnsi="宋体" w:eastAsia="宋体" w:cs="宋体"/>
              <w:color w:val="auto"/>
              <w:sz w:val="24"/>
              <w:szCs w:val="24"/>
              <w:highlight w:val="none"/>
            </w:rPr>
            <w:tab/>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cs="宋体"/>
              <w:color w:val="auto"/>
              <w:sz w:val="24"/>
              <w:szCs w:val="24"/>
              <w:highlight w:val="none"/>
              <w:lang w:val="en-US" w:eastAsia="zh-CN"/>
            </w:rPr>
            <w:t>2</w:t>
          </w:r>
        </w:p>
        <w:p>
          <w:pPr>
            <w:pStyle w:val="25"/>
            <w:keepNext w:val="0"/>
            <w:keepLines w:val="0"/>
            <w:pageBreakBefore w:val="0"/>
            <w:widowControl w:val="0"/>
            <w:tabs>
              <w:tab w:val="right" w:leader="hyphen" w:pos="9746"/>
              <w:tab w:val="clear" w:pos="893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_Toc19763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总  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2</w:t>
          </w:r>
        </w:p>
        <w:p>
          <w:pPr>
            <w:pStyle w:val="25"/>
            <w:keepNext w:val="0"/>
            <w:keepLines w:val="0"/>
            <w:pageBreakBefore w:val="0"/>
            <w:widowControl w:val="0"/>
            <w:tabs>
              <w:tab w:val="right" w:leader="hyphen" w:pos="9746"/>
              <w:tab w:val="clear" w:pos="893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评标组织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2</w:t>
          </w:r>
        </w:p>
        <w:p>
          <w:pPr>
            <w:pStyle w:val="25"/>
            <w:keepNext w:val="0"/>
            <w:keepLines w:val="0"/>
            <w:pageBreakBefore w:val="0"/>
            <w:widowControl w:val="0"/>
            <w:tabs>
              <w:tab w:val="right" w:leader="hyphen" w:pos="9746"/>
              <w:tab w:val="clear" w:pos="893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2</w:t>
          </w:r>
        </w:p>
        <w:p>
          <w:pPr>
            <w:pStyle w:val="25"/>
            <w:keepNext w:val="0"/>
            <w:keepLines w:val="0"/>
            <w:pageBreakBefore w:val="0"/>
            <w:widowControl w:val="0"/>
            <w:tabs>
              <w:tab w:val="right" w:leader="hyphen" w:pos="9746"/>
              <w:tab w:val="clear" w:pos="893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2</w:t>
          </w:r>
        </w:p>
        <w:p>
          <w:pPr>
            <w:keepNext w:val="0"/>
            <w:keepLines w:val="0"/>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spacing w:line="400" w:lineRule="exact"/>
        <w:rPr>
          <w:rFonts w:hint="eastAsia" w:ascii="宋体" w:hAnsi="宋体" w:eastAsia="宋体" w:cs="宋体"/>
          <w:color w:val="auto"/>
          <w:sz w:val="22"/>
          <w:highlight w:val="none"/>
        </w:rPr>
      </w:pPr>
      <w:r>
        <w:rPr>
          <w:rFonts w:hint="eastAsia" w:ascii="宋体" w:hAnsi="宋体" w:eastAsia="宋体" w:cs="宋体"/>
          <w:b/>
          <w:color w:val="auto"/>
          <w:sz w:val="24"/>
          <w:highlight w:val="none"/>
        </w:rPr>
        <w:t>注：标“▲且加下划线”为投标的实质性要求和条件，必须作出实质性响应，否则投标无效。加粗部分为着重提醒各投标人注意。各投标人必须认真阅读和理解招标文件中的每一个条款及要求，因误读招标文件而造成的后果，采购人和采购代理机构概不负责。</w:t>
      </w:r>
    </w:p>
    <w:p>
      <w:pPr>
        <w:rPr>
          <w:rFonts w:hint="eastAsia" w:ascii="宋体" w:hAnsi="宋体" w:eastAsia="宋体" w:cs="宋体"/>
          <w:b/>
          <w:color w:val="auto"/>
          <w:sz w:val="48"/>
          <w:highlight w:val="none"/>
        </w:rPr>
      </w:pPr>
      <w:r>
        <w:rPr>
          <w:rFonts w:hint="eastAsia" w:ascii="宋体" w:hAnsi="宋体" w:eastAsia="宋体" w:cs="宋体"/>
          <w:b/>
          <w:color w:val="auto"/>
          <w:sz w:val="48"/>
          <w:highlight w:val="none"/>
        </w:rPr>
        <w:br w:type="page"/>
      </w:r>
    </w:p>
    <w:p>
      <w:pPr>
        <w:pStyle w:val="26"/>
        <w:numPr>
          <w:ilvl w:val="0"/>
          <w:numId w:val="2"/>
        </w:numPr>
        <w:spacing w:before="0" w:beforeAutospacing="0" w:after="0" w:afterAutospacing="0" w:line="360" w:lineRule="exact"/>
        <w:jc w:val="center"/>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 xml:space="preserve"> </w:t>
      </w:r>
      <w:bookmarkStart w:id="0" w:name="_Toc23305"/>
      <w:r>
        <w:rPr>
          <w:rFonts w:hint="eastAsia" w:ascii="宋体" w:hAnsi="宋体" w:eastAsia="宋体" w:cs="宋体"/>
          <w:b/>
          <w:color w:val="auto"/>
          <w:sz w:val="32"/>
          <w:highlight w:val="none"/>
        </w:rPr>
        <w:t>投标邀请书</w:t>
      </w:r>
      <w:bookmarkEnd w:id="0"/>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项目概况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2023年温州理工学院教职工疗休养服务招标项目的潜在投标人应在</w:t>
      </w:r>
      <w:r>
        <w:rPr>
          <w:rFonts w:hint="eastAsia" w:ascii="宋体" w:hAnsi="宋体" w:eastAsia="宋体" w:cs="宋体"/>
          <w:i w:val="0"/>
          <w:iCs w:val="0"/>
          <w:caps w:val="0"/>
          <w:color w:val="000000"/>
          <w:spacing w:val="0"/>
          <w:sz w:val="22"/>
          <w:szCs w:val="22"/>
          <w:u w:val="none"/>
        </w:rPr>
        <w:t>政府采购云平台（https://www.zcygov.cn）</w:t>
      </w:r>
      <w:r>
        <w:rPr>
          <w:rFonts w:hint="eastAsia" w:ascii="宋体" w:hAnsi="宋体" w:eastAsia="宋体" w:cs="宋体"/>
          <w:i w:val="0"/>
          <w:iCs w:val="0"/>
          <w:caps w:val="0"/>
          <w:color w:val="000000"/>
          <w:spacing w:val="0"/>
          <w:sz w:val="22"/>
          <w:szCs w:val="22"/>
        </w:rPr>
        <w:t>获取（下载）招标文件，并于 2023年06月20日 09:30（北京时间）前递交（上传）投标文件。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4"/>
          <w:rFonts w:hint="eastAsia" w:ascii="宋体" w:hAnsi="宋体" w:eastAsia="宋体" w:cs="宋体"/>
          <w:i w:val="0"/>
          <w:iCs w:val="0"/>
          <w:caps w:val="0"/>
          <w:color w:val="000000"/>
          <w:spacing w:val="0"/>
          <w:sz w:val="22"/>
          <w:szCs w:val="22"/>
        </w:rPr>
        <w:t>一、项目基本情况</w:t>
      </w:r>
      <w:r>
        <w:rPr>
          <w:rFonts w:hint="eastAsia" w:ascii="宋体" w:hAnsi="宋体" w:eastAsia="宋体" w:cs="宋体"/>
          <w:i w:val="0"/>
          <w:iCs w:val="0"/>
          <w:caps w:val="0"/>
          <w:color w:val="000000"/>
          <w:spacing w:val="0"/>
          <w:sz w:val="22"/>
          <w:szCs w:val="22"/>
        </w:rPr>
        <w:t>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项目编号：ZJYC2023050(GK)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项目名称：2023年温州理工学院教职工疗休养服务</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预算金额（元）：1830000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最高限价（元）：/,/,/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采购需求：</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标项一</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标项名称: 2023年温州理工学院教职工疗休养服务标项1 </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数量: 1  </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预算金额（元）: 610000 </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简要规格描述或项目基本概况介绍、用途：详见招标文件 </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备注：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标项二</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标项名称: 2023年温州理工学院教职工疗休养服务标项2 </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数量: 1  </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预算金额（元）: 610000 </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简要规格描述或项目基本概况介绍、用途：详见招标文件 </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备注：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标项三</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标项名称: 2023年温州理工学院教职工疗休养服务标项3 </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数量: 1  </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预算金额（元）: 610000 </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简要规格描述或项目基本概况介绍、用途：详见招标文件 </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备注：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合同履约期限：标项 1、2、3，详见招标文件</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本项目（否）接受联合体投标。</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Style w:val="34"/>
          <w:rFonts w:hint="eastAsia" w:ascii="宋体" w:hAnsi="宋体" w:eastAsia="宋体" w:cs="宋体"/>
          <w:i w:val="0"/>
          <w:iCs w:val="0"/>
          <w:caps w:val="0"/>
          <w:color w:val="000000"/>
          <w:spacing w:val="0"/>
          <w:sz w:val="22"/>
          <w:szCs w:val="22"/>
        </w:rPr>
        <w:t>二、申请人的资格要求：</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1.满足《中华人民共和国政府采购法》第二十二条规定；未被“信用中国”（www.creditchina.gov.cn)、中国政府采购网（www.ccgp.gov.cn）列入失信被执行人、重大税收违法案件当事人名单、政府采购严重违法失信行为记录名单。</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2.落实政府采购政策需满足的资格要求：标项1、2、3：专门面向中小企业采购项目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3.本项目的特定资格要求：</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【标项1、2、3】</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旅行社业务经营许可证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4"/>
          <w:rFonts w:hint="eastAsia" w:ascii="宋体" w:hAnsi="宋体" w:eastAsia="宋体" w:cs="宋体"/>
          <w:i w:val="0"/>
          <w:iCs w:val="0"/>
          <w:caps w:val="0"/>
          <w:color w:val="000000"/>
          <w:spacing w:val="0"/>
          <w:sz w:val="22"/>
          <w:szCs w:val="22"/>
        </w:rPr>
        <w:t>三、获取招标文件</w:t>
      </w:r>
      <w:r>
        <w:rPr>
          <w:rFonts w:hint="eastAsia" w:ascii="宋体" w:hAnsi="宋体" w:eastAsia="宋体" w:cs="宋体"/>
          <w:i w:val="0"/>
          <w:iCs w:val="0"/>
          <w:caps w:val="0"/>
          <w:color w:val="000000"/>
          <w:spacing w:val="0"/>
          <w:sz w:val="22"/>
          <w:szCs w:val="22"/>
        </w:rPr>
        <w:t>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w:t>
      </w:r>
      <w:r>
        <w:rPr>
          <w:rFonts w:hint="eastAsia" w:ascii="宋体" w:hAnsi="宋体" w:eastAsia="宋体" w:cs="宋体"/>
          <w:i w:val="0"/>
          <w:iCs w:val="0"/>
          <w:caps w:val="0"/>
          <w:color w:val="000000"/>
          <w:spacing w:val="0"/>
          <w:sz w:val="22"/>
          <w:szCs w:val="22"/>
          <w:u w:val="none"/>
        </w:rPr>
        <w:t>时间：/至2023年06月20日 ，每天上午00:00至12:00 ，下午12:00至23:59（北京时间，线上获取法定节假日均可，线下获取文件法定节假日除外）</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地点（网址）：政府采购云平台（https://www.zcygov.cn）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方式：供应商登录政采云平台https://www.zcygov.cn/在线申请获取采购文件（进入“项目采购”应用，在获取采购文件菜单中选择项目，申请获取采购文件）（公告规定的招标文件获取方式为依法获取招标文件的方式，未按照公告规定的方式获取招标文件的，不得对招标文件提起质疑、投诉。）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售价（元）：0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4"/>
          <w:rFonts w:hint="eastAsia" w:ascii="宋体" w:hAnsi="宋体" w:eastAsia="宋体" w:cs="宋体"/>
          <w:i w:val="0"/>
          <w:iCs w:val="0"/>
          <w:caps w:val="0"/>
          <w:color w:val="000000"/>
          <w:spacing w:val="0"/>
          <w:sz w:val="22"/>
          <w:szCs w:val="22"/>
        </w:rPr>
        <w:t>四、提交投标文件截止时间、开标时间和地点</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w:t>
      </w:r>
      <w:r>
        <w:rPr>
          <w:rFonts w:hint="eastAsia" w:ascii="宋体" w:hAnsi="宋体" w:eastAsia="宋体" w:cs="宋体"/>
          <w:i w:val="0"/>
          <w:iCs w:val="0"/>
          <w:caps w:val="0"/>
          <w:color w:val="000000"/>
          <w:spacing w:val="0"/>
          <w:sz w:val="22"/>
          <w:szCs w:val="22"/>
          <w:u w:val="none"/>
        </w:rPr>
        <w:t> 提交投标文件截止时间：2023年06月20日 09:30（北京时间）</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w:t>
      </w:r>
      <w:r>
        <w:rPr>
          <w:rFonts w:hint="eastAsia" w:ascii="宋体" w:hAnsi="宋体" w:eastAsia="宋体" w:cs="宋体"/>
          <w:i w:val="0"/>
          <w:iCs w:val="0"/>
          <w:caps w:val="0"/>
          <w:color w:val="000000"/>
          <w:spacing w:val="0"/>
          <w:sz w:val="22"/>
          <w:szCs w:val="22"/>
          <w:u w:val="none"/>
        </w:rPr>
        <w:t> 投标地点（网址）：政府采购云平台（https://www.zcygov.cn）</w:t>
      </w:r>
      <w:r>
        <w:rPr>
          <w:rFonts w:hint="eastAsia" w:ascii="宋体" w:hAnsi="宋体" w:eastAsia="宋体" w:cs="宋体"/>
          <w:i w:val="0"/>
          <w:iCs w:val="0"/>
          <w:caps w:val="0"/>
          <w:color w:val="000000"/>
          <w:spacing w:val="0"/>
          <w:sz w:val="22"/>
          <w:szCs w:val="22"/>
        </w:rPr>
        <w:t>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u w:val="none"/>
        </w:rPr>
        <w:t>    开标时间：2023年06月20日 09:30</w:t>
      </w:r>
      <w:r>
        <w:rPr>
          <w:rFonts w:hint="eastAsia" w:ascii="宋体" w:hAnsi="宋体" w:eastAsia="宋体" w:cs="宋体"/>
          <w:i w:val="0"/>
          <w:iCs w:val="0"/>
          <w:caps w:val="0"/>
          <w:color w:val="000000"/>
          <w:spacing w:val="0"/>
          <w:sz w:val="22"/>
          <w:szCs w:val="22"/>
        </w:rPr>
        <w:t>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u w:val="none"/>
        </w:rPr>
        <w:t>    开标地点（网址）：浙江乐诚工程咨询有限公司评审室(温州市瓯海区三垟街道桥头河大桥温州生命健康小镇B03)（网址：政府采购云平台（https://www.zcygov.cn）</w:t>
      </w:r>
      <w:r>
        <w:rPr>
          <w:rFonts w:hint="eastAsia" w:ascii="宋体" w:hAnsi="宋体" w:eastAsia="宋体" w:cs="宋体"/>
          <w:i w:val="0"/>
          <w:iCs w:val="0"/>
          <w:caps w:val="0"/>
          <w:color w:val="000000"/>
          <w:spacing w:val="0"/>
          <w:sz w:val="22"/>
          <w:szCs w:val="22"/>
        </w:rPr>
        <w:t>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4"/>
          <w:rFonts w:hint="eastAsia" w:ascii="宋体" w:hAnsi="宋体" w:eastAsia="宋体" w:cs="宋体"/>
          <w:i w:val="0"/>
          <w:iCs w:val="0"/>
          <w:caps w:val="0"/>
          <w:color w:val="000000"/>
          <w:spacing w:val="0"/>
          <w:sz w:val="22"/>
          <w:szCs w:val="22"/>
        </w:rPr>
        <w:t>五、公告期限</w:t>
      </w:r>
      <w:r>
        <w:rPr>
          <w:rFonts w:hint="eastAsia" w:ascii="宋体" w:hAnsi="宋体" w:eastAsia="宋体" w:cs="宋体"/>
          <w:i w:val="0"/>
          <w:iCs w:val="0"/>
          <w:caps w:val="0"/>
          <w:color w:val="000000"/>
          <w:spacing w:val="0"/>
          <w:sz w:val="22"/>
          <w:szCs w:val="22"/>
        </w:rPr>
        <w:t>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自本公告发布之日起5个工作日。</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4"/>
          <w:rFonts w:hint="eastAsia" w:ascii="宋体" w:hAnsi="宋体" w:eastAsia="宋体" w:cs="宋体"/>
          <w:i w:val="0"/>
          <w:iCs w:val="0"/>
          <w:caps w:val="0"/>
          <w:color w:val="000000"/>
          <w:spacing w:val="0"/>
          <w:sz w:val="22"/>
          <w:szCs w:val="22"/>
        </w:rPr>
        <w:t>六、其他补充事宜</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3.其他事项：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4"/>
          <w:rFonts w:hint="eastAsia" w:ascii="宋体" w:hAnsi="宋体" w:eastAsia="宋体" w:cs="宋体"/>
          <w:i w:val="0"/>
          <w:iCs w:val="0"/>
          <w:caps w:val="0"/>
          <w:color w:val="000000"/>
          <w:spacing w:val="0"/>
          <w:sz w:val="22"/>
          <w:szCs w:val="22"/>
        </w:rPr>
        <w:t>七、对本次采购提出询问、质疑、投诉，请按以下方式联系</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1.采购人信息</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名    称：温州理工学院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地    址：温州经济技术开发区金海三道337号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传    真：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项目联系人（询问）：李老师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项目联系方式（询问）：0577-86680752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质疑联系人：李老师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质疑联系方式：0577-86680752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2.采购代理机构信息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名    称：浙江乐诚工程咨询有限公司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地    址：温州市瓯海区三垟街道桥头河大桥温州生命健康小镇B03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传    真：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项目联系人（询问）：徐丽密/陈素芳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项目联系方式（询问）：0577-86077722、15372888553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质疑联系人：王纪凤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质疑联系方式：15805779720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3.</w:t>
      </w:r>
      <w:r>
        <w:rPr>
          <w:rStyle w:val="39"/>
          <w:rFonts w:hint="eastAsia" w:ascii="宋体" w:hAnsi="宋体" w:eastAsia="宋体" w:cs="宋体"/>
          <w:i w:val="0"/>
          <w:iCs w:val="0"/>
          <w:caps w:val="0"/>
          <w:color w:val="000000"/>
          <w:spacing w:val="0"/>
          <w:sz w:val="22"/>
          <w:szCs w:val="22"/>
        </w:rPr>
        <w:t>同级政府采购监督管理部门</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名    称：温州市财政局政府采购监管处</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地    址：温州市鹿城区绣山路299号</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传    真：</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联 系 人：项先生、蔡女士</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监督投诉电话：0577-88532725、88521948</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lang w:val="en-US" w:eastAsia="zh-CN" w:bidi="ar"/>
        </w:rPr>
        <w:t>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lang w:val="en-US" w:eastAsia="zh-CN" w:bidi="ar"/>
        </w:rPr>
        <w:t>若对项目采购电子交易系统操作有疑问，可登录政采云（https://www.zcygov.cn/），点击右侧咨询小采，获取采小蜜智能服务管家帮助，或拨打政采云服务热线95763获取热线服务帮助。       </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lang w:val="en-US" w:eastAsia="zh-CN" w:bidi="ar"/>
        </w:rPr>
        <w:t>CA问题联系电话（人工）：汇信CA 400-888-4636；天谷CA 400-087-8198。</w:t>
      </w:r>
    </w:p>
    <w:p>
      <w:pPr>
        <w:pStyle w:val="26"/>
        <w:keepNext w:val="0"/>
        <w:keepLines w:val="0"/>
        <w:widowControl/>
        <w:suppressLineNumbers w:val="0"/>
        <w:spacing w:before="75" w:beforeAutospacing="0" w:after="75" w:afterAutospacing="0"/>
        <w:ind w:left="0" w:right="0"/>
        <w:rPr>
          <w:rFonts w:hint="eastAsia" w:ascii="宋体" w:hAnsi="宋体" w:eastAsia="宋体" w:cs="宋体"/>
          <w:color w:val="auto"/>
          <w:highlight w:val="none"/>
        </w:rPr>
      </w:pPr>
    </w:p>
    <w:p>
      <w:pPr>
        <w:spacing w:line="400" w:lineRule="exact"/>
        <w:ind w:firstLine="416" w:firstLineChars="200"/>
        <w:jc w:val="right"/>
        <w:outlineLvl w:val="9"/>
        <w:rPr>
          <w:rFonts w:hint="eastAsia" w:ascii="宋体" w:hAnsi="宋体" w:eastAsia="宋体" w:cs="宋体"/>
          <w:color w:val="auto"/>
          <w:spacing w:val="-6"/>
          <w:sz w:val="22"/>
          <w:highlight w:val="none"/>
          <w:lang w:val="zh-CN"/>
        </w:rPr>
      </w:pPr>
      <w:r>
        <w:rPr>
          <w:rFonts w:hint="eastAsia" w:ascii="宋体" w:hAnsi="宋体" w:cs="宋体"/>
          <w:color w:val="auto"/>
          <w:spacing w:val="-6"/>
          <w:sz w:val="22"/>
          <w:highlight w:val="none"/>
          <w:lang w:val="zh-CN"/>
        </w:rPr>
        <w:t>温州理工学院</w:t>
      </w:r>
    </w:p>
    <w:p>
      <w:pPr>
        <w:spacing w:line="400" w:lineRule="exact"/>
        <w:ind w:firstLine="440" w:firstLineChars="200"/>
        <w:jc w:val="right"/>
        <w:rPr>
          <w:rFonts w:hint="eastAsia" w:ascii="宋体" w:hAnsi="宋体" w:eastAsia="宋体" w:cs="宋体"/>
          <w:color w:val="auto"/>
          <w:spacing w:val="-6"/>
          <w:sz w:val="22"/>
          <w:highlight w:val="none"/>
          <w:lang w:val="zh-CN"/>
        </w:rPr>
      </w:pPr>
      <w:r>
        <w:rPr>
          <w:rFonts w:hint="eastAsia" w:ascii="宋体" w:hAnsi="宋体" w:eastAsia="宋体" w:cs="宋体"/>
          <w:color w:val="auto"/>
          <w:kern w:val="0"/>
          <w:sz w:val="22"/>
          <w:highlight w:val="none"/>
        </w:rPr>
        <w:t>浙江乐</w:t>
      </w:r>
      <w:r>
        <w:rPr>
          <w:rFonts w:hint="eastAsia" w:ascii="宋体" w:hAnsi="宋体" w:eastAsia="宋体" w:cs="宋体"/>
          <w:color w:val="auto"/>
          <w:spacing w:val="-6"/>
          <w:sz w:val="22"/>
          <w:highlight w:val="none"/>
          <w:lang w:val="zh-CN"/>
        </w:rPr>
        <w:t>诚工程咨询有限公司</w:t>
      </w:r>
    </w:p>
    <w:p>
      <w:pPr>
        <w:spacing w:line="400" w:lineRule="exact"/>
        <w:ind w:firstLine="416" w:firstLineChars="200"/>
        <w:jc w:val="right"/>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lang w:val="zh-CN" w:eastAsia="zh-CN"/>
        </w:rPr>
        <w:t>2023年</w:t>
      </w:r>
      <w:r>
        <w:rPr>
          <w:rFonts w:hint="eastAsia" w:ascii="宋体" w:hAnsi="宋体" w:cs="宋体"/>
          <w:color w:val="auto"/>
          <w:spacing w:val="-6"/>
          <w:sz w:val="22"/>
          <w:highlight w:val="none"/>
          <w:lang w:val="en-US" w:eastAsia="zh-CN"/>
        </w:rPr>
        <w:t>05</w:t>
      </w:r>
      <w:r>
        <w:rPr>
          <w:rFonts w:hint="eastAsia" w:ascii="宋体" w:hAnsi="宋体" w:eastAsia="宋体" w:cs="宋体"/>
          <w:color w:val="auto"/>
          <w:spacing w:val="-6"/>
          <w:sz w:val="22"/>
          <w:highlight w:val="none"/>
          <w:lang w:val="zh-CN" w:eastAsia="zh-CN"/>
        </w:rPr>
        <w:t>月</w:t>
      </w:r>
      <w:r>
        <w:rPr>
          <w:rFonts w:hint="eastAsia" w:ascii="宋体" w:hAnsi="宋体" w:cs="宋体"/>
          <w:color w:val="auto"/>
          <w:spacing w:val="-6"/>
          <w:sz w:val="22"/>
          <w:highlight w:val="none"/>
          <w:lang w:val="en-US" w:eastAsia="zh-CN"/>
        </w:rPr>
        <w:t>30</w:t>
      </w:r>
      <w:r>
        <w:rPr>
          <w:rFonts w:hint="eastAsia" w:ascii="宋体" w:hAnsi="宋体" w:eastAsia="宋体" w:cs="宋体"/>
          <w:color w:val="auto"/>
          <w:spacing w:val="-6"/>
          <w:sz w:val="22"/>
          <w:highlight w:val="none"/>
          <w:lang w:val="zh-CN" w:eastAsia="zh-CN"/>
        </w:rPr>
        <w:t xml:space="preserve">日 </w:t>
      </w:r>
    </w:p>
    <w:p>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pPr>
        <w:spacing w:line="400" w:lineRule="exact"/>
        <w:jc w:val="center"/>
        <w:outlineLvl w:val="0"/>
        <w:rPr>
          <w:rFonts w:hint="eastAsia" w:ascii="宋体" w:hAnsi="宋体" w:eastAsia="宋体" w:cs="宋体"/>
          <w:b/>
          <w:color w:val="auto"/>
          <w:sz w:val="32"/>
          <w:highlight w:val="none"/>
        </w:rPr>
      </w:pPr>
      <w:bookmarkStart w:id="1" w:name="_Toc32572"/>
      <w:r>
        <w:rPr>
          <w:rFonts w:hint="eastAsia" w:ascii="宋体" w:hAnsi="宋体" w:eastAsia="宋体" w:cs="宋体"/>
          <w:b/>
          <w:color w:val="auto"/>
          <w:sz w:val="32"/>
          <w:highlight w:val="none"/>
        </w:rPr>
        <w:t>第二部分</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投标人须知</w:t>
      </w:r>
      <w:bookmarkEnd w:id="1"/>
    </w:p>
    <w:p>
      <w:pPr>
        <w:spacing w:line="360" w:lineRule="exact"/>
        <w:jc w:val="center"/>
        <w:outlineLvl w:val="1"/>
        <w:rPr>
          <w:rFonts w:hint="eastAsia" w:ascii="宋体" w:hAnsi="宋体" w:eastAsia="宋体" w:cs="宋体"/>
          <w:b/>
          <w:bCs/>
          <w:color w:val="auto"/>
          <w:sz w:val="28"/>
          <w:szCs w:val="28"/>
          <w:highlight w:val="none"/>
        </w:rPr>
      </w:pPr>
      <w:bookmarkStart w:id="2" w:name="_Toc12429"/>
      <w:r>
        <w:rPr>
          <w:rFonts w:hint="eastAsia" w:ascii="宋体" w:hAnsi="宋体" w:eastAsia="宋体" w:cs="宋体"/>
          <w:b/>
          <w:bCs/>
          <w:color w:val="auto"/>
          <w:sz w:val="28"/>
          <w:szCs w:val="28"/>
          <w:highlight w:val="none"/>
        </w:rPr>
        <w:t>投标人须知前附表</w:t>
      </w:r>
      <w:bookmarkEnd w:id="2"/>
    </w:p>
    <w:tbl>
      <w:tblPr>
        <w:tblStyle w:val="31"/>
        <w:tblW w:w="9633" w:type="dxa"/>
        <w:jc w:val="center"/>
        <w:tblLayout w:type="fixed"/>
        <w:tblCellMar>
          <w:top w:w="0" w:type="dxa"/>
          <w:left w:w="108" w:type="dxa"/>
          <w:bottom w:w="0" w:type="dxa"/>
          <w:right w:w="108" w:type="dxa"/>
        </w:tblCellMar>
      </w:tblPr>
      <w:tblGrid>
        <w:gridCol w:w="766"/>
        <w:gridCol w:w="1678"/>
        <w:gridCol w:w="7189"/>
      </w:tblGrid>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条款名称</w:t>
            </w:r>
          </w:p>
        </w:tc>
        <w:tc>
          <w:tcPr>
            <w:tcW w:w="71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编列内容</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项目名称</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cs="宋体"/>
                <w:color w:val="auto"/>
                <w:kern w:val="0"/>
                <w:sz w:val="22"/>
                <w:szCs w:val="22"/>
                <w:highlight w:val="none"/>
                <w:lang w:val="zh-CN"/>
              </w:rPr>
              <w:t>2023年温州理工学院教职工疗休养服务</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预算金额</w:t>
            </w:r>
            <w:r>
              <w:rPr>
                <w:rFonts w:hint="eastAsia" w:ascii="宋体" w:hAnsi="宋体" w:eastAsia="宋体" w:cs="宋体"/>
                <w:color w:val="auto"/>
                <w:kern w:val="0"/>
                <w:sz w:val="22"/>
                <w:szCs w:val="22"/>
                <w:highlight w:val="none"/>
              </w:rPr>
              <w:t>及资金来源</w:t>
            </w:r>
          </w:p>
        </w:tc>
        <w:tc>
          <w:tcPr>
            <w:tcW w:w="71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bCs/>
                <w:color w:val="auto"/>
                <w:sz w:val="22"/>
                <w:szCs w:val="22"/>
                <w:highlight w:val="none"/>
                <w:u w:val="single"/>
                <w:lang w:val="en-US" w:eastAsia="zh-CN"/>
              </w:rPr>
            </w:pPr>
            <w:r>
              <w:rPr>
                <w:rFonts w:hint="eastAsia" w:ascii="宋体" w:hAnsi="宋体" w:eastAsia="宋体" w:cs="宋体"/>
                <w:bCs/>
                <w:color w:val="auto"/>
                <w:sz w:val="22"/>
                <w:szCs w:val="22"/>
                <w:highlight w:val="none"/>
                <w:u w:val="single"/>
              </w:rPr>
              <w:t>▲</w:t>
            </w:r>
            <w:r>
              <w:rPr>
                <w:rFonts w:hint="eastAsia" w:ascii="宋体" w:hAnsi="宋体" w:eastAsia="宋体" w:cs="宋体"/>
                <w:snapToGrid w:val="0"/>
                <w:color w:val="auto"/>
                <w:sz w:val="22"/>
                <w:szCs w:val="22"/>
                <w:highlight w:val="none"/>
                <w:u w:val="single"/>
              </w:rPr>
              <w:t>项目总预算金额</w:t>
            </w:r>
            <w:r>
              <w:rPr>
                <w:rFonts w:hint="eastAsia" w:ascii="宋体" w:hAnsi="宋体" w:cs="宋体"/>
                <w:snapToGrid w:val="0"/>
                <w:color w:val="auto"/>
                <w:sz w:val="22"/>
                <w:szCs w:val="22"/>
                <w:highlight w:val="none"/>
                <w:u w:val="single"/>
                <w:lang w:val="en-US" w:eastAsia="zh-CN"/>
              </w:rPr>
              <w:t>1830000</w:t>
            </w:r>
            <w:r>
              <w:rPr>
                <w:rFonts w:hint="eastAsia" w:ascii="宋体" w:hAnsi="宋体" w:eastAsia="宋体" w:cs="宋体"/>
                <w:snapToGrid w:val="0"/>
                <w:color w:val="auto"/>
                <w:sz w:val="22"/>
                <w:szCs w:val="22"/>
                <w:highlight w:val="none"/>
                <w:u w:val="single"/>
              </w:rPr>
              <w:t>元，其中标项一</w:t>
            </w:r>
            <w:r>
              <w:rPr>
                <w:rFonts w:hint="eastAsia" w:ascii="宋体" w:hAnsi="宋体" w:cs="宋体"/>
                <w:snapToGrid w:val="0"/>
                <w:color w:val="auto"/>
                <w:sz w:val="22"/>
                <w:szCs w:val="22"/>
                <w:highlight w:val="none"/>
                <w:u w:val="single"/>
                <w:lang w:val="en-US" w:eastAsia="zh-CN"/>
              </w:rPr>
              <w:t>610000</w:t>
            </w:r>
            <w:r>
              <w:rPr>
                <w:rFonts w:hint="eastAsia" w:ascii="宋体" w:hAnsi="宋体" w:eastAsia="宋体" w:cs="宋体"/>
                <w:snapToGrid w:val="0"/>
                <w:color w:val="auto"/>
                <w:sz w:val="22"/>
                <w:szCs w:val="22"/>
                <w:highlight w:val="none"/>
                <w:u w:val="single"/>
              </w:rPr>
              <w:t>元，标项二</w:t>
            </w:r>
            <w:r>
              <w:rPr>
                <w:rFonts w:hint="eastAsia" w:ascii="宋体" w:hAnsi="宋体" w:cs="宋体"/>
                <w:snapToGrid w:val="0"/>
                <w:color w:val="auto"/>
                <w:sz w:val="22"/>
                <w:szCs w:val="22"/>
                <w:highlight w:val="none"/>
                <w:u w:val="single"/>
                <w:lang w:val="en-US" w:eastAsia="zh-CN"/>
              </w:rPr>
              <w:t>610000</w:t>
            </w:r>
            <w:r>
              <w:rPr>
                <w:rFonts w:hint="eastAsia" w:ascii="宋体" w:hAnsi="宋体" w:eastAsia="宋体" w:cs="宋体"/>
                <w:snapToGrid w:val="0"/>
                <w:color w:val="auto"/>
                <w:sz w:val="22"/>
                <w:szCs w:val="22"/>
                <w:highlight w:val="none"/>
                <w:u w:val="single"/>
              </w:rPr>
              <w:t>元</w:t>
            </w:r>
            <w:r>
              <w:rPr>
                <w:rFonts w:hint="eastAsia" w:ascii="宋体" w:hAnsi="宋体" w:cs="宋体"/>
                <w:snapToGrid w:val="0"/>
                <w:color w:val="auto"/>
                <w:sz w:val="22"/>
                <w:szCs w:val="22"/>
                <w:highlight w:val="none"/>
                <w:u w:val="single"/>
                <w:lang w:eastAsia="zh-CN"/>
              </w:rPr>
              <w:t>，标项三</w:t>
            </w:r>
            <w:r>
              <w:rPr>
                <w:rFonts w:hint="eastAsia" w:ascii="宋体" w:hAnsi="宋体" w:cs="宋体"/>
                <w:snapToGrid w:val="0"/>
                <w:color w:val="auto"/>
                <w:sz w:val="22"/>
                <w:szCs w:val="22"/>
                <w:highlight w:val="none"/>
                <w:u w:val="single"/>
                <w:lang w:val="en-US" w:eastAsia="zh-CN"/>
              </w:rPr>
              <w:t>610000元</w:t>
            </w:r>
            <w:r>
              <w:rPr>
                <w:rFonts w:hint="eastAsia" w:ascii="宋体" w:hAnsi="宋体" w:eastAsia="宋体" w:cs="宋体"/>
                <w:snapToGrid w:val="0"/>
                <w:color w:val="auto"/>
                <w:sz w:val="22"/>
                <w:szCs w:val="22"/>
                <w:highlight w:val="none"/>
                <w:u w:val="single"/>
              </w:rPr>
              <w:t>。</w:t>
            </w:r>
            <w:r>
              <w:rPr>
                <w:rFonts w:hint="eastAsia" w:ascii="宋体" w:hAnsi="宋体" w:eastAsia="宋体" w:cs="宋体"/>
                <w:b/>
                <w:bCs/>
                <w:color w:val="auto"/>
                <w:sz w:val="22"/>
                <w:szCs w:val="22"/>
                <w:highlight w:val="none"/>
                <w:u w:val="single"/>
              </w:rPr>
              <w:t>本项目所有标项均为固定报价，不按固定价格报价的按投标无效处理（</w:t>
            </w:r>
            <w:r>
              <w:rPr>
                <w:rFonts w:hint="eastAsia" w:ascii="宋体" w:hAnsi="宋体" w:cs="宋体"/>
                <w:sz w:val="22"/>
                <w:highlight w:val="none"/>
                <w:u w:val="single"/>
              </w:rPr>
              <w:t>温州市域、浙江省内疗休养合作城市、周边省市疗休养方案需按固定价格3000元/人为标准策划；对口援建城市疗休养方案按固定价格（重庆5300元/人，新疆9300元/人，四川5900元/人，青海6400元/人，湖北4700元/人）</w:t>
            </w:r>
            <w:r>
              <w:rPr>
                <w:rFonts w:hint="eastAsia" w:ascii="宋体" w:hAnsi="宋体" w:eastAsia="宋体" w:cs="宋体"/>
                <w:color w:val="auto"/>
                <w:sz w:val="22"/>
                <w:highlight w:val="none"/>
                <w:u w:val="single"/>
              </w:rPr>
              <w:t>。</w:t>
            </w:r>
            <w:r>
              <w:rPr>
                <w:rFonts w:hint="eastAsia" w:ascii="宋体" w:hAnsi="宋体" w:eastAsia="宋体" w:cs="宋体"/>
                <w:bCs/>
                <w:color w:val="auto"/>
                <w:sz w:val="22"/>
                <w:szCs w:val="22"/>
                <w:highlight w:val="none"/>
                <w:u w:val="single"/>
              </w:rPr>
              <w:t>采购人为其</w:t>
            </w:r>
            <w:r>
              <w:rPr>
                <w:rFonts w:hint="eastAsia" w:ascii="宋体" w:hAnsi="宋体" w:cs="宋体"/>
                <w:bCs/>
                <w:color w:val="auto"/>
                <w:sz w:val="22"/>
                <w:szCs w:val="22"/>
                <w:highlight w:val="none"/>
                <w:u w:val="single"/>
                <w:lang w:eastAsia="zh-CN"/>
              </w:rPr>
              <w:t>教职工</w:t>
            </w:r>
            <w:r>
              <w:rPr>
                <w:rFonts w:hint="eastAsia" w:ascii="宋体" w:hAnsi="宋体" w:eastAsia="宋体" w:cs="宋体"/>
                <w:bCs/>
                <w:color w:val="auto"/>
                <w:sz w:val="22"/>
                <w:szCs w:val="22"/>
                <w:highlight w:val="none"/>
                <w:u w:val="single"/>
              </w:rPr>
              <w:t>支付的所有路线费用不超过3000元/人，超支部分由</w:t>
            </w:r>
            <w:r>
              <w:rPr>
                <w:rFonts w:hint="eastAsia" w:ascii="宋体" w:hAnsi="宋体" w:cs="宋体"/>
                <w:bCs/>
                <w:color w:val="auto"/>
                <w:sz w:val="22"/>
                <w:szCs w:val="22"/>
                <w:highlight w:val="none"/>
                <w:u w:val="single"/>
                <w:lang w:eastAsia="zh-CN"/>
              </w:rPr>
              <w:t>教职工</w:t>
            </w:r>
            <w:r>
              <w:rPr>
                <w:rFonts w:hint="eastAsia" w:ascii="宋体" w:hAnsi="宋体" w:eastAsia="宋体" w:cs="宋体"/>
                <w:bCs/>
                <w:color w:val="auto"/>
                <w:sz w:val="22"/>
                <w:szCs w:val="22"/>
                <w:highlight w:val="none"/>
                <w:u w:val="single"/>
              </w:rPr>
              <w:t>个人补差价（报名时由个人自行交纳）。</w:t>
            </w:r>
            <w:r>
              <w:rPr>
                <w:rFonts w:hint="eastAsia" w:ascii="宋体" w:hAnsi="宋体" w:eastAsia="宋体" w:cs="宋体"/>
                <w:b/>
                <w:bCs/>
                <w:color w:val="auto"/>
                <w:sz w:val="22"/>
                <w:szCs w:val="22"/>
                <w:highlight w:val="none"/>
                <w:u w:val="single"/>
              </w:rPr>
              <w:t>）。</w:t>
            </w:r>
          </w:p>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采购资金来源：财政拨款。</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采购需求</w:t>
            </w:r>
          </w:p>
        </w:tc>
        <w:tc>
          <w:tcPr>
            <w:tcW w:w="71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详见第五部分</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16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投标报价</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1.投标报价是指一次性报出不得更改的价格；</w:t>
            </w:r>
          </w:p>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w:t>
            </w:r>
            <w:r>
              <w:rPr>
                <w:rFonts w:hint="eastAsia" w:ascii="宋体" w:hAnsi="宋体" w:eastAsia="宋体" w:cs="宋体"/>
                <w:b/>
                <w:color w:val="auto"/>
                <w:sz w:val="22"/>
                <w:szCs w:val="22"/>
                <w:highlight w:val="none"/>
              </w:rPr>
              <w:t>采用含税</w:t>
            </w:r>
            <w:r>
              <w:rPr>
                <w:rFonts w:hint="eastAsia" w:ascii="宋体" w:hAnsi="宋体" w:eastAsia="宋体" w:cs="宋体"/>
                <w:b/>
                <w:color w:val="auto"/>
                <w:sz w:val="22"/>
                <w:szCs w:val="22"/>
                <w:highlight w:val="none"/>
                <w:lang w:eastAsia="zh-CN"/>
              </w:rPr>
              <w:t>人民币</w:t>
            </w:r>
            <w:r>
              <w:rPr>
                <w:rFonts w:hint="eastAsia" w:ascii="宋体" w:hAnsi="宋体" w:eastAsia="宋体" w:cs="宋体"/>
                <w:b/>
                <w:color w:val="auto"/>
                <w:sz w:val="22"/>
                <w:szCs w:val="22"/>
                <w:highlight w:val="none"/>
              </w:rPr>
              <w:t>报价。</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16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投标费用</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不论投标结果如何，投标人均应自行承担所有与投标有关的全部费用。</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投标人资质格要求</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详见投标邀请书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w:t>
            </w:r>
          </w:p>
        </w:tc>
        <w:tc>
          <w:tcPr>
            <w:tcW w:w="16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b/>
                <w:bCs/>
                <w:snapToGrid w:val="0"/>
                <w:color w:val="auto"/>
                <w:sz w:val="22"/>
                <w:szCs w:val="22"/>
                <w:highlight w:val="none"/>
                <w:lang w:val="zh-CN"/>
              </w:rPr>
            </w:pPr>
            <w:r>
              <w:rPr>
                <w:rFonts w:hint="eastAsia" w:ascii="宋体" w:hAnsi="宋体" w:eastAsia="宋体" w:cs="宋体"/>
                <w:b/>
                <w:bCs/>
                <w:snapToGrid w:val="0"/>
                <w:color w:val="auto"/>
                <w:sz w:val="22"/>
                <w:szCs w:val="22"/>
                <w:highlight w:val="none"/>
              </w:rPr>
              <w:t>是否接受联合体投标</w:t>
            </w:r>
          </w:p>
        </w:tc>
        <w:tc>
          <w:tcPr>
            <w:tcW w:w="7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eastAsia" w:ascii="宋体" w:hAnsi="宋体" w:eastAsia="宋体" w:cs="宋体"/>
                <w:b/>
                <w:bCs/>
                <w:color w:val="auto"/>
                <w:sz w:val="22"/>
                <w:szCs w:val="22"/>
                <w:highlight w:val="none"/>
                <w:lang w:val="zh-CN"/>
              </w:rPr>
            </w:pPr>
            <w:r>
              <w:rPr>
                <w:rFonts w:hint="eastAsia" w:ascii="宋体" w:hAnsi="宋体" w:cs="宋体"/>
                <w:b/>
                <w:bCs/>
                <w:color w:val="auto"/>
                <w:sz w:val="22"/>
                <w:szCs w:val="22"/>
                <w:highlight w:val="none"/>
                <w:lang w:eastAsia="zh-CN"/>
              </w:rPr>
              <w:t>不</w:t>
            </w:r>
            <w:r>
              <w:rPr>
                <w:rFonts w:hint="eastAsia" w:ascii="宋体" w:hAnsi="宋体" w:eastAsia="宋体" w:cs="宋体"/>
                <w:b/>
                <w:bCs/>
                <w:color w:val="auto"/>
                <w:sz w:val="22"/>
                <w:szCs w:val="22"/>
                <w:highlight w:val="none"/>
              </w:rPr>
              <w:t>接</w:t>
            </w:r>
            <w:r>
              <w:rPr>
                <w:rFonts w:hint="eastAsia" w:ascii="宋体" w:hAnsi="宋体" w:eastAsia="宋体" w:cs="宋体"/>
                <w:b/>
                <w:bCs/>
                <w:snapToGrid w:val="0"/>
                <w:color w:val="auto"/>
                <w:sz w:val="22"/>
                <w:szCs w:val="22"/>
                <w:highlight w:val="none"/>
              </w:rPr>
              <w:t>受</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踏勘现场</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不</w:t>
            </w:r>
            <w:r>
              <w:rPr>
                <w:rFonts w:hint="eastAsia" w:ascii="宋体" w:hAnsi="宋体" w:eastAsia="宋体" w:cs="宋体"/>
                <w:color w:val="auto"/>
                <w:kern w:val="0"/>
                <w:sz w:val="22"/>
                <w:szCs w:val="22"/>
                <w:highlight w:val="none"/>
              </w:rPr>
              <w:t>组织</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投标预备会</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不召开</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分包和转包</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en-US" w:eastAsia="zh-CN"/>
              </w:rPr>
              <w:t>1.</w:t>
            </w:r>
            <w:r>
              <w:rPr>
                <w:rFonts w:hint="eastAsia" w:ascii="宋体" w:hAnsi="宋体" w:eastAsia="宋体" w:cs="宋体"/>
                <w:b/>
                <w:bCs/>
                <w:color w:val="auto"/>
                <w:kern w:val="0"/>
                <w:sz w:val="22"/>
                <w:szCs w:val="22"/>
                <w:highlight w:val="none"/>
                <w:lang w:val="zh-CN"/>
              </w:rPr>
              <w:t>本项目不允许转包</w:t>
            </w:r>
          </w:p>
          <w:p>
            <w:pPr>
              <w:autoSpaceDE w:val="0"/>
              <w:autoSpaceDN w:val="0"/>
              <w:adjustRightInd w:val="0"/>
              <w:spacing w:line="360" w:lineRule="exac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en-US" w:eastAsia="zh-CN"/>
              </w:rPr>
              <w:t>2.分包</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kern w:val="0"/>
                <w:sz w:val="22"/>
                <w:szCs w:val="22"/>
                <w:highlight w:val="none"/>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p>
          <w:p>
            <w:pPr>
              <w:autoSpaceDE w:val="0"/>
              <w:autoSpaceDN w:val="0"/>
              <w:adjustRightInd w:val="0"/>
              <w:spacing w:line="360" w:lineRule="exac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依据政府采购促进中小企业发展管理办法规定享受扶持政策获得政府采购合同的，小微企业不得将合同分包给大中型企业，中型企业不得将合同分包给大型企业。</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偏离</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投标有效期</w:t>
            </w:r>
          </w:p>
        </w:tc>
        <w:tc>
          <w:tcPr>
            <w:tcW w:w="718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从提交投标文件的截止时间之日起90天。</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w:t>
            </w:r>
          </w:p>
        </w:tc>
        <w:tc>
          <w:tcPr>
            <w:tcW w:w="1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投标文件形式、制作及组成</w:t>
            </w:r>
          </w:p>
        </w:tc>
        <w:tc>
          <w:tcPr>
            <w:tcW w:w="7189" w:type="dxa"/>
            <w:tcBorders>
              <w:top w:val="single" w:color="auto" w:sz="4" w:space="0"/>
              <w:left w:val="single" w:color="auto" w:sz="4" w:space="0"/>
              <w:bottom w:val="single" w:color="auto" w:sz="4" w:space="0"/>
              <w:right w:val="single" w:color="auto" w:sz="4" w:space="0"/>
            </w:tcBorders>
            <w:vAlign w:val="center"/>
          </w:tcPr>
          <w:p>
            <w:pPr>
              <w:pStyle w:val="15"/>
              <w:snapToGrid w:val="0"/>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本项目实行网上电子投标。</w:t>
            </w:r>
          </w:p>
          <w:p>
            <w:pPr>
              <w:pStyle w:val="15"/>
              <w:snapToGrid w:val="0"/>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投标人应准备电子投标文件、以介质存储的数据电文形式的备份投标文件二类：</w:t>
            </w:r>
          </w:p>
          <w:p>
            <w:pPr>
              <w:pStyle w:val="15"/>
              <w:snapToGrid w:val="0"/>
              <w:spacing w:line="360" w:lineRule="exact"/>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（1）电子投标文件：通过政采云电子交易客户端（政采云投标客户端）完成投标文件编制后生成并加密的数据电文形式的投标文件（文件扩展名为.jmbs）1份</w:t>
            </w:r>
            <w:r>
              <w:rPr>
                <w:rFonts w:hint="eastAsia" w:ascii="宋体" w:hAnsi="宋体" w:eastAsia="宋体" w:cs="宋体"/>
                <w:b/>
                <w:bCs/>
                <w:color w:val="auto"/>
                <w:sz w:val="22"/>
                <w:szCs w:val="22"/>
                <w:highlight w:val="none"/>
                <w:lang w:val="zh-CN"/>
              </w:rPr>
              <w:t>。</w:t>
            </w:r>
          </w:p>
          <w:p>
            <w:pPr>
              <w:spacing w:line="360" w:lineRule="exact"/>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（2）以介质存储的数据电文形式的备份投标文件（如有）：</w:t>
            </w:r>
            <w:r>
              <w:rPr>
                <w:rStyle w:val="34"/>
                <w:rFonts w:hint="eastAsia" w:ascii="宋体" w:hAnsi="宋体" w:eastAsia="宋体" w:cs="宋体"/>
                <w:bCs/>
                <w:color w:val="auto"/>
                <w:sz w:val="22"/>
                <w:szCs w:val="22"/>
                <w:highlight w:val="none"/>
              </w:rPr>
              <w:t>与“电子投标文件”同时生成的数据电文形式的备份投标文件(文件扩展名为.bfbs)</w:t>
            </w:r>
            <w:r>
              <w:rPr>
                <w:rFonts w:hint="eastAsia" w:ascii="宋体" w:hAnsi="宋体" w:eastAsia="宋体" w:cs="宋体"/>
                <w:b/>
                <w:bCs/>
                <w:color w:val="auto"/>
                <w:sz w:val="22"/>
                <w:szCs w:val="22"/>
                <w:highlight w:val="none"/>
              </w:rPr>
              <w:t>，投标文件提交截止时间前以</w:t>
            </w:r>
            <w:r>
              <w:rPr>
                <w:rFonts w:hint="eastAsia" w:ascii="宋体" w:hAnsi="宋体" w:eastAsia="宋体" w:cs="宋体"/>
                <w:b/>
                <w:bCs/>
                <w:color w:val="auto"/>
                <w:sz w:val="22"/>
                <w:szCs w:val="22"/>
                <w:highlight w:val="none"/>
                <w:lang w:val="zh-CN"/>
              </w:rPr>
              <w:t>电子邮件方式传送至浙江乐诚工程咨询有限公司电子邮箱</w:t>
            </w:r>
            <w:r>
              <w:rPr>
                <w:rFonts w:hint="eastAsia" w:ascii="宋体" w:hAnsi="宋体" w:cs="宋体"/>
                <w:b/>
                <w:bCs/>
                <w:color w:val="auto"/>
                <w:sz w:val="22"/>
                <w:szCs w:val="22"/>
                <w:highlight w:val="none"/>
                <w:lang w:eastAsia="zh-CN"/>
              </w:rPr>
              <w:t>1005783819</w:t>
            </w:r>
            <w:r>
              <w:rPr>
                <w:rFonts w:hint="eastAsia" w:ascii="宋体" w:hAnsi="宋体" w:eastAsia="宋体" w:cs="宋体"/>
                <w:b/>
                <w:bCs/>
                <w:color w:val="auto"/>
                <w:sz w:val="22"/>
                <w:szCs w:val="22"/>
                <w:highlight w:val="none"/>
              </w:rPr>
              <w:t>@qq.com，</w:t>
            </w:r>
            <w:r>
              <w:rPr>
                <w:rFonts w:hint="eastAsia" w:ascii="宋体" w:hAnsi="宋体" w:eastAsia="宋体" w:cs="宋体"/>
                <w:b/>
                <w:bCs/>
                <w:color w:val="auto"/>
                <w:sz w:val="22"/>
                <w:szCs w:val="22"/>
                <w:highlight w:val="none"/>
                <w:lang w:val="zh-CN"/>
              </w:rPr>
              <w:t>递交</w:t>
            </w:r>
            <w:r>
              <w:rPr>
                <w:rFonts w:hint="eastAsia" w:ascii="宋体" w:hAnsi="宋体" w:eastAsia="宋体" w:cs="宋体"/>
                <w:b/>
                <w:bCs/>
                <w:color w:val="auto"/>
                <w:sz w:val="22"/>
                <w:szCs w:val="22"/>
                <w:highlight w:val="none"/>
              </w:rPr>
              <w:t>1</w:t>
            </w:r>
            <w:r>
              <w:rPr>
                <w:rFonts w:hint="eastAsia" w:ascii="宋体" w:hAnsi="宋体" w:eastAsia="宋体" w:cs="宋体"/>
                <w:b/>
                <w:bCs/>
                <w:color w:val="auto"/>
                <w:sz w:val="22"/>
                <w:szCs w:val="22"/>
                <w:highlight w:val="none"/>
                <w:lang w:val="zh-CN"/>
              </w:rPr>
              <w:t>份</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zh-CN"/>
              </w:rPr>
              <w:t>传送的备份投标文件需打包压缩并加密</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zh-CN"/>
              </w:rPr>
              <w:t>加密密码由投标人自行保管</w:t>
            </w:r>
            <w:r>
              <w:rPr>
                <w:rFonts w:hint="eastAsia" w:ascii="宋体" w:hAnsi="宋体" w:eastAsia="宋体" w:cs="宋体"/>
                <w:b/>
                <w:bCs/>
                <w:color w:val="auto"/>
                <w:sz w:val="22"/>
                <w:szCs w:val="22"/>
                <w:highlight w:val="none"/>
              </w:rPr>
              <w:t>，未加密导致投标信息泄露的风险由投标人自行承担</w:t>
            </w:r>
            <w:r>
              <w:rPr>
                <w:rStyle w:val="34"/>
                <w:rFonts w:hint="eastAsia" w:ascii="宋体" w:hAnsi="宋体" w:eastAsia="宋体" w:cs="宋体"/>
                <w:bCs/>
                <w:color w:val="auto"/>
                <w:sz w:val="22"/>
                <w:szCs w:val="22"/>
                <w:highlight w:val="none"/>
              </w:rPr>
              <w:t>。</w:t>
            </w:r>
          </w:p>
          <w:p>
            <w:pPr>
              <w:pStyle w:val="15"/>
              <w:snapToGrid w:val="0"/>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投标文件由报价文件、资格文件、商务和技术文件三部分组成。</w:t>
            </w:r>
          </w:p>
          <w:p>
            <w:pPr>
              <w:pStyle w:val="15"/>
              <w:snapToGrid w:val="0"/>
              <w:spacing w:line="360" w:lineRule="exact"/>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rPr>
              <w:t>注：中标人在领取中标通知书时按采购人要求提供全套纸质投标文件贰份。</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w:t>
            </w:r>
          </w:p>
        </w:tc>
        <w:tc>
          <w:tcPr>
            <w:tcW w:w="167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 w:val="22"/>
                <w:szCs w:val="22"/>
                <w:highlight w:val="none"/>
              </w:rPr>
              <w:t>电子招投标特殊情况处理方式</w:t>
            </w:r>
          </w:p>
        </w:tc>
        <w:tc>
          <w:tcPr>
            <w:tcW w:w="71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本项目原则上采用政采云电子招投标开标及评审程序，但有下情形之一的，按以下情况处理：</w:t>
            </w:r>
          </w:p>
          <w:p>
            <w:pPr>
              <w:spacing w:line="360" w:lineRule="exact"/>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rPr>
              <w:t>若投标人在规定时间内无法解密或解密失败，采购代理机构将开启所有投标人递交的以介质存储的数据电文形式的备份投标文件，上传至政采云平台项目采购模块，以完成开标，电子投标文件自动失效。</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15</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评审小组的组建</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hint="eastAsia" w:ascii="宋体" w:hAnsi="宋体" w:eastAsia="宋体" w:cs="宋体"/>
                <w:color w:val="auto"/>
                <w:sz w:val="22"/>
                <w:szCs w:val="22"/>
                <w:highlight w:val="none"/>
                <w:lang w:val="zh-CN"/>
              </w:rPr>
            </w:pPr>
            <w:r>
              <w:rPr>
                <w:rFonts w:hint="eastAsia" w:ascii="宋体" w:hAnsi="宋体" w:eastAsia="宋体" w:cs="宋体"/>
                <w:color w:val="auto"/>
                <w:kern w:val="0"/>
                <w:sz w:val="22"/>
                <w:szCs w:val="22"/>
                <w:highlight w:val="none"/>
                <w:lang w:val="zh-CN"/>
              </w:rPr>
              <w:t>评审小组成员由采购人代表和有关技术、经济等方面的专家组成，有关技术、经济等方面的专家成员人数为5人及以上单数，除采购人代表外的专家将按有关规定随机抽取产生。</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16</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评审地点</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z w:val="22"/>
                <w:szCs w:val="22"/>
                <w:highlight w:val="none"/>
                <w:lang w:eastAsia="zh-CN"/>
              </w:rPr>
              <w:t>浙江乐诚工程咨询有限公司评审室(温州市瓯海区三垟街道桥头河大桥温州生命健康小镇B03)</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17</w:t>
            </w:r>
          </w:p>
        </w:tc>
        <w:tc>
          <w:tcPr>
            <w:tcW w:w="16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firstLineChars="0"/>
              <w:jc w:val="center"/>
              <w:rPr>
                <w:rFonts w:hint="eastAsia" w:ascii="宋体" w:hAnsi="宋体" w:eastAsia="宋体" w:cs="宋体"/>
                <w:b/>
                <w:bCs/>
                <w:color w:val="auto"/>
                <w:kern w:val="2"/>
                <w:sz w:val="22"/>
                <w:szCs w:val="22"/>
                <w:highlight w:val="none"/>
                <w:u w:val="none"/>
                <w:lang w:val="en-US" w:eastAsia="zh-CN" w:bidi="ar-SA"/>
              </w:rPr>
            </w:pPr>
            <w:r>
              <w:rPr>
                <w:rFonts w:hint="eastAsia" w:ascii="宋体" w:hAnsi="宋体" w:eastAsia="宋体" w:cs="宋体"/>
                <w:b/>
                <w:bCs/>
                <w:color w:val="auto"/>
                <w:sz w:val="22"/>
                <w:szCs w:val="22"/>
                <w:highlight w:val="none"/>
                <w:u w:val="none"/>
                <w:lang w:val="zh-CN"/>
              </w:rPr>
              <w:t>项目属性</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firstLineChars="0"/>
              <w:jc w:val="left"/>
              <w:rPr>
                <w:rFonts w:hint="eastAsia" w:ascii="宋体" w:hAnsi="宋体" w:eastAsia="宋体" w:cs="宋体"/>
                <w:b/>
                <w:bCs/>
                <w:color w:val="auto"/>
                <w:kern w:val="2"/>
                <w:sz w:val="22"/>
                <w:szCs w:val="22"/>
                <w:highlight w:val="none"/>
                <w:u w:val="none"/>
                <w:lang w:val="zh-CN" w:eastAsia="zh-CN" w:bidi="ar-SA"/>
              </w:rPr>
            </w:pPr>
            <w:sdt>
              <w:sdtPr>
                <w:rPr>
                  <w:rFonts w:hint="eastAsia" w:ascii="宋体" w:hAnsi="宋体" w:eastAsia="宋体" w:cs="宋体"/>
                  <w:b/>
                  <w:bCs/>
                  <w:color w:val="auto"/>
                  <w:sz w:val="22"/>
                  <w:szCs w:val="22"/>
                  <w:highlight w:val="none"/>
                  <w:u w:val="none"/>
                  <w:lang w:val="zh-CN"/>
                </w:rPr>
                <w:id w:val="118727868"/>
              </w:sdtPr>
              <w:sdtEndPr>
                <w:rPr>
                  <w:rFonts w:hint="eastAsia" w:ascii="宋体" w:hAnsi="宋体" w:eastAsia="宋体" w:cs="宋体"/>
                  <w:b/>
                  <w:bCs/>
                  <w:color w:val="auto"/>
                  <w:sz w:val="22"/>
                  <w:szCs w:val="22"/>
                  <w:highlight w:val="none"/>
                  <w:u w:val="none"/>
                  <w:lang w:val="zh-CN"/>
                </w:rPr>
              </w:sdtEndPr>
              <w:sdtContent/>
            </w:sdt>
            <w:r>
              <w:rPr>
                <w:rFonts w:hint="eastAsia" w:ascii="宋体" w:hAnsi="宋体" w:eastAsia="宋体" w:cs="宋体"/>
                <w:b/>
                <w:bCs/>
                <w:color w:val="auto"/>
                <w:sz w:val="22"/>
                <w:szCs w:val="22"/>
                <w:highlight w:val="none"/>
                <w:u w:val="none"/>
                <w:lang w:val="en-US" w:eastAsia="zh-CN"/>
              </w:rPr>
              <w:t>服务</w:t>
            </w:r>
            <w:r>
              <w:rPr>
                <w:rFonts w:hint="eastAsia" w:ascii="宋体" w:hAnsi="宋体" w:eastAsia="宋体" w:cs="宋体"/>
                <w:b/>
                <w:bCs/>
                <w:color w:val="auto"/>
                <w:sz w:val="22"/>
                <w:szCs w:val="22"/>
                <w:highlight w:val="none"/>
                <w:u w:val="none"/>
                <w:lang w:val="zh-CN"/>
              </w:rPr>
              <w:t>类</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18</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中小企业预留份额情况</w:t>
            </w:r>
          </w:p>
        </w:tc>
        <w:tc>
          <w:tcPr>
            <w:tcW w:w="7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exact"/>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sz w:val="22"/>
                <w:szCs w:val="22"/>
                <w:highlight w:val="none"/>
              </w:rPr>
              <w:t>根据《政府采购促进中小企业发展管理办法》财库〔2020〕46号文件的规定，本项目为专门面向中小企业采购项目，本项目不再执行价格评审优惠的扶持政策。</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19</w:t>
            </w:r>
          </w:p>
        </w:tc>
        <w:tc>
          <w:tcPr>
            <w:tcW w:w="16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采购标的及其对应的中小企业划分标准所属行业</w:t>
            </w:r>
          </w:p>
        </w:tc>
        <w:tc>
          <w:tcPr>
            <w:tcW w:w="7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b w:val="0"/>
                <w:bCs w:val="0"/>
                <w:snapToGrid w:val="0"/>
                <w:color w:val="auto"/>
                <w:sz w:val="22"/>
                <w:szCs w:val="22"/>
                <w:highlight w:val="none"/>
                <w:u w:val="none"/>
                <w:lang w:val="en-US" w:eastAsia="zh-CN"/>
              </w:rPr>
              <w:t>采购标的</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2023年温州理工学院教职工疗休养服务</w:t>
            </w:r>
          </w:p>
          <w:p>
            <w:pPr>
              <w:adjustRightInd w:val="0"/>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中小企业划分标准所属行业（具体根据《中小企业划型标准规定》执行）</w:t>
            </w:r>
          </w:p>
          <w:p>
            <w:pPr>
              <w:adjustRightInd w:val="0"/>
              <w:snapToGrid w:val="0"/>
              <w:spacing w:line="360" w:lineRule="exact"/>
              <w:jc w:val="left"/>
              <w:rPr>
                <w:rFonts w:hint="eastAsia" w:ascii="宋体" w:hAnsi="宋体" w:eastAsia="宋体" w:cs="宋体"/>
                <w:b/>
                <w:bCs/>
                <w:snapToGrid w:val="0"/>
                <w:color w:val="auto"/>
                <w:sz w:val="22"/>
                <w:szCs w:val="22"/>
                <w:highlight w:val="none"/>
                <w:lang w:val="en-US" w:eastAsia="zh-CN"/>
              </w:rPr>
            </w:pPr>
            <w:r>
              <w:rPr>
                <w:rFonts w:hint="eastAsia" w:ascii="宋体" w:hAnsi="宋体" w:eastAsia="宋体" w:cs="宋体"/>
                <w:b/>
                <w:bCs/>
                <w:snapToGrid w:val="0"/>
                <w:color w:val="auto"/>
                <w:sz w:val="22"/>
                <w:szCs w:val="22"/>
                <w:highlight w:val="none"/>
              </w:rPr>
              <w:t>所属行业：</w:t>
            </w:r>
            <w:r>
              <w:rPr>
                <w:rFonts w:hint="eastAsia" w:ascii="宋体" w:hAnsi="宋体" w:eastAsia="宋体" w:cs="宋体"/>
                <w:color w:val="auto"/>
                <w:sz w:val="22"/>
                <w:szCs w:val="22"/>
                <w:highlight w:val="none"/>
              </w:rPr>
              <w:t>租赁和商务服务业。</w:t>
            </w:r>
          </w:p>
          <w:p>
            <w:pPr>
              <w:spacing w:after="0" w:line="360" w:lineRule="exact"/>
              <w:jc w:val="left"/>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b/>
                <w:bCs/>
                <w:snapToGrid w:val="0"/>
                <w:color w:val="auto"/>
                <w:sz w:val="22"/>
                <w:szCs w:val="22"/>
                <w:highlight w:val="none"/>
                <w:lang w:eastAsia="zh-CN"/>
              </w:rPr>
              <w:t>划分标准</w:t>
            </w:r>
            <w:r>
              <w:rPr>
                <w:rFonts w:hint="eastAsia" w:ascii="宋体" w:hAnsi="宋体" w:eastAsia="宋体" w:cs="宋体"/>
                <w:b/>
                <w:bCs/>
                <w:snapToGrid w:val="0"/>
                <w:color w:val="auto"/>
                <w:sz w:val="22"/>
                <w:szCs w:val="22"/>
                <w:highlight w:val="none"/>
              </w:rPr>
              <w:t>：</w:t>
            </w:r>
            <w:r>
              <w:rPr>
                <w:rFonts w:hint="eastAsia" w:ascii="宋体" w:hAnsi="宋体" w:eastAsia="宋体" w:cs="宋体"/>
                <w:color w:val="auto"/>
                <w:sz w:val="22"/>
                <w:szCs w:val="22"/>
                <w:highlight w:val="none"/>
              </w:rPr>
              <w:t>从业人员300人以下或营业收入120000万元以下的为中小微型企业。其中，从业人员100人及以上，且营业收入8000万元及以上的为中型企业；从业人员10人及以上，且营业收入100万元及以上的为小型企业；从业人员10人以下或营业收入100万元以下的为微型企业。</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20</w:t>
            </w:r>
          </w:p>
        </w:tc>
        <w:tc>
          <w:tcPr>
            <w:tcW w:w="16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firstLineChars="0"/>
              <w:jc w:val="center"/>
              <w:rPr>
                <w:rFonts w:hint="eastAsia" w:ascii="宋体" w:hAnsi="宋体" w:eastAsia="宋体" w:cs="宋体"/>
                <w:b/>
                <w:bCs/>
                <w:color w:val="auto"/>
                <w:kern w:val="2"/>
                <w:sz w:val="22"/>
                <w:szCs w:val="22"/>
                <w:highlight w:val="none"/>
                <w:u w:val="none"/>
                <w:lang w:val="zh-CN" w:eastAsia="zh-CN" w:bidi="ar-SA"/>
              </w:rPr>
            </w:pPr>
            <w:r>
              <w:rPr>
                <w:rFonts w:hint="eastAsia" w:ascii="宋体" w:hAnsi="宋体" w:eastAsia="宋体" w:cs="宋体"/>
                <w:b/>
                <w:bCs/>
                <w:color w:val="auto"/>
                <w:sz w:val="22"/>
                <w:szCs w:val="22"/>
                <w:highlight w:val="none"/>
                <w:u w:val="none"/>
                <w:lang w:val="zh-CN"/>
              </w:rPr>
              <w:t>是否允许采购进口产品</w:t>
            </w:r>
          </w:p>
        </w:tc>
        <w:tc>
          <w:tcPr>
            <w:tcW w:w="7189"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360" w:lineRule="exact"/>
              <w:jc w:val="left"/>
              <w:rPr>
                <w:rFonts w:hint="eastAsia" w:ascii="宋体" w:hAnsi="宋体" w:eastAsia="宋体" w:cs="宋体"/>
                <w:b w:val="0"/>
                <w:bCs w:val="0"/>
                <w:snapToGrid w:val="0"/>
                <w:color w:val="auto"/>
                <w:sz w:val="22"/>
                <w:szCs w:val="22"/>
                <w:highlight w:val="none"/>
                <w:u w:val="none"/>
              </w:rPr>
            </w:pPr>
            <w:sdt>
              <w:sdtPr>
                <w:rPr>
                  <w:rFonts w:hint="eastAsia" w:ascii="宋体" w:hAnsi="宋体" w:eastAsia="宋体" w:cs="宋体"/>
                  <w:b w:val="0"/>
                  <w:bCs w:val="0"/>
                  <w:snapToGrid w:val="0"/>
                  <w:color w:val="auto"/>
                  <w:sz w:val="22"/>
                  <w:szCs w:val="22"/>
                  <w:highlight w:val="none"/>
                  <w:u w:val="none"/>
                </w:rPr>
                <w:id w:val="-1828425707"/>
                <w14:checkbox>
                  <w14:checked w14:val="1"/>
                  <w14:checkedState w14:val="00FE" w14:font="Wingdings"/>
                  <w14:uncheckedState w14:val="2610" w14:font="MS Gothic"/>
                </w14:checkbox>
              </w:sdtPr>
              <w:sdtEndPr>
                <w:rPr>
                  <w:rFonts w:hint="eastAsia" w:ascii="宋体" w:hAnsi="宋体" w:eastAsia="宋体" w:cs="宋体"/>
                  <w:b w:val="0"/>
                  <w:bCs w:val="0"/>
                  <w:snapToGrid w:val="0"/>
                  <w:color w:val="auto"/>
                  <w:sz w:val="22"/>
                  <w:szCs w:val="22"/>
                  <w:highlight w:val="none"/>
                  <w:u w:val="none"/>
                </w:rPr>
              </w:sdtEndPr>
              <w:sdtContent>
                <w:r>
                  <w:rPr>
                    <w:rFonts w:hint="eastAsia" w:ascii="宋体" w:hAnsi="宋体" w:eastAsia="宋体" w:cs="宋体"/>
                    <w:b w:val="0"/>
                    <w:bCs w:val="0"/>
                    <w:snapToGrid w:val="0"/>
                    <w:color w:val="auto"/>
                    <w:sz w:val="22"/>
                    <w:szCs w:val="22"/>
                    <w:highlight w:val="none"/>
                    <w:u w:val="none"/>
                  </w:rPr>
                  <w:sym w:font="Wingdings" w:char="F0FE"/>
                </w:r>
              </w:sdtContent>
            </w:sdt>
            <w:r>
              <w:rPr>
                <w:rFonts w:hint="eastAsia" w:ascii="宋体" w:hAnsi="宋体" w:eastAsia="宋体" w:cs="宋体"/>
                <w:b w:val="0"/>
                <w:bCs w:val="0"/>
                <w:snapToGrid w:val="0"/>
                <w:color w:val="auto"/>
                <w:sz w:val="22"/>
                <w:szCs w:val="22"/>
                <w:highlight w:val="none"/>
                <w:u w:val="none"/>
              </w:rPr>
              <w:t>本项目不允许采购进口产品。</w:t>
            </w:r>
          </w:p>
          <w:p>
            <w:pPr>
              <w:numPr>
                <w:ilvl w:val="0"/>
                <w:numId w:val="0"/>
              </w:numPr>
              <w:adjustRightInd w:val="0"/>
              <w:snapToGrid w:val="0"/>
              <w:spacing w:line="360" w:lineRule="exact"/>
              <w:ind w:left="0" w:leftChars="0" w:firstLine="0" w:firstLineChars="0"/>
              <w:jc w:val="left"/>
              <w:rPr>
                <w:rFonts w:hint="eastAsia" w:ascii="宋体" w:hAnsi="宋体" w:eastAsia="宋体" w:cs="宋体"/>
                <w:b w:val="0"/>
                <w:bCs w:val="0"/>
                <w:snapToGrid w:val="0"/>
                <w:color w:val="auto"/>
                <w:kern w:val="2"/>
                <w:sz w:val="22"/>
                <w:szCs w:val="22"/>
                <w:highlight w:val="none"/>
                <w:u w:val="none"/>
                <w:lang w:val="en-US" w:eastAsia="zh-CN" w:bidi="ar-SA"/>
              </w:rPr>
            </w:pPr>
            <w:sdt>
              <w:sdtPr>
                <w:rPr>
                  <w:rFonts w:hint="eastAsia" w:ascii="宋体" w:hAnsi="宋体" w:eastAsia="宋体" w:cs="宋体"/>
                  <w:b w:val="0"/>
                  <w:bCs w:val="0"/>
                  <w:snapToGrid w:val="0"/>
                  <w:color w:val="auto"/>
                  <w:sz w:val="22"/>
                  <w:szCs w:val="22"/>
                  <w:highlight w:val="none"/>
                  <w:u w:val="none"/>
                </w:rPr>
                <w:id w:val="-52852824"/>
                <w14:checkbox>
                  <w14:checked w14:val="0"/>
                  <w14:checkedState w14:val="00FE" w14:font="Wingdings"/>
                  <w14:uncheckedState w14:val="2610" w14:font="MS Gothic"/>
                </w14:checkbox>
              </w:sdtPr>
              <w:sdtEndPr>
                <w:rPr>
                  <w:rFonts w:hint="eastAsia" w:ascii="宋体" w:hAnsi="宋体" w:eastAsia="宋体" w:cs="宋体"/>
                  <w:b w:val="0"/>
                  <w:bCs w:val="0"/>
                  <w:snapToGrid w:val="0"/>
                  <w:color w:val="auto"/>
                  <w:sz w:val="22"/>
                  <w:szCs w:val="22"/>
                  <w:highlight w:val="none"/>
                  <w:u w:val="none"/>
                </w:rPr>
              </w:sdtEndPr>
              <w:sdtContent>
                <w:r>
                  <w:rPr>
                    <w:rFonts w:hint="eastAsia" w:ascii="宋体" w:hAnsi="宋体" w:eastAsia="宋体" w:cs="宋体"/>
                    <w:b w:val="0"/>
                    <w:bCs w:val="0"/>
                    <w:snapToGrid w:val="0"/>
                    <w:color w:val="auto"/>
                    <w:sz w:val="22"/>
                    <w:szCs w:val="22"/>
                    <w:highlight w:val="none"/>
                    <w:u w:val="none"/>
                  </w:rPr>
                  <w:t>☐</w:t>
                </w:r>
              </w:sdtContent>
            </w:sdt>
            <w:r>
              <w:rPr>
                <w:rFonts w:hint="eastAsia" w:ascii="宋体" w:hAnsi="宋体" w:eastAsia="宋体" w:cs="宋体"/>
                <w:b w:val="0"/>
                <w:bCs w:val="0"/>
                <w:snapToGrid w:val="0"/>
                <w:color w:val="auto"/>
                <w:sz w:val="22"/>
                <w:szCs w:val="22"/>
                <w:highlight w:val="none"/>
                <w:u w:val="none"/>
              </w:rPr>
              <w:t>可以就</w:t>
            </w:r>
            <w:r>
              <w:rPr>
                <w:rFonts w:hint="eastAsia" w:ascii="宋体" w:hAnsi="宋体" w:eastAsia="宋体" w:cs="宋体"/>
                <w:b w:val="0"/>
                <w:bCs w:val="0"/>
                <w:snapToGrid w:val="0"/>
                <w:color w:val="auto"/>
                <w:sz w:val="22"/>
                <w:szCs w:val="22"/>
                <w:highlight w:val="none"/>
                <w:u w:val="single"/>
              </w:rPr>
              <w:t xml:space="preserve">    </w:t>
            </w:r>
            <w:r>
              <w:rPr>
                <w:rFonts w:hint="eastAsia" w:ascii="宋体" w:hAnsi="宋体" w:eastAsia="宋体" w:cs="宋体"/>
                <w:b w:val="0"/>
                <w:bCs w:val="0"/>
                <w:snapToGrid w:val="0"/>
                <w:color w:val="auto"/>
                <w:sz w:val="22"/>
                <w:szCs w:val="22"/>
                <w:highlight w:val="none"/>
                <w:u w:val="none"/>
              </w:rPr>
              <w:t>采购进口产品。</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21</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评标办法及评分标准</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sz w:val="22"/>
                <w:szCs w:val="22"/>
                <w:highlight w:val="none"/>
              </w:rPr>
              <w:t>综合评分法，详见第六部分  评标原则及方法。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22</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bCs/>
                <w:snapToGrid w:val="0"/>
                <w:color w:val="auto"/>
                <w:kern w:val="2"/>
                <w:sz w:val="22"/>
                <w:szCs w:val="22"/>
                <w:highlight w:val="none"/>
                <w:lang w:val="en-US" w:eastAsia="zh-CN" w:bidi="ar-SA"/>
              </w:rPr>
            </w:pPr>
            <w:r>
              <w:rPr>
                <w:rFonts w:hint="eastAsia" w:ascii="宋体" w:hAnsi="宋体" w:eastAsia="宋体" w:cs="宋体"/>
                <w:color w:val="auto"/>
                <w:sz w:val="22"/>
                <w:szCs w:val="22"/>
                <w:highlight w:val="none"/>
              </w:rPr>
              <w:t>中标公告及中标通知书</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firstLineChars="0"/>
              <w:rPr>
                <w:rFonts w:hint="eastAsia" w:ascii="宋体" w:hAnsi="宋体" w:eastAsia="宋体" w:cs="宋体"/>
                <w:b/>
                <w:bCs/>
                <w:color w:val="auto"/>
                <w:kern w:val="2"/>
                <w:sz w:val="22"/>
                <w:szCs w:val="22"/>
                <w:highlight w:val="none"/>
                <w:lang w:val="zh-CN" w:eastAsia="zh-CN" w:bidi="ar-SA"/>
              </w:rPr>
            </w:pPr>
            <w:r>
              <w:rPr>
                <w:rFonts w:hint="eastAsia" w:ascii="宋体" w:hAnsi="宋体" w:eastAsia="宋体" w:cs="宋体"/>
                <w:color w:val="auto"/>
                <w:sz w:val="22"/>
                <w:szCs w:val="22"/>
                <w:highlight w:val="none"/>
              </w:rPr>
              <w:t>评标结束后中标公告发布于浙江政府采购网，并向中标人发出中标通知书。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23</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合同签订</w:t>
            </w:r>
          </w:p>
        </w:tc>
        <w:tc>
          <w:tcPr>
            <w:tcW w:w="71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中标人须在中标通知书发出之日起30日历天内与采购人签订合同。</w:t>
            </w:r>
          </w:p>
          <w:p>
            <w:pPr>
              <w:spacing w:line="360" w:lineRule="exact"/>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kern w:val="0"/>
                <w:sz w:val="22"/>
                <w:szCs w:val="22"/>
                <w:highlight w:val="none"/>
              </w:rPr>
              <w:t>中标人与采购人签订合同后，2日历天内将合同扫描件电子版发给采购代理机构：邮箱：</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"mailto:1322521566@qq.com。" </w:instrText>
            </w:r>
            <w:r>
              <w:rPr>
                <w:rFonts w:hint="eastAsia" w:ascii="宋体" w:hAnsi="宋体" w:eastAsia="宋体" w:cs="宋体"/>
                <w:color w:val="auto"/>
                <w:sz w:val="22"/>
                <w:szCs w:val="22"/>
                <w:highlight w:val="none"/>
              </w:rPr>
              <w:fldChar w:fldCharType="separate"/>
            </w:r>
            <w:r>
              <w:rPr>
                <w:rFonts w:hint="eastAsia" w:ascii="宋体" w:hAnsi="宋体" w:cs="宋体"/>
                <w:color w:val="auto"/>
                <w:kern w:val="0"/>
                <w:sz w:val="22"/>
                <w:szCs w:val="22"/>
                <w:highlight w:val="none"/>
                <w:lang w:eastAsia="zh-CN"/>
              </w:rPr>
              <w:t>1005783819</w:t>
            </w:r>
            <w:r>
              <w:rPr>
                <w:rFonts w:hint="eastAsia" w:ascii="宋体" w:hAnsi="宋体" w:eastAsia="宋体" w:cs="宋体"/>
                <w:color w:val="auto"/>
                <w:kern w:val="0"/>
                <w:sz w:val="22"/>
                <w:szCs w:val="22"/>
                <w:highlight w:val="none"/>
              </w:rPr>
              <w:t>@qq.com。</w:t>
            </w:r>
            <w:r>
              <w:rPr>
                <w:rFonts w:hint="eastAsia" w:ascii="宋体" w:hAnsi="宋体" w:eastAsia="宋体" w:cs="宋体"/>
                <w:color w:val="auto"/>
                <w:kern w:val="0"/>
                <w:sz w:val="22"/>
                <w:szCs w:val="22"/>
                <w:highlight w:val="none"/>
              </w:rPr>
              <w:fldChar w:fldCharType="end"/>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24</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解释权</w:t>
            </w:r>
          </w:p>
        </w:tc>
        <w:tc>
          <w:tcPr>
            <w:tcW w:w="71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sz w:val="22"/>
                <w:szCs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25</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电子投标注意事项</w:t>
            </w:r>
          </w:p>
        </w:tc>
        <w:tc>
          <w:tcPr>
            <w:tcW w:w="7189" w:type="dxa"/>
            <w:tcBorders>
              <w:top w:val="single" w:color="auto" w:sz="4" w:space="0"/>
              <w:left w:val="single" w:color="auto" w:sz="4" w:space="0"/>
              <w:bottom w:val="single" w:color="auto" w:sz="4" w:space="0"/>
              <w:right w:val="single" w:color="auto" w:sz="4" w:space="0"/>
            </w:tcBorders>
            <w:vAlign w:val="center"/>
          </w:tcPr>
          <w:p>
            <w:pPr>
              <w:pStyle w:val="43"/>
              <w:numPr>
                <w:ilvl w:val="0"/>
                <w:numId w:val="3"/>
              </w:numP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投标人必须先在政府采购云平台进行登记注册，相关事宜请参照（《供应商网上注册操作指南》“浙江政府采购网首页-办事指南-注册-投标人注册申请”），登录政府采购云平台后台依法进行网上自主下载。</w:t>
            </w:r>
          </w:p>
          <w:p>
            <w:pPr>
              <w:pStyle w:val="43"/>
              <w:numPr>
                <w:ilvl w:val="0"/>
                <w:numId w:val="3"/>
              </w:numP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实行电子投标，应按照本项目招标文件和政采云平台的要求编制、加密并递交投标文件。投标人在使用系统进行投标的过程中遇到涉及平台使用的任何问题，可致电政采云平台技术支持热线咨询，联系方式：400-881-7190。</w:t>
            </w:r>
          </w:p>
          <w:p>
            <w:pPr>
              <w:pStyle w:val="43"/>
              <w:numPr>
                <w:ilvl w:val="0"/>
                <w:numId w:val="3"/>
              </w:numP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在开标前完成CA数字证书办理。完成CA数字证书办理预计一周左右，建议各投标人抓紧时间办理。【（目前“政采云”平台仅支持浙江汇信或天谷CA锁，个体工商户投标仅支持浙江汇信CA锁）申领操作流程”】。因未注册入库、未办理CA数字证书等原因造成无法投标或投标失败等后果由投标人自行承担。《CA驱动和申领流程》：zfcg.czt.zj.gov.cn/bidClientTemplate/2019-05-27/12945.html。《CA管理操作指南》：</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"https://service.zcygov.cn/" \l "/knowledges/cm2eqWwBFdiHxlNd_otq/lwV6GXABiyELHE-oVMj3?keyword。" </w:instrText>
            </w:r>
            <w:r>
              <w:rPr>
                <w:rFonts w:hint="eastAsia" w:ascii="宋体" w:hAnsi="宋体" w:eastAsia="宋体" w:cs="宋体"/>
                <w:color w:val="auto"/>
                <w:sz w:val="22"/>
                <w:szCs w:val="22"/>
                <w:highlight w:val="none"/>
              </w:rPr>
              <w:fldChar w:fldCharType="separate"/>
            </w:r>
            <w:r>
              <w:rPr>
                <w:rStyle w:val="36"/>
                <w:rFonts w:hint="eastAsia" w:ascii="宋体" w:hAnsi="宋体" w:eastAsia="宋体" w:cs="宋体"/>
                <w:color w:val="auto"/>
                <w:sz w:val="22"/>
                <w:szCs w:val="22"/>
                <w:highlight w:val="none"/>
              </w:rPr>
              <w:t>https://service.zcygov.cn/#/knowledges/cm2eqWwBFdiHxlNd_otq/lwV6GXABiyELHE-oVMj3?keyword。</w:t>
            </w:r>
            <w:r>
              <w:rPr>
                <w:rStyle w:val="36"/>
                <w:rFonts w:hint="eastAsia" w:ascii="宋体" w:hAnsi="宋体" w:eastAsia="宋体" w:cs="宋体"/>
                <w:color w:val="auto"/>
                <w:sz w:val="22"/>
                <w:szCs w:val="22"/>
                <w:highlight w:val="none"/>
              </w:rPr>
              <w:fldChar w:fldCharType="end"/>
            </w:r>
          </w:p>
          <w:p>
            <w:pPr>
              <w:pStyle w:val="43"/>
              <w:numPr>
                <w:ilvl w:val="0"/>
                <w:numId w:val="3"/>
              </w:numPr>
              <w:spacing w:line="360" w:lineRule="exact"/>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投标人通过政采云平台电子投标工具制作投标文件，电子投标工具请投标人自行前往浙江省政府采购网下载并安装，（电子交易客户端下载地址：zfcg.czt.zj.gov.cn/bidClientTemplate/2019-09-24/12975.html），电子投标操作指南详见：“https://edu.zcygov.cn/luban/e-biding”。</w:t>
            </w:r>
          </w:p>
          <w:p>
            <w:pPr>
              <w:pStyle w:val="43"/>
              <w:numPr>
                <w:ilvl w:val="0"/>
                <w:numId w:val="3"/>
              </w:numPr>
              <w:spacing w:line="360" w:lineRule="exact"/>
              <w:rPr>
                <w:rFonts w:hint="eastAsia" w:ascii="宋体" w:hAnsi="宋体" w:eastAsia="宋体" w:cs="宋体"/>
                <w:b/>
                <w:color w:val="auto"/>
                <w:sz w:val="22"/>
                <w:szCs w:val="22"/>
                <w:highlight w:val="none"/>
                <w:lang w:val="zh-CN" w:eastAsia="zh-CN" w:bidi="ar-SA"/>
              </w:rPr>
            </w:pPr>
            <w:r>
              <w:rPr>
                <w:rFonts w:hint="eastAsia" w:ascii="宋体" w:hAnsi="宋体" w:eastAsia="宋体" w:cs="宋体"/>
                <w:color w:val="auto"/>
                <w:sz w:val="22"/>
                <w:szCs w:val="22"/>
                <w:highlight w:val="none"/>
              </w:rPr>
              <w:t>投标人可通过浙江省</w:t>
            </w:r>
            <w:r>
              <w:rPr>
                <w:rFonts w:hint="eastAsia" w:ascii="宋体" w:hAnsi="宋体" w:eastAsia="宋体" w:cs="宋体"/>
                <w:color w:val="auto"/>
                <w:sz w:val="22"/>
                <w:szCs w:val="22"/>
                <w:highlight w:val="none"/>
                <w:lang w:val="en-US"/>
              </w:rPr>
              <w:t>“</w:t>
            </w:r>
            <w:r>
              <w:rPr>
                <w:rFonts w:hint="eastAsia" w:ascii="宋体" w:hAnsi="宋体" w:eastAsia="宋体" w:cs="宋体"/>
                <w:color w:val="auto"/>
                <w:sz w:val="22"/>
                <w:szCs w:val="22"/>
                <w:highlight w:val="none"/>
              </w:rPr>
              <w:t>电子交易</w:t>
            </w:r>
            <w:r>
              <w:rPr>
                <w:rFonts w:hint="eastAsia" w:ascii="宋体" w:hAnsi="宋体" w:eastAsia="宋体" w:cs="宋体"/>
                <w:color w:val="auto"/>
                <w:sz w:val="22"/>
                <w:szCs w:val="22"/>
                <w:highlight w:val="none"/>
                <w:lang w:val="en-US"/>
              </w:rPr>
              <w:t>/</w:t>
            </w:r>
            <w:r>
              <w:rPr>
                <w:rFonts w:hint="eastAsia" w:ascii="宋体" w:hAnsi="宋体" w:eastAsia="宋体" w:cs="宋体"/>
                <w:color w:val="auto"/>
                <w:sz w:val="22"/>
                <w:szCs w:val="22"/>
                <w:highlight w:val="none"/>
              </w:rPr>
              <w:t>不见面开评标</w:t>
            </w:r>
            <w:r>
              <w:rPr>
                <w:rFonts w:hint="eastAsia" w:ascii="宋体" w:hAnsi="宋体" w:eastAsia="宋体" w:cs="宋体"/>
                <w:color w:val="auto"/>
                <w:sz w:val="22"/>
                <w:szCs w:val="22"/>
                <w:highlight w:val="none"/>
                <w:lang w:val="en-US"/>
              </w:rPr>
              <w:t>”</w:t>
            </w:r>
            <w:r>
              <w:rPr>
                <w:rFonts w:hint="eastAsia" w:ascii="宋体" w:hAnsi="宋体" w:eastAsia="宋体" w:cs="宋体"/>
                <w:color w:val="auto"/>
                <w:sz w:val="22"/>
                <w:szCs w:val="22"/>
                <w:highlight w:val="none"/>
              </w:rPr>
              <w:t>学习专题提前进行专题学习</w:t>
            </w:r>
            <w:r>
              <w:rPr>
                <w:rFonts w:hint="eastAsia" w:ascii="宋体" w:hAnsi="宋体" w:eastAsia="宋体" w:cs="宋体"/>
                <w:color w:val="auto"/>
                <w:sz w:val="22"/>
                <w:szCs w:val="22"/>
                <w:highlight w:val="none"/>
                <w:lang w:val="en-US"/>
              </w:rPr>
              <w:t>，</w:t>
            </w:r>
            <w:r>
              <w:rPr>
                <w:rFonts w:hint="eastAsia" w:ascii="宋体" w:hAnsi="宋体" w:eastAsia="宋体" w:cs="宋体"/>
                <w:color w:val="auto"/>
                <w:sz w:val="22"/>
                <w:szCs w:val="22"/>
                <w:highlight w:val="none"/>
              </w:rPr>
              <w:t>熟悉操作</w:t>
            </w:r>
            <w:r>
              <w:rPr>
                <w:rFonts w:hint="eastAsia" w:ascii="宋体" w:hAnsi="宋体" w:eastAsia="宋体" w:cs="宋体"/>
                <w:color w:val="auto"/>
                <w:sz w:val="22"/>
                <w:szCs w:val="22"/>
                <w:highlight w:val="none"/>
                <w:lang w:val="en-US"/>
              </w:rPr>
              <w:t>，</w:t>
            </w:r>
            <w:r>
              <w:rPr>
                <w:rFonts w:hint="eastAsia" w:ascii="宋体" w:hAnsi="宋体" w:eastAsia="宋体" w:cs="宋体"/>
                <w:color w:val="auto"/>
                <w:sz w:val="22"/>
                <w:szCs w:val="22"/>
                <w:highlight w:val="none"/>
              </w:rPr>
              <w:t>避免影响采购活动</w:t>
            </w:r>
            <w:r>
              <w:rPr>
                <w:rFonts w:hint="eastAsia" w:ascii="宋体" w:hAnsi="宋体" w:eastAsia="宋体" w:cs="宋体"/>
                <w:color w:val="auto"/>
                <w:sz w:val="22"/>
                <w:szCs w:val="22"/>
                <w:highlight w:val="none"/>
                <w:lang w:val="en-US"/>
              </w:rPr>
              <w:t>（https://edu.zcygov.cn/luban/e-biding）</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rPr>
              <w:t> </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26</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其它</w:t>
            </w:r>
          </w:p>
        </w:tc>
        <w:tc>
          <w:tcPr>
            <w:tcW w:w="71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1.公开招标公告属于本招标文件的一部分</w:t>
            </w:r>
          </w:p>
          <w:p>
            <w:p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2.请务必确保投标文件制作客户端为最新版本，旧版本可能导致投标文件解密失败。</w:t>
            </w:r>
          </w:p>
          <w:p>
            <w:p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3.请务必确保投标文件制作时所用的 CA 锁与投标文件解密时的 CA 锁为同一把，否则可能导致投标文件解密失败。</w:t>
            </w:r>
          </w:p>
          <w:p>
            <w:p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4.在投标文件解密前，请务必检验 CA 锁与所用电脑的兼容性，部分电脑因 CA 驱动未正常安装、USB 接口兼容性差等原因可能造成投标文件解密失败。</w:t>
            </w:r>
          </w:p>
          <w:p>
            <w:p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5.投标人未按招标文件规定及提醒操作的，引起的一切后果由投标人自行负责。</w:t>
            </w:r>
          </w:p>
          <w:p>
            <w:pPr>
              <w:spacing w:line="360" w:lineRule="exact"/>
              <w:rPr>
                <w:rFonts w:hint="eastAsia" w:ascii="宋体" w:hAnsi="宋体" w:eastAsia="宋体" w:cs="宋体"/>
                <w:b/>
                <w:bCs/>
                <w:color w:val="auto"/>
                <w:sz w:val="22"/>
                <w:szCs w:val="22"/>
                <w:highlight w:val="none"/>
                <w:lang w:val="en-US"/>
              </w:rPr>
            </w:pPr>
            <w:r>
              <w:rPr>
                <w:rFonts w:hint="eastAsia" w:ascii="宋体" w:hAnsi="宋体" w:eastAsia="宋体" w:cs="宋体"/>
                <w:b/>
                <w:bCs/>
                <w:color w:val="auto"/>
                <w:sz w:val="22"/>
                <w:szCs w:val="22"/>
                <w:highlight w:val="none"/>
                <w:lang w:val="en-US"/>
              </w:rPr>
              <w:t>6.</w:t>
            </w:r>
            <w:r>
              <w:rPr>
                <w:rFonts w:hint="eastAsia" w:ascii="宋体" w:hAnsi="宋体" w:eastAsia="宋体" w:cs="宋体"/>
                <w:b/>
                <w:bCs/>
                <w:color w:val="auto"/>
                <w:sz w:val="22"/>
                <w:szCs w:val="22"/>
                <w:highlight w:val="none"/>
              </w:rPr>
              <w:t>客户端填写的</w:t>
            </w:r>
            <w:r>
              <w:rPr>
                <w:rFonts w:hint="eastAsia" w:ascii="宋体" w:hAnsi="宋体" w:eastAsia="宋体" w:cs="宋体"/>
                <w:b/>
                <w:bCs/>
                <w:color w:val="auto"/>
                <w:sz w:val="22"/>
                <w:szCs w:val="22"/>
                <w:highlight w:val="none"/>
                <w:lang w:eastAsia="zh-CN"/>
              </w:rPr>
              <w:t>内容</w:t>
            </w:r>
            <w:r>
              <w:rPr>
                <w:rFonts w:hint="eastAsia" w:ascii="宋体" w:hAnsi="宋体" w:eastAsia="宋体" w:cs="宋体"/>
                <w:b/>
                <w:bCs/>
                <w:color w:val="auto"/>
                <w:sz w:val="22"/>
                <w:szCs w:val="22"/>
                <w:highlight w:val="none"/>
              </w:rPr>
              <w:t>与以pdf格式上传文件中不一致的，应以Pdf格式上传文件中的</w:t>
            </w:r>
            <w:r>
              <w:rPr>
                <w:rFonts w:hint="eastAsia" w:ascii="宋体" w:hAnsi="宋体" w:eastAsia="宋体" w:cs="宋体"/>
                <w:b/>
                <w:bCs/>
                <w:color w:val="auto"/>
                <w:sz w:val="22"/>
                <w:szCs w:val="22"/>
                <w:highlight w:val="none"/>
                <w:lang w:eastAsia="zh-CN"/>
              </w:rPr>
              <w:t>内容</w:t>
            </w:r>
            <w:r>
              <w:rPr>
                <w:rFonts w:hint="eastAsia" w:ascii="宋体" w:hAnsi="宋体" w:eastAsia="宋体" w:cs="宋体"/>
                <w:b/>
                <w:bCs/>
                <w:color w:val="auto"/>
                <w:sz w:val="22"/>
                <w:szCs w:val="22"/>
                <w:highlight w:val="none"/>
              </w:rPr>
              <w:t>为准。</w:t>
            </w:r>
          </w:p>
          <w:p>
            <w:pPr>
              <w:pStyle w:val="43"/>
              <w:spacing w:line="360" w:lineRule="exact"/>
              <w:rPr>
                <w:rFonts w:hint="eastAsia" w:ascii="宋体" w:hAnsi="宋体" w:eastAsia="宋体" w:cs="宋体"/>
                <w:color w:val="auto"/>
                <w:sz w:val="22"/>
                <w:szCs w:val="22"/>
                <w:highlight w:val="none"/>
                <w:lang w:val="zh-CN" w:eastAsia="zh-CN" w:bidi="ar-SA"/>
              </w:rPr>
            </w:pPr>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lang w:val="en-US"/>
              </w:rPr>
              <w:t>投标截止时间同</w:t>
            </w:r>
            <w:r>
              <w:rPr>
                <w:rStyle w:val="34"/>
                <w:rFonts w:hint="eastAsia" w:ascii="宋体" w:hAnsi="宋体" w:eastAsia="宋体" w:cs="宋体"/>
                <w:color w:val="auto"/>
                <w:sz w:val="22"/>
                <w:szCs w:val="22"/>
                <w:highlight w:val="none"/>
              </w:rPr>
              <w:t>提交投标文件截止时间。</w:t>
            </w:r>
          </w:p>
        </w:tc>
      </w:tr>
    </w:tbl>
    <w:p>
      <w:pPr>
        <w:spacing w:line="360" w:lineRule="exact"/>
        <w:jc w:val="center"/>
        <w:rPr>
          <w:rFonts w:hint="eastAsia" w:ascii="宋体" w:hAnsi="宋体" w:eastAsia="宋体" w:cs="宋体"/>
          <w:b/>
          <w:color w:val="auto"/>
          <w:sz w:val="32"/>
          <w:highlight w:val="none"/>
        </w:rPr>
      </w:pPr>
    </w:p>
    <w:p>
      <w:pPr>
        <w:rPr>
          <w:rFonts w:hint="eastAsia" w:ascii="宋体" w:hAnsi="宋体" w:eastAsia="宋体" w:cs="宋体"/>
          <w:b/>
          <w:color w:val="auto"/>
          <w:sz w:val="26"/>
          <w:highlight w:val="none"/>
        </w:rPr>
      </w:pPr>
      <w:r>
        <w:rPr>
          <w:rFonts w:hint="eastAsia" w:ascii="宋体" w:hAnsi="宋体" w:eastAsia="宋体" w:cs="宋体"/>
          <w:b/>
          <w:color w:val="auto"/>
          <w:sz w:val="26"/>
          <w:highlight w:val="none"/>
        </w:rPr>
        <w:br w:type="page"/>
      </w:r>
    </w:p>
    <w:p>
      <w:pPr>
        <w:spacing w:line="400" w:lineRule="exact"/>
        <w:jc w:val="center"/>
        <w:outlineLvl w:val="1"/>
        <w:rPr>
          <w:rFonts w:hint="eastAsia" w:ascii="宋体" w:hAnsi="宋体" w:eastAsia="宋体" w:cs="宋体"/>
          <w:b/>
          <w:color w:val="auto"/>
          <w:sz w:val="26"/>
          <w:highlight w:val="none"/>
        </w:rPr>
      </w:pPr>
      <w:bookmarkStart w:id="3" w:name="_Toc11279"/>
      <w:r>
        <w:rPr>
          <w:rFonts w:hint="eastAsia" w:ascii="宋体" w:hAnsi="宋体" w:eastAsia="宋体" w:cs="宋体"/>
          <w:b/>
          <w:color w:val="auto"/>
          <w:sz w:val="26"/>
          <w:highlight w:val="none"/>
        </w:rPr>
        <w:t>一、说明</w:t>
      </w:r>
      <w:bookmarkEnd w:id="3"/>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1.本次招标是按照《中华人民共和国政府采购法》、《政府采购货物和服务招标投标管理办法》等法律及有关法规组织和实施的。</w:t>
      </w:r>
    </w:p>
    <w:p>
      <w:pPr>
        <w:tabs>
          <w:tab w:val="left" w:pos="360"/>
        </w:tabs>
        <w:spacing w:line="360" w:lineRule="exact"/>
        <w:ind w:firstLine="440" w:firstLineChars="200"/>
        <w:rPr>
          <w:rFonts w:hint="eastAsia" w:ascii="宋体" w:hAnsi="宋体" w:eastAsia="宋体" w:cs="宋体"/>
          <w:color w:val="auto"/>
          <w:kern w:val="0"/>
          <w:sz w:val="22"/>
          <w:highlight w:val="none"/>
          <w:lang w:val="zh-CN"/>
        </w:rPr>
      </w:pPr>
      <w:r>
        <w:rPr>
          <w:rFonts w:hint="eastAsia" w:ascii="宋体" w:hAnsi="宋体" w:eastAsia="宋体" w:cs="宋体"/>
          <w:color w:val="auto"/>
          <w:sz w:val="22"/>
          <w:highlight w:val="none"/>
        </w:rPr>
        <w:t>2.合格投标人</w:t>
      </w:r>
      <w:r>
        <w:rPr>
          <w:rFonts w:hint="eastAsia" w:ascii="宋体" w:hAnsi="宋体" w:eastAsia="宋体" w:cs="宋体"/>
          <w:color w:val="auto"/>
          <w:kern w:val="0"/>
          <w:sz w:val="22"/>
          <w:highlight w:val="none"/>
          <w:lang w:val="zh-CN"/>
        </w:rPr>
        <w:t>要求以招标公告及投标人须知前附表对投标人资格条件要求的表述为准。</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3.</w:t>
      </w:r>
      <w:r>
        <w:rPr>
          <w:rFonts w:hint="eastAsia" w:ascii="宋体" w:hAnsi="宋体" w:eastAsia="宋体" w:cs="宋体"/>
          <w:color w:val="auto"/>
          <w:sz w:val="22"/>
          <w:highlight w:val="none"/>
        </w:rPr>
        <w:t>投标人代表</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指全权代表投标人参加投标活动并签署投标文件的人。投标人须携带有效身份证件。如投标人代表不是法定代表人，须有法定代表人授权委托书，投标人未参加开标的，视同认可开标结果。</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4.投标费用</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4.1投标人应承担所有与准备和参加投标有关费用，不论投标的结果如何，采购代理机构和采购人均无义务和责任承担这些费用。</w:t>
      </w:r>
    </w:p>
    <w:p>
      <w:pPr>
        <w:spacing w:line="360" w:lineRule="exact"/>
        <w:ind w:firstLine="440" w:firstLineChars="200"/>
        <w:jc w:val="left"/>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4.2</w:t>
      </w:r>
      <w:r>
        <w:rPr>
          <w:rFonts w:hint="eastAsia" w:ascii="宋体" w:hAnsi="宋体" w:eastAsia="宋体" w:cs="宋体"/>
          <w:color w:val="auto"/>
          <w:sz w:val="22"/>
          <w:highlight w:val="none"/>
          <w:lang w:val="en-US" w:eastAsia="zh-CN"/>
        </w:rPr>
        <w:t>根据标项收取，</w:t>
      </w:r>
      <w:r>
        <w:rPr>
          <w:rFonts w:hint="eastAsia" w:ascii="宋体" w:hAnsi="宋体" w:eastAsia="宋体" w:cs="宋体"/>
          <w:color w:val="auto"/>
          <w:sz w:val="22"/>
          <w:highlight w:val="none"/>
        </w:rPr>
        <w:t>中标人</w:t>
      </w:r>
      <w:r>
        <w:rPr>
          <w:rFonts w:hint="eastAsia" w:ascii="宋体" w:hAnsi="宋体" w:eastAsia="宋体" w:cs="宋体"/>
          <w:color w:val="auto"/>
          <w:spacing w:val="-6"/>
          <w:sz w:val="22"/>
          <w:highlight w:val="none"/>
        </w:rPr>
        <w:t>在收到中标通知书时向采购代理机构交纳采购代理服务费，收费标准（差额累进）：</w:t>
      </w:r>
    </w:p>
    <w:tbl>
      <w:tblPr>
        <w:tblStyle w:val="31"/>
        <w:tblW w:w="85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006"/>
        <w:gridCol w:w="45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4006" w:type="dxa"/>
            <w:tcMar>
              <w:top w:w="0" w:type="dxa"/>
              <w:left w:w="108" w:type="dxa"/>
              <w:bottom w:w="0" w:type="dxa"/>
              <w:right w:w="108" w:type="dxa"/>
            </w:tcMar>
            <w:vAlign w:val="center"/>
          </w:tcPr>
          <w:p>
            <w:pPr>
              <w:spacing w:line="360" w:lineRule="exact"/>
              <w:jc w:val="center"/>
              <w:rPr>
                <w:rFonts w:hint="eastAsia" w:ascii="宋体" w:hAnsi="宋体" w:eastAsia="宋体" w:cs="宋体"/>
                <w:b/>
                <w:bCs/>
                <w:color w:val="auto"/>
                <w:sz w:val="22"/>
                <w:highlight w:val="none"/>
              </w:rPr>
            </w:pPr>
            <w:r>
              <w:rPr>
                <w:rFonts w:hint="eastAsia" w:ascii="宋体" w:hAnsi="宋体" w:cs="宋体"/>
                <w:b/>
                <w:bCs/>
                <w:color w:val="auto"/>
                <w:sz w:val="22"/>
                <w:highlight w:val="none"/>
                <w:lang w:eastAsia="zh-CN"/>
              </w:rPr>
              <w:t>预算</w:t>
            </w:r>
            <w:r>
              <w:rPr>
                <w:rFonts w:hint="eastAsia" w:ascii="宋体" w:hAnsi="宋体" w:eastAsia="宋体" w:cs="宋体"/>
                <w:b/>
                <w:bCs/>
                <w:color w:val="auto"/>
                <w:sz w:val="22"/>
                <w:highlight w:val="none"/>
              </w:rPr>
              <w:t>金额（万元）</w:t>
            </w:r>
          </w:p>
        </w:tc>
        <w:tc>
          <w:tcPr>
            <w:tcW w:w="4581" w:type="dxa"/>
            <w:tcMar>
              <w:top w:w="0" w:type="dxa"/>
              <w:left w:w="108" w:type="dxa"/>
              <w:bottom w:w="0" w:type="dxa"/>
              <w:right w:w="108" w:type="dxa"/>
            </w:tcMar>
            <w:vAlign w:val="center"/>
          </w:tcPr>
          <w:p>
            <w:pPr>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收费标准（费率，%）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4006" w:type="dxa"/>
            <w:tcMar>
              <w:top w:w="0" w:type="dxa"/>
              <w:left w:w="108" w:type="dxa"/>
              <w:bottom w:w="0" w:type="dxa"/>
              <w:right w:w="108" w:type="dxa"/>
            </w:tcMar>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100以下</w:t>
            </w:r>
          </w:p>
        </w:tc>
        <w:tc>
          <w:tcPr>
            <w:tcW w:w="4581" w:type="dxa"/>
            <w:tcMar>
              <w:top w:w="0" w:type="dxa"/>
              <w:left w:w="108" w:type="dxa"/>
              <w:bottom w:w="0" w:type="dxa"/>
              <w:right w:w="108" w:type="dxa"/>
            </w:tcMar>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1.2</w:t>
            </w:r>
          </w:p>
        </w:tc>
      </w:tr>
    </w:tbl>
    <w:p>
      <w:pPr>
        <w:tabs>
          <w:tab w:val="left" w:pos="-180"/>
          <w:tab w:val="left" w:pos="180"/>
          <w:tab w:val="left" w:pos="360"/>
        </w:tabs>
        <w:spacing w:line="360" w:lineRule="exact"/>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请各投标人将采购代理服务费包含在投标总报价中</w:t>
      </w: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lang w:val="en-US" w:eastAsia="zh-CN"/>
        </w:rPr>
        <w:t>不单列</w:t>
      </w:r>
      <w:r>
        <w:rPr>
          <w:rFonts w:hint="eastAsia" w:ascii="宋体" w:hAnsi="宋体" w:eastAsia="宋体" w:cs="宋体"/>
          <w:b/>
          <w:bCs/>
          <w:color w:val="auto"/>
          <w:sz w:val="22"/>
          <w:highlight w:val="none"/>
        </w:rPr>
        <w:t>。</w:t>
      </w:r>
      <w:r>
        <w:rPr>
          <w:rFonts w:hint="eastAsia" w:ascii="宋体" w:hAnsi="宋体" w:eastAsia="宋体" w:cs="宋体"/>
          <w:color w:val="auto"/>
          <w:sz w:val="22"/>
          <w:highlight w:val="none"/>
        </w:rPr>
        <w:t>采购代理服务费可以是现金、支票或汇票。</w:t>
      </w:r>
    </w:p>
    <w:p>
      <w:pPr>
        <w:tabs>
          <w:tab w:val="left" w:pos="360"/>
        </w:tabs>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5.信用记录：</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根据财库[2016]125号《关于在政府采购活动中查询及使用信用记录有关问题的通知》要求，采购代理机构会对投标人信用记录进行查询并甄别。</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5.1.</w:t>
      </w:r>
      <w:r>
        <w:rPr>
          <w:rFonts w:hint="eastAsia" w:ascii="宋体" w:hAnsi="宋体" w:eastAsia="宋体" w:cs="宋体"/>
          <w:b/>
          <w:bCs/>
          <w:snapToGrid w:val="0"/>
          <w:color w:val="auto"/>
          <w:sz w:val="22"/>
          <w:highlight w:val="none"/>
        </w:rPr>
        <w:t>信用信息查询的截止时点为从本项目投标截止日往前追溯三年</w:t>
      </w:r>
      <w:r>
        <w:rPr>
          <w:rFonts w:hint="eastAsia" w:ascii="宋体" w:hAnsi="宋体" w:eastAsia="宋体" w:cs="宋体"/>
          <w:b/>
          <w:bCs/>
          <w:color w:val="auto"/>
          <w:spacing w:val="6"/>
          <w:sz w:val="22"/>
          <w:highlight w:val="none"/>
        </w:rPr>
        <w:t>；</w:t>
      </w:r>
    </w:p>
    <w:p>
      <w:pPr>
        <w:tabs>
          <w:tab w:val="left" w:pos="360"/>
        </w:tabs>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5.2.查询渠道：“信用中国（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"https://www.creditchina.gov.cn/"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6"/>
          <w:sz w:val="22"/>
          <w:highlight w:val="none"/>
        </w:rPr>
        <w:t>https://www.creditchina.gov.cn</w:t>
      </w:r>
      <w:r>
        <w:rPr>
          <w:rFonts w:hint="eastAsia" w:ascii="宋体" w:hAnsi="宋体" w:eastAsia="宋体" w:cs="宋体"/>
          <w:b/>
          <w:bCs/>
          <w:color w:val="auto"/>
          <w:spacing w:val="6"/>
          <w:sz w:val="22"/>
          <w:highlight w:val="none"/>
        </w:rPr>
        <w:fldChar w:fldCharType="end"/>
      </w:r>
      <w:r>
        <w:rPr>
          <w:rFonts w:hint="eastAsia" w:ascii="宋体" w:hAnsi="宋体" w:eastAsia="宋体" w:cs="宋体"/>
          <w:b/>
          <w:bCs/>
          <w:color w:val="auto"/>
          <w:spacing w:val="6"/>
          <w:sz w:val="22"/>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6"/>
          <w:sz w:val="22"/>
          <w:highlight w:val="none"/>
        </w:rPr>
        <w:t>http://www.ccgp.gov.cn</w:t>
      </w:r>
      <w:r>
        <w:rPr>
          <w:rFonts w:hint="eastAsia" w:ascii="宋体" w:hAnsi="宋体" w:eastAsia="宋体" w:cs="宋体"/>
          <w:b/>
          <w:bCs/>
          <w:color w:val="auto"/>
          <w:spacing w:val="6"/>
          <w:sz w:val="22"/>
          <w:highlight w:val="none"/>
        </w:rPr>
        <w:fldChar w:fldCharType="end"/>
      </w:r>
      <w:r>
        <w:rPr>
          <w:rFonts w:hint="eastAsia" w:ascii="宋体" w:hAnsi="宋体" w:eastAsia="宋体" w:cs="宋体"/>
          <w:b/>
          <w:bCs/>
          <w:color w:val="auto"/>
          <w:spacing w:val="6"/>
          <w:sz w:val="22"/>
          <w:highlight w:val="none"/>
        </w:rPr>
        <w:t>）”</w:t>
      </w:r>
      <w:r>
        <w:rPr>
          <w:rFonts w:hint="eastAsia" w:ascii="宋体" w:hAnsi="宋体" w:eastAsia="宋体" w:cs="宋体"/>
          <w:color w:val="auto"/>
          <w:sz w:val="22"/>
          <w:highlight w:val="none"/>
        </w:rPr>
        <w:t>；</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5.3.信用信息查询记录和证据留存具体方式：采购代理机构经办人或监督人员将查询网页打印与其他招标文件一并保存；</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5.4.信用信息的使用规则：投标人存在不良信用记录的，其投标将被作为投标无效被拒绝；</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不良信用记录指：被列入失信被执行人、重大税收违法案件当事人名单、政府采购严重违法失信行为记录名单。</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kern w:val="0"/>
          <w:sz w:val="22"/>
          <w:highlight w:val="none"/>
        </w:rPr>
        <w:t>联合体信用信息查询：联合体以一个投标人的身份共同参加政府采购活动的，应当对所有联合体成员进行信用记录查询，联合体成员存在不良信用记录的，视同联合体存在不良信用记录</w:t>
      </w:r>
      <w:r>
        <w:rPr>
          <w:rFonts w:hint="eastAsia" w:ascii="宋体" w:hAnsi="宋体" w:eastAsia="宋体" w:cs="宋体"/>
          <w:b/>
          <w:bCs/>
          <w:color w:val="auto"/>
          <w:sz w:val="22"/>
          <w:highlight w:val="none"/>
        </w:rPr>
        <w:t>。</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6.特别说明：</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6.1投标人应仔细阅读招标文件的所有内容，按照招标文件的要求提交投标文件，并对所提供的全部资料的真实性承担法律责任。</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6.2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6.3投标人在投标活动中提供任何虚假材料，其投标无效，并报监管部门查处；中标后发现的，中标人须依照《中华人民共和国消费者权益保护法》第55条之规定三倍赔偿采购人，且民事赔偿并不免除违法投标人的行政与刑事责任。</w:t>
      </w:r>
    </w:p>
    <w:p>
      <w:pPr>
        <w:spacing w:line="360" w:lineRule="exact"/>
        <w:ind w:firstLine="418" w:firstLineChars="200"/>
        <w:rPr>
          <w:rFonts w:hint="eastAsia" w:ascii="宋体" w:hAnsi="宋体" w:eastAsia="宋体" w:cs="宋体"/>
          <w:b/>
          <w:color w:val="auto"/>
          <w:sz w:val="22"/>
          <w:highlight w:val="none"/>
        </w:rPr>
      </w:pPr>
      <w:r>
        <w:rPr>
          <w:rFonts w:hint="eastAsia" w:ascii="宋体" w:hAnsi="宋体" w:eastAsia="宋体" w:cs="宋体"/>
          <w:b/>
          <w:color w:val="auto"/>
          <w:spacing w:val="-6"/>
          <w:kern w:val="0"/>
          <w:sz w:val="22"/>
          <w:highlight w:val="none"/>
        </w:rPr>
        <w:t>7.</w:t>
      </w:r>
      <w:r>
        <w:rPr>
          <w:rFonts w:hint="eastAsia" w:ascii="宋体" w:hAnsi="宋体" w:eastAsia="宋体" w:cs="宋体"/>
          <w:b/>
          <w:color w:val="auto"/>
          <w:sz w:val="22"/>
          <w:highlight w:val="none"/>
        </w:rPr>
        <w:t>采购项目需要落实的政府采购政策</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7.2 支持绿色发展</w:t>
      </w:r>
    </w:p>
    <w:p>
      <w:pPr>
        <w:snapToGrid w:val="0"/>
        <w:spacing w:line="360" w:lineRule="exact"/>
        <w:ind w:firstLine="442" w:firstLineChars="201"/>
        <w:rPr>
          <w:rFonts w:hint="eastAsia" w:ascii="宋体" w:hAnsi="宋体" w:eastAsia="宋体" w:cs="宋体"/>
          <w:b/>
          <w:color w:val="auto"/>
          <w:sz w:val="22"/>
          <w:highlight w:val="none"/>
        </w:rPr>
      </w:pPr>
      <w:r>
        <w:rPr>
          <w:rFonts w:hint="eastAsia" w:ascii="宋体" w:hAnsi="宋体" w:eastAsia="宋体" w:cs="宋体"/>
          <w:color w:val="auto"/>
          <w:sz w:val="22"/>
          <w:highlight w:val="none"/>
        </w:rPr>
        <w:t>7.2.1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color w:val="auto"/>
          <w:sz w:val="22"/>
          <w:highlight w:val="none"/>
          <w:u w:val="single"/>
        </w:rPr>
        <w:t>▲采购人拟采购的产品属于政府强制采购的节能产品品目清单范围的，投标人未按招标文件要求提供国家确定的认证机构出具的、处于有效期之内的节能产品认证证书的，投标无效。</w:t>
      </w:r>
    </w:p>
    <w:p>
      <w:pPr>
        <w:keepNext w:val="0"/>
        <w:keepLines w:val="0"/>
        <w:pageBreakBefore w:val="0"/>
        <w:widowControl w:val="0"/>
        <w:kinsoku/>
        <w:wordWrap/>
        <w:overflowPunct/>
        <w:topLinePunct w:val="0"/>
        <w:autoSpaceDE/>
        <w:autoSpaceDN/>
        <w:bidi w:val="0"/>
        <w:adjustRightInd/>
        <w:snapToGrid w:val="0"/>
        <w:spacing w:line="360" w:lineRule="exact"/>
        <w:ind w:left="0" w:right="0" w:firstLine="442" w:firstLineChars="201"/>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4" w:name="_Hlk107568539"/>
      <w:r>
        <w:rPr>
          <w:rFonts w:hint="eastAsia" w:ascii="宋体" w:hAnsi="宋体" w:eastAsia="宋体" w:cs="宋体"/>
          <w:color w:val="auto"/>
          <w:sz w:val="22"/>
          <w:szCs w:val="22"/>
          <w:highlight w:val="none"/>
        </w:rPr>
        <w:t>鼓励采购单位优先采购秸秆环保板材等资源综合利用产品。鼓励采购单位优先采购绿色物流配送服务、提供新能源交通工具的租赁服务。</w:t>
      </w:r>
    </w:p>
    <w:p>
      <w:pPr>
        <w:keepNext w:val="0"/>
        <w:keepLines w:val="0"/>
        <w:pageBreakBefore w:val="0"/>
        <w:widowControl w:val="0"/>
        <w:kinsoku/>
        <w:wordWrap/>
        <w:overflowPunct/>
        <w:topLinePunct w:val="0"/>
        <w:autoSpaceDE/>
        <w:autoSpaceDN/>
        <w:bidi w:val="0"/>
        <w:adjustRightInd/>
        <w:snapToGrid w:val="0"/>
        <w:spacing w:line="360" w:lineRule="exact"/>
        <w:ind w:left="0" w:right="0" w:firstLine="442" w:firstLineChars="201"/>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鼓励供应商在参加政府采购过程中开展绿色设计、选择绿色材料、打造绿色制造工艺、开展绿色运输、做好废弃产品回收处理，实现产品全周期的绿色环保。</w:t>
      </w:r>
      <w:bookmarkEnd w:id="4"/>
    </w:p>
    <w:p>
      <w:pPr>
        <w:snapToGrid w:val="0"/>
        <w:spacing w:line="360" w:lineRule="exact"/>
        <w:ind w:firstLine="444" w:firstLineChars="201"/>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7.3支持中小企业发展</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符合中小企业划分标准的个体工商户，在政府采购活动中视同中小企业。</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bCs/>
          <w:color w:val="auto"/>
          <w:sz w:val="22"/>
          <w:highlight w:val="none"/>
        </w:rPr>
        <w:t>7.3.2</w:t>
      </w:r>
      <w:r>
        <w:rPr>
          <w:rFonts w:hint="eastAsia" w:ascii="宋体" w:hAnsi="宋体" w:eastAsia="宋体" w:cs="宋体"/>
          <w:color w:val="auto"/>
          <w:kern w:val="0"/>
          <w:sz w:val="22"/>
          <w:highlight w:val="none"/>
        </w:rPr>
        <w:t>在政府采购活动中，投标人提供的货物、工程或者服务符合下列情形的，享受中小企业扶持政策：</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7.3.2.1在货物采购项目中，货物由中小企业制造，即货物由中小企业生产且使用该中小企业商号或者注册商标；</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7.3.2.2在工程采购项目中，工程由中小企业承建，即工程施工单位为中小企业；</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7.3.2.3在服务采购项目中，服务由中小企业承接，即提供服务的人员为中小企业依照《中华人民共和国劳动合同法》订立劳动合同的从业人员。</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在货物采购项目中，投标人提供的货物既有中小企业制造货物，也有大型企业制造货物的，不享受中小企业扶持政策。</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以联合体形式参加政府采购活动，联合体各方均为中小企业的，联合体视同中小企业。其中，联合体各方均为小微企业的，联合体视同小微企业。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7.3.3对于未预留份额专门面向中小企业的政府采购货物或服务项目，以及预留份额政府采购货物或服务项目中的非预留部分标项，对小型和微型企业的投标报价给予</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%的扣除，用扣除后的价格参加评审。组成联合体或者接受分包的小微企业与联合体内其他企业、分包企业之间存在直接控股、管理关系的，不享受价格扣除优惠政策。</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7.3.4符合《关于促进残疾人就业政府采购政策的通知》（财库〔2017〕141号）规定的条件并提供《残疾人福利性单位声明函》（附件）的残疾人福利性单位视同小型、微型企业；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7.3.5符合《关于政府采购支持监狱企业发展有关问题的通知》（财库[2014]68号）规定的监狱企业并提供由省级以上监狱管理局、戒毒管理局（含新疆生产建设兵团）出具的属于监狱企业证明文件的，视同为小型、微型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napToGrid w:val="0"/>
        <w:spacing w:line="360" w:lineRule="exact"/>
        <w:ind w:firstLine="442" w:firstLineChars="201"/>
        <w:rPr>
          <w:rFonts w:hint="eastAsia" w:ascii="宋体" w:hAnsi="宋体" w:eastAsia="宋体" w:cs="宋体"/>
          <w:b/>
          <w:color w:val="auto"/>
          <w:sz w:val="26"/>
          <w:highlight w:val="none"/>
        </w:rPr>
      </w:pPr>
      <w:r>
        <w:rPr>
          <w:rFonts w:hint="eastAsia" w:ascii="宋体" w:hAnsi="宋体" w:eastAsia="宋体" w:cs="宋体"/>
          <w:color w:val="auto"/>
          <w:sz w:val="22"/>
          <w:highlight w:val="none"/>
        </w:rPr>
        <w:t>7.3.7</w:t>
      </w:r>
      <w:r>
        <w:rPr>
          <w:rFonts w:hint="eastAsia" w:ascii="宋体" w:hAnsi="宋体" w:eastAsia="宋体" w:cs="宋体"/>
          <w:b/>
          <w:bCs/>
          <w:color w:val="auto"/>
          <w:sz w:val="22"/>
          <w:highlight w:val="none"/>
        </w:rPr>
        <w:t>中小企业享受扶持政策获得政府采购合同的，小微企业不得将合同分包给大中型企业，中型企业不得将合同分包给大型企业。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7.4</w:t>
      </w:r>
      <w:r>
        <w:rPr>
          <w:rFonts w:hint="eastAsia" w:ascii="宋体" w:hAnsi="宋体" w:eastAsia="宋体" w:cs="宋体"/>
          <w:bCs/>
          <w:color w:val="auto"/>
          <w:sz w:val="22"/>
          <w:highlight w:val="none"/>
        </w:rPr>
        <w:t>支持创新发展</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7.4.1采购人优先采购被认定为首台套产品和“制造精品”的自主创新产品。</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7.5</w:t>
      </w:r>
      <w:r>
        <w:rPr>
          <w:rFonts w:hint="eastAsia" w:ascii="宋体" w:hAnsi="宋体" w:eastAsia="宋体" w:cs="宋体"/>
          <w:color w:val="auto"/>
          <w:sz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7.6</w:t>
      </w:r>
      <w:r>
        <w:rPr>
          <w:rFonts w:hint="eastAsia" w:ascii="宋体" w:hAnsi="宋体" w:eastAsia="宋体" w:cs="宋体"/>
          <w:color w:val="auto"/>
          <w:sz w:val="22"/>
          <w:highlight w:val="none"/>
        </w:rPr>
        <w:t>平等对待内外资企业和符合条件的破产重整企业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平等对待内外资企业和符合条件的破产重整企业，切实保障企业公平竞争，平等维护企业的合法利益。</w:t>
      </w:r>
    </w:p>
    <w:p>
      <w:pPr>
        <w:spacing w:line="400" w:lineRule="exact"/>
        <w:ind w:firstLine="522" w:firstLineChars="200"/>
        <w:jc w:val="center"/>
        <w:outlineLvl w:val="1"/>
        <w:rPr>
          <w:rFonts w:hint="eastAsia" w:ascii="宋体" w:hAnsi="宋体" w:eastAsia="宋体" w:cs="宋体"/>
          <w:b/>
          <w:color w:val="auto"/>
          <w:sz w:val="26"/>
          <w:highlight w:val="none"/>
        </w:rPr>
      </w:pPr>
      <w:bookmarkStart w:id="5" w:name="_Toc3989"/>
      <w:r>
        <w:rPr>
          <w:rFonts w:hint="eastAsia" w:ascii="宋体" w:hAnsi="宋体" w:eastAsia="宋体" w:cs="宋体"/>
          <w:b/>
          <w:color w:val="auto"/>
          <w:sz w:val="26"/>
          <w:highlight w:val="none"/>
        </w:rPr>
        <w:t>二、招标文件</w:t>
      </w:r>
      <w:bookmarkEnd w:id="5"/>
    </w:p>
    <w:p>
      <w:pPr>
        <w:spacing w:line="360" w:lineRule="exact"/>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1.招标文件由招标文件目录所列内容及相关资料组成。</w:t>
      </w:r>
    </w:p>
    <w:p>
      <w:pPr>
        <w:spacing w:line="360" w:lineRule="exact"/>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2.质疑</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2.1投标人认为招标文件、采购过程、中标或者成交结果使自己的权益受到损害的，可以在知道或者应知其权益受到损害之日起7个工作日内，以书面形式向采购人、采购代理机构提出质疑。逾期提出的，采购组织机构将不予受理、答复。</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2.2投标人提出质疑应当提交质疑函和必要的证明材料，质疑函范本请到“浙江政府采购网下载专区”下载，质疑函应当包括下列内容：</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（一）投标人的姓名或者名称、地址、邮编、联系人及联系电话；</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（二）质疑项目的名称、编号；</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（三）具体、明确的质疑事项和与质疑事项相关的请求；</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（四）事实依据；</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（五）必要的法律依据；</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（六）提出质疑的日期。</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投标人为自然人的，应当由本人签字；投标人为法人或者其他组织的，应当由法定代表人、主要负责人，或者其授权代表签字或者盖章，并加盖电子签章。</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2.3提出质疑的投标人应当是参与本项目招标活动的投标人。</w:t>
      </w:r>
      <w:r>
        <w:rPr>
          <w:rFonts w:hint="eastAsia" w:ascii="宋体" w:hAnsi="宋体" w:eastAsia="宋体" w:cs="宋体"/>
          <w:b/>
          <w:bCs/>
          <w:color w:val="auto"/>
          <w:spacing w:val="6"/>
          <w:sz w:val="22"/>
          <w:highlight w:val="none"/>
        </w:rPr>
        <w:t>投标人在法定质疑期内一次性提出针对同一采购程序环节的质疑。</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2.4根据《政府采购质疑和投诉办法》第三十七条的规定，投诉人在全国范围12个月内三次以上投诉查无实据的，由财政部门列入不良行为记录名单。</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投诉人有下列行为之一的，属于虚假、恶意投诉，由财政部门列入不良行为记录名单，禁止其1至3年内参加政府采购活动：</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（一）捏造事实；</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（二）提供虚假材料；</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（三）以非法手段取得证明材料。证据来源的合法性存在明显疑问，投诉人无法证明其取得方式合法的，视为以非法手段取得证明材料。</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3.投诉</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质疑投标人对采购人、采购代理机构的答复不满意或者采购人、采购代理机构未在规定的时间内作出答复的，可以在答复期满后十五个工作日内向同级政府采购监督部门投诉。投诉书范本请到“浙江政府采购网下载专区”下载。</w:t>
      </w:r>
    </w:p>
    <w:p>
      <w:pPr>
        <w:adjustRightInd w:val="0"/>
        <w:spacing w:line="400" w:lineRule="exact"/>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以联合体形式参加政府采购活动的，其质疑或投诉应当由组成联合体的所有投标人共同提出。</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4.澄清或修改</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4.1采购人或者采购代理机构可以对已发出的招标文件进行必要的澄清或者修改。澄清或者修改</w:t>
      </w:r>
      <w:r>
        <w:rPr>
          <w:rStyle w:val="34"/>
          <w:rFonts w:hint="eastAsia" w:ascii="宋体" w:hAnsi="宋体" w:eastAsia="宋体" w:cs="宋体"/>
          <w:b w:val="0"/>
          <w:color w:val="auto"/>
          <w:sz w:val="22"/>
          <w:highlight w:val="none"/>
        </w:rPr>
        <w:t>在浙江政府采购网上发布公告，同时政采云系统会向所有已按招标文件规定方式获取招标文件的潜在投标人发送更正提醒信息，潜在投标人请自行到浙江省政府采购网上下载公告附件，潜在投标人在收到该公告附件后应于1日内，以书面或传真形式（签署意见并加盖公章）向采购代理机构回函给予确认。过期未回复的，视为默认接受。</w:t>
      </w:r>
      <w:r>
        <w:rPr>
          <w:rFonts w:hint="eastAsia" w:ascii="宋体" w:hAnsi="宋体" w:eastAsia="宋体" w:cs="宋体"/>
          <w:color w:val="auto"/>
          <w:spacing w:val="6"/>
          <w:sz w:val="22"/>
          <w:highlight w:val="none"/>
        </w:rPr>
        <w:t>澄清或者修改的内容为招标文件的组成部分。</w:t>
      </w:r>
    </w:p>
    <w:p>
      <w:pPr>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澄清或者修改的内容可能影响投标文件编制的，采购人或者采购代理机构应当在投标文件提交截止时间至少15日前，以书面形式（</w:t>
      </w:r>
      <w:r>
        <w:rPr>
          <w:rStyle w:val="34"/>
          <w:rFonts w:hint="eastAsia" w:ascii="宋体" w:hAnsi="宋体" w:eastAsia="宋体" w:cs="宋体"/>
          <w:b w:val="0"/>
          <w:color w:val="auto"/>
          <w:sz w:val="22"/>
          <w:highlight w:val="none"/>
        </w:rPr>
        <w:t>在浙江政府采购网上发布公告</w:t>
      </w:r>
      <w:r>
        <w:rPr>
          <w:rFonts w:hint="eastAsia" w:ascii="宋体" w:hAnsi="宋体" w:eastAsia="宋体" w:cs="宋体"/>
          <w:color w:val="auto"/>
          <w:spacing w:val="6"/>
          <w:sz w:val="22"/>
          <w:highlight w:val="none"/>
        </w:rPr>
        <w:t>）通知所有获取招标文件的潜在投标人；不足15日的，采购人或者采购代理机构应当顺延提交投标文件的截止时间。</w:t>
      </w:r>
    </w:p>
    <w:p>
      <w:pPr>
        <w:spacing w:line="400" w:lineRule="exact"/>
        <w:ind w:firstLine="522" w:firstLineChars="200"/>
        <w:jc w:val="center"/>
        <w:outlineLvl w:val="1"/>
        <w:rPr>
          <w:rFonts w:hint="eastAsia" w:ascii="宋体" w:hAnsi="宋体" w:eastAsia="宋体" w:cs="宋体"/>
          <w:color w:val="auto"/>
          <w:sz w:val="22"/>
          <w:highlight w:val="none"/>
        </w:rPr>
      </w:pPr>
      <w:bookmarkStart w:id="6" w:name="_Toc5517"/>
      <w:r>
        <w:rPr>
          <w:rFonts w:hint="eastAsia" w:ascii="宋体" w:hAnsi="宋体" w:eastAsia="宋体" w:cs="宋体"/>
          <w:b/>
          <w:color w:val="auto"/>
          <w:sz w:val="26"/>
          <w:highlight w:val="none"/>
        </w:rPr>
        <w:t>三、投标文件的编制</w:t>
      </w:r>
      <w:bookmarkEnd w:id="6"/>
    </w:p>
    <w:p>
      <w:pPr>
        <w:spacing w:line="360" w:lineRule="exact"/>
        <w:ind w:firstLine="442" w:firstLineChars="200"/>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1.投标文件的形式</w:t>
      </w:r>
    </w:p>
    <w:p>
      <w:pPr>
        <w:pStyle w:val="15"/>
        <w:snapToGrid w:val="0"/>
        <w:spacing w:line="360" w:lineRule="exact"/>
        <w:ind w:firstLine="442" w:firstLineChars="200"/>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投标文件分为电子投标文件以及备份投标文件，备份文件为以介质存储的数据电文形式的备份投标文件。</w:t>
      </w:r>
    </w:p>
    <w:p>
      <w:pPr>
        <w:spacing w:line="360" w:lineRule="exact"/>
        <w:ind w:firstLine="442" w:firstLineChars="200"/>
        <w:outlineLvl w:val="9"/>
        <w:rPr>
          <w:rFonts w:hint="eastAsia" w:ascii="宋体" w:hAnsi="宋体" w:eastAsia="宋体" w:cs="宋体"/>
          <w:color w:val="auto"/>
          <w:kern w:val="0"/>
          <w:sz w:val="22"/>
          <w:highlight w:val="none"/>
        </w:rPr>
      </w:pPr>
      <w:r>
        <w:rPr>
          <w:rFonts w:hint="eastAsia" w:ascii="宋体" w:hAnsi="宋体" w:eastAsia="宋体" w:cs="宋体"/>
          <w:b/>
          <w:bCs/>
          <w:color w:val="auto"/>
          <w:sz w:val="22"/>
          <w:highlight w:val="none"/>
        </w:rPr>
        <w:t>1.1电子投标文件，通过政采云电子交易客户端（政采云投标客户端）完成投标文件编制后生成并加密的数据电文形式的投标文件（文件扩展名为.jmbs）</w:t>
      </w:r>
      <w:r>
        <w:rPr>
          <w:rFonts w:hint="eastAsia" w:ascii="宋体" w:hAnsi="宋体" w:eastAsia="宋体" w:cs="宋体"/>
          <w:color w:val="auto"/>
          <w:kern w:val="0"/>
          <w:sz w:val="22"/>
          <w:highlight w:val="none"/>
        </w:rPr>
        <w:t>。</w:t>
      </w:r>
    </w:p>
    <w:p>
      <w:pPr>
        <w:spacing w:line="360" w:lineRule="exact"/>
        <w:ind w:firstLine="442" w:firstLineChars="200"/>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1.2以介质存储的数据电文形式的备份投标文件：</w:t>
      </w:r>
      <w:r>
        <w:rPr>
          <w:rStyle w:val="34"/>
          <w:rFonts w:hint="eastAsia" w:ascii="宋体" w:hAnsi="宋体" w:eastAsia="宋体" w:cs="宋体"/>
          <w:bCs/>
          <w:color w:val="auto"/>
          <w:sz w:val="22"/>
          <w:highlight w:val="none"/>
        </w:rPr>
        <w:t>与“电子投标文件”同时生成的数据电文形式的备份投标文件</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文件扩展名为</w:t>
      </w:r>
      <w:r>
        <w:rPr>
          <w:rFonts w:hint="eastAsia" w:ascii="宋体" w:hAnsi="宋体" w:eastAsia="宋体" w:cs="宋体"/>
          <w:b/>
          <w:bCs/>
          <w:color w:val="auto"/>
          <w:sz w:val="22"/>
          <w:highlight w:val="none"/>
        </w:rPr>
        <w:t>.bfbs)，</w:t>
      </w:r>
      <w:r>
        <w:rPr>
          <w:rFonts w:hint="eastAsia" w:ascii="宋体" w:hAnsi="宋体" w:eastAsia="宋体" w:cs="宋体"/>
          <w:b/>
          <w:bCs/>
          <w:color w:val="auto"/>
          <w:sz w:val="22"/>
          <w:highlight w:val="none"/>
          <w:lang w:val="zh-CN"/>
        </w:rPr>
        <w:t>投标文件提交截止时间前以电子邮件方式传送至浙江乐诚工程咨询有限公司电子邮箱</w:t>
      </w:r>
      <w:r>
        <w:rPr>
          <w:rFonts w:hint="eastAsia" w:ascii="宋体" w:hAnsi="宋体" w:cs="宋体"/>
          <w:b/>
          <w:bCs/>
          <w:color w:val="auto"/>
          <w:sz w:val="22"/>
          <w:highlight w:val="none"/>
          <w:lang w:eastAsia="zh-CN"/>
        </w:rPr>
        <w:t>1005783819</w:t>
      </w:r>
      <w:r>
        <w:rPr>
          <w:rFonts w:hint="eastAsia" w:ascii="宋体" w:hAnsi="宋体" w:eastAsia="宋体" w:cs="宋体"/>
          <w:b/>
          <w:bCs/>
          <w:color w:val="auto"/>
          <w:sz w:val="22"/>
          <w:highlight w:val="none"/>
        </w:rPr>
        <w:t>@qq.com，</w:t>
      </w:r>
      <w:r>
        <w:rPr>
          <w:rFonts w:hint="eastAsia" w:ascii="宋体" w:hAnsi="宋体" w:eastAsia="宋体" w:cs="宋体"/>
          <w:b/>
          <w:bCs/>
          <w:color w:val="auto"/>
          <w:sz w:val="22"/>
          <w:highlight w:val="none"/>
          <w:lang w:val="zh-CN"/>
        </w:rPr>
        <w:t>递交</w:t>
      </w:r>
      <w:r>
        <w:rPr>
          <w:rFonts w:hint="eastAsia" w:ascii="宋体" w:hAnsi="宋体" w:eastAsia="宋体" w:cs="宋体"/>
          <w:b/>
          <w:bCs/>
          <w:color w:val="auto"/>
          <w:sz w:val="22"/>
          <w:highlight w:val="none"/>
        </w:rPr>
        <w:t>1</w:t>
      </w:r>
      <w:r>
        <w:rPr>
          <w:rFonts w:hint="eastAsia" w:ascii="宋体" w:hAnsi="宋体" w:eastAsia="宋体" w:cs="宋体"/>
          <w:b/>
          <w:bCs/>
          <w:color w:val="auto"/>
          <w:sz w:val="22"/>
          <w:highlight w:val="none"/>
          <w:lang w:val="zh-CN"/>
        </w:rPr>
        <w:t>份</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传送的备份投标文件需打包压缩并加密</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加密密码由投标人自行保管</w:t>
      </w:r>
      <w:r>
        <w:rPr>
          <w:rFonts w:hint="eastAsia" w:ascii="宋体" w:hAnsi="宋体" w:eastAsia="宋体" w:cs="宋体"/>
          <w:b/>
          <w:bCs/>
          <w:color w:val="auto"/>
          <w:sz w:val="22"/>
          <w:highlight w:val="none"/>
        </w:rPr>
        <w:t>，未加密导致投标信息泄露的风险由投标人自行承担</w:t>
      </w:r>
      <w:r>
        <w:rPr>
          <w:rStyle w:val="34"/>
          <w:rFonts w:hint="eastAsia" w:ascii="宋体" w:hAnsi="宋体" w:eastAsia="宋体" w:cs="宋体"/>
          <w:bCs/>
          <w:color w:val="auto"/>
          <w:sz w:val="22"/>
          <w:highlight w:val="none"/>
        </w:rPr>
        <w:t>。</w:t>
      </w:r>
      <w:r>
        <w:rPr>
          <w:rFonts w:hint="eastAsia" w:ascii="宋体" w:hAnsi="宋体" w:eastAsia="宋体" w:cs="宋体"/>
          <w:b/>
          <w:bCs/>
          <w:color w:val="auto"/>
          <w:sz w:val="22"/>
          <w:highlight w:val="none"/>
          <w:lang w:val="zh-CN"/>
        </w:rPr>
        <w:t>。</w:t>
      </w:r>
    </w:p>
    <w:p>
      <w:pPr>
        <w:spacing w:line="360" w:lineRule="exact"/>
        <w:ind w:firstLine="442" w:firstLineChars="200"/>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1.3 投标文件的效力</w:t>
      </w:r>
    </w:p>
    <w:p>
      <w:pPr>
        <w:spacing w:line="360" w:lineRule="exact"/>
        <w:ind w:firstLine="442" w:firstLineChars="200"/>
        <w:outlineLvl w:val="9"/>
        <w:rPr>
          <w:rFonts w:hint="eastAsia" w:ascii="宋体" w:hAnsi="宋体" w:eastAsia="宋体" w:cs="宋体"/>
          <w:b/>
          <w:bCs/>
          <w:color w:val="auto"/>
          <w:sz w:val="22"/>
          <w:highlight w:val="none"/>
          <w:lang w:val="zh-CN"/>
        </w:rPr>
      </w:pPr>
      <w:r>
        <w:rPr>
          <w:rFonts w:hint="eastAsia" w:ascii="宋体" w:hAnsi="宋体" w:eastAsia="宋体" w:cs="宋体"/>
          <w:b/>
          <w:bCs/>
          <w:color w:val="auto"/>
          <w:sz w:val="22"/>
          <w:highlight w:val="none"/>
          <w:lang w:val="zh-CN"/>
        </w:rPr>
        <w:t>投标文件的启用，按先后顺位分别为电子投标文件、以介质存储的数据电文形式的备份投标文件。在下一顺位的投标文件启用时，前一顺位的投标文件自动失效。</w:t>
      </w:r>
    </w:p>
    <w:p>
      <w:pPr>
        <w:spacing w:line="360" w:lineRule="exact"/>
        <w:ind w:firstLine="440" w:firstLineChars="200"/>
        <w:outlineLvl w:val="9"/>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2.投标人应认真阅读招标文件中所有事项格式、条款和技术规范等。</w:t>
      </w:r>
      <w:r>
        <w:rPr>
          <w:rFonts w:hint="eastAsia" w:ascii="宋体" w:hAnsi="宋体" w:eastAsia="宋体" w:cs="宋体"/>
          <w:bCs/>
          <w:color w:val="auto"/>
          <w:sz w:val="22"/>
          <w:highlight w:val="none"/>
          <w:u w:val="single"/>
        </w:rPr>
        <w:t>▲</w:t>
      </w:r>
      <w:r>
        <w:rPr>
          <w:rFonts w:hint="eastAsia" w:ascii="宋体" w:hAnsi="宋体" w:eastAsia="宋体" w:cs="宋体"/>
          <w:color w:val="auto"/>
          <w:sz w:val="22"/>
          <w:highlight w:val="none"/>
          <w:u w:val="single"/>
        </w:rPr>
        <w:t>投标人没有对招标文件各个方面做出实质性响应，导致投标被拒绝的风险由投标人自行承担。</w:t>
      </w:r>
    </w:p>
    <w:p>
      <w:pPr>
        <w:spacing w:line="360" w:lineRule="exact"/>
        <w:ind w:firstLine="440" w:firstLineChars="200"/>
        <w:outlineLvl w:val="9"/>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3.</w:t>
      </w:r>
      <w:r>
        <w:rPr>
          <w:rFonts w:hint="eastAsia" w:ascii="宋体" w:hAnsi="宋体" w:eastAsia="宋体" w:cs="宋体"/>
          <w:bCs/>
          <w:color w:val="auto"/>
          <w:sz w:val="22"/>
          <w:highlight w:val="none"/>
          <w:u w:val="single"/>
        </w:rPr>
        <w:t>▲</w:t>
      </w:r>
      <w:r>
        <w:rPr>
          <w:rFonts w:hint="eastAsia" w:ascii="宋体" w:hAnsi="宋体" w:eastAsia="宋体" w:cs="宋体"/>
          <w:color w:val="auto"/>
          <w:sz w:val="22"/>
          <w:highlight w:val="none"/>
          <w:u w:val="single"/>
        </w:rPr>
        <w:t>投标人应保证所提供文件资料的真实性，所有文件资料必须是针对本次投标的。如发现投标人提供了虚假文件资料，其投标将被拒绝，并自行承担相应的法律责任。</w:t>
      </w:r>
    </w:p>
    <w:p>
      <w:pPr>
        <w:spacing w:line="360" w:lineRule="exact"/>
        <w:ind w:firstLine="440" w:firstLineChars="200"/>
        <w:outlineLvl w:val="9"/>
        <w:rPr>
          <w:rFonts w:hint="eastAsia" w:ascii="宋体" w:hAnsi="宋体" w:eastAsia="宋体" w:cs="宋体"/>
          <w:b/>
          <w:color w:val="auto"/>
          <w:sz w:val="22"/>
          <w:highlight w:val="none"/>
        </w:rPr>
      </w:pPr>
      <w:r>
        <w:rPr>
          <w:rFonts w:hint="eastAsia" w:ascii="宋体" w:hAnsi="宋体" w:eastAsia="宋体" w:cs="宋体"/>
          <w:color w:val="auto"/>
          <w:sz w:val="22"/>
          <w:highlight w:val="none"/>
        </w:rPr>
        <w:t>4.投标文件的构成：</w:t>
      </w:r>
    </w:p>
    <w:p>
      <w:pPr>
        <w:spacing w:line="360" w:lineRule="exact"/>
        <w:ind w:firstLine="442" w:firstLineChars="200"/>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投标文件由“报价文件”、“资格文件”和“商务和技术文件”三部分组成，以下的“附件”，指的是第四部分 附件中的表格，其中电子投标文件中所须加盖电子签章部分均采用CA签章。</w:t>
      </w:r>
    </w:p>
    <w:p>
      <w:pPr>
        <w:spacing w:line="360" w:lineRule="exact"/>
        <w:ind w:firstLine="442" w:firstLineChars="200"/>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（1）报价文件</w:t>
      </w:r>
    </w:p>
    <w:p>
      <w:pPr>
        <w:tabs>
          <w:tab w:val="left" w:pos="5355"/>
        </w:tabs>
        <w:spacing w:line="360" w:lineRule="exact"/>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1）开标一览表；（见附件1）</w:t>
      </w:r>
    </w:p>
    <w:p>
      <w:pPr>
        <w:tabs>
          <w:tab w:val="left" w:pos="5355"/>
        </w:tabs>
        <w:spacing w:line="360" w:lineRule="exact"/>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2）报价明细表；（见附件2）</w:t>
      </w:r>
    </w:p>
    <w:p>
      <w:pPr>
        <w:tabs>
          <w:tab w:val="left" w:pos="5355"/>
        </w:tabs>
        <w:spacing w:line="360" w:lineRule="exact"/>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3）投标报价部分其他内容（如有，格式自拟）。</w:t>
      </w:r>
    </w:p>
    <w:p>
      <w:pPr>
        <w:tabs>
          <w:tab w:val="left" w:pos="5355"/>
        </w:tabs>
        <w:spacing w:line="360" w:lineRule="exact"/>
        <w:ind w:firstLine="442" w:firstLineChars="200"/>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（2）资格文件：（见</w:t>
      </w:r>
      <w:r>
        <w:rPr>
          <w:rFonts w:hint="eastAsia" w:ascii="宋体" w:hAnsi="宋体" w:eastAsia="宋体" w:cs="宋体"/>
          <w:b/>
          <w:bCs/>
          <w:color w:val="auto"/>
          <w:sz w:val="22"/>
          <w:highlight w:val="none"/>
          <w:lang w:eastAsia="zh-CN"/>
        </w:rPr>
        <w:t>附件3</w:t>
      </w:r>
      <w:r>
        <w:rPr>
          <w:rFonts w:hint="eastAsia" w:ascii="宋体" w:hAnsi="宋体" w:eastAsia="宋体" w:cs="宋体"/>
          <w:b/>
          <w:bCs/>
          <w:color w:val="auto"/>
          <w:sz w:val="2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18" w:firstLineChars="200"/>
        <w:textAlignment w:val="bottom"/>
        <w:outlineLvl w:val="9"/>
        <w:rPr>
          <w:rFonts w:hint="eastAsia" w:ascii="宋体" w:hAnsi="宋体" w:eastAsia="宋体" w:cs="宋体"/>
          <w:b/>
          <w:bCs/>
          <w:color w:val="auto"/>
          <w:sz w:val="22"/>
          <w:highlight w:val="none"/>
          <w:u w:val="single"/>
        </w:rPr>
      </w:pPr>
      <w:r>
        <w:rPr>
          <w:rFonts w:hint="eastAsia" w:ascii="宋体" w:hAnsi="宋体" w:eastAsia="宋体" w:cs="宋体"/>
          <w:b/>
          <w:bCs/>
          <w:color w:val="auto"/>
          <w:spacing w:val="-6"/>
          <w:sz w:val="22"/>
          <w:highlight w:val="none"/>
        </w:rPr>
        <w:t>1）</w:t>
      </w:r>
      <w:r>
        <w:rPr>
          <w:rFonts w:hint="eastAsia" w:ascii="宋体" w:hAnsi="宋体" w:eastAsia="宋体" w:cs="宋体"/>
          <w:snapToGrid w:val="0"/>
          <w:color w:val="auto"/>
          <w:sz w:val="22"/>
          <w:highlight w:val="none"/>
        </w:rPr>
        <w:t>有效的法人或者其他组织的营业执照等证明文件，自然人的身份证明（五选一）</w:t>
      </w:r>
      <w:r>
        <w:rPr>
          <w:rFonts w:hint="eastAsia" w:ascii="宋体" w:hAnsi="宋体" w:eastAsia="宋体" w:cs="宋体"/>
          <w:color w:val="auto"/>
          <w:sz w:val="22"/>
          <w:highlight w:val="none"/>
        </w:rPr>
        <w:t>（见</w:t>
      </w:r>
      <w:r>
        <w:rPr>
          <w:rFonts w:hint="eastAsia" w:ascii="宋体" w:hAnsi="宋体" w:eastAsia="宋体" w:cs="宋体"/>
          <w:color w:val="auto"/>
          <w:sz w:val="22"/>
          <w:highlight w:val="none"/>
          <w:lang w:eastAsia="zh-CN"/>
        </w:rPr>
        <w:t>附件3</w:t>
      </w:r>
      <w:r>
        <w:rPr>
          <w:rFonts w:hint="eastAsia" w:ascii="宋体" w:hAnsi="宋体" w:eastAsia="宋体" w:cs="宋体"/>
          <w:color w:val="auto"/>
          <w:sz w:val="22"/>
          <w:highlight w:val="none"/>
        </w:rPr>
        <w:t>-1）</w:t>
      </w:r>
      <w:r>
        <w:rPr>
          <w:rFonts w:hint="eastAsia" w:ascii="宋体" w:hAnsi="宋体" w:eastAsia="宋体" w:cs="宋体"/>
          <w:b/>
          <w:bCs/>
          <w:color w:val="auto"/>
          <w:sz w:val="22"/>
          <w:highlight w:val="none"/>
          <w:u w:val="single"/>
        </w:rPr>
        <w:t>（如为联合体投标，则联合体各方均须提供）</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16" w:firstLineChars="200"/>
        <w:textAlignment w:val="bottom"/>
        <w:outlineLvl w:val="9"/>
        <w:rPr>
          <w:rFonts w:hint="eastAsia" w:ascii="宋体" w:hAnsi="宋体" w:eastAsia="宋体" w:cs="宋体"/>
          <w:b/>
          <w:bCs/>
          <w:color w:val="auto"/>
          <w:sz w:val="22"/>
          <w:highlight w:val="none"/>
          <w:u w:val="single"/>
        </w:rPr>
      </w:pPr>
      <w:r>
        <w:rPr>
          <w:rFonts w:hint="eastAsia" w:ascii="宋体" w:hAnsi="宋体" w:eastAsia="宋体" w:cs="宋体"/>
          <w:color w:val="auto"/>
          <w:spacing w:val="-6"/>
          <w:sz w:val="22"/>
          <w:highlight w:val="none"/>
        </w:rPr>
        <w:t>2）</w:t>
      </w:r>
      <w:r>
        <w:rPr>
          <w:rFonts w:hint="eastAsia" w:ascii="宋体" w:hAnsi="宋体" w:eastAsia="宋体" w:cs="宋体"/>
          <w:snapToGrid w:val="0"/>
          <w:color w:val="auto"/>
          <w:sz w:val="22"/>
          <w:highlight w:val="none"/>
        </w:rPr>
        <w:t>关于符合《中华人民共和国政府采购法》第二十二条规定的承诺函</w:t>
      </w:r>
      <w:r>
        <w:rPr>
          <w:rFonts w:hint="eastAsia" w:ascii="宋体" w:hAnsi="宋体" w:eastAsia="宋体" w:cs="宋体"/>
          <w:color w:val="auto"/>
          <w:sz w:val="22"/>
          <w:highlight w:val="none"/>
        </w:rPr>
        <w:t>（见</w:t>
      </w:r>
      <w:r>
        <w:rPr>
          <w:rFonts w:hint="eastAsia" w:ascii="宋体" w:hAnsi="宋体" w:eastAsia="宋体" w:cs="宋体"/>
          <w:color w:val="auto"/>
          <w:sz w:val="22"/>
          <w:highlight w:val="none"/>
          <w:lang w:eastAsia="zh-CN"/>
        </w:rPr>
        <w:t>附件3</w:t>
      </w:r>
      <w:r>
        <w:rPr>
          <w:rFonts w:hint="eastAsia" w:ascii="宋体" w:hAnsi="宋体" w:eastAsia="宋体" w:cs="宋体"/>
          <w:color w:val="auto"/>
          <w:sz w:val="22"/>
          <w:highlight w:val="none"/>
        </w:rPr>
        <w:t>-2）</w:t>
      </w:r>
      <w:r>
        <w:rPr>
          <w:rFonts w:hint="eastAsia" w:ascii="宋体" w:hAnsi="宋体" w:eastAsia="宋体" w:cs="宋体"/>
          <w:b/>
          <w:bCs/>
          <w:color w:val="auto"/>
          <w:sz w:val="22"/>
          <w:highlight w:val="none"/>
          <w:u w:val="single"/>
        </w:rPr>
        <w:t>（如为联合体投标，则联合体各方均须提供，并各自加盖公章）</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40" w:firstLineChars="200"/>
        <w:textAlignment w:val="bottom"/>
        <w:outlineLvl w:val="9"/>
        <w:rPr>
          <w:rFonts w:hint="eastAsia" w:ascii="宋体" w:hAnsi="宋体" w:eastAsia="宋体" w:cs="宋体"/>
          <w:b w:val="0"/>
          <w:bCs w:val="0"/>
          <w:color w:val="auto"/>
          <w:sz w:val="22"/>
          <w:highlight w:val="none"/>
          <w:u w:val="none"/>
          <w:lang w:val="en-US" w:eastAsia="zh-CN"/>
        </w:rPr>
      </w:pPr>
      <w:r>
        <w:rPr>
          <w:rFonts w:hint="eastAsia" w:ascii="宋体" w:hAnsi="宋体" w:eastAsia="宋体" w:cs="宋体"/>
          <w:b w:val="0"/>
          <w:bCs w:val="0"/>
          <w:color w:val="auto"/>
          <w:sz w:val="22"/>
          <w:highlight w:val="none"/>
          <w:u w:val="none"/>
          <w:lang w:val="en-US" w:eastAsia="zh-CN"/>
        </w:rPr>
        <w:t>3）</w:t>
      </w:r>
      <w:r>
        <w:rPr>
          <w:rFonts w:hint="eastAsia" w:ascii="宋体" w:hAnsi="宋体" w:eastAsia="宋体" w:cs="宋体"/>
          <w:color w:val="auto"/>
          <w:sz w:val="22"/>
          <w:szCs w:val="22"/>
          <w:highlight w:val="none"/>
        </w:rPr>
        <w:t>落实政府采购政策需满足的资格要求</w:t>
      </w:r>
      <w:r>
        <w:rPr>
          <w:rFonts w:hint="eastAsia" w:ascii="宋体" w:hAnsi="宋体" w:eastAsia="宋体" w:cs="宋体"/>
          <w:snapToGrid w:val="0"/>
          <w:color w:val="auto"/>
          <w:sz w:val="22"/>
          <w:highlight w:val="none"/>
        </w:rPr>
        <w:t>（见</w:t>
      </w:r>
      <w:r>
        <w:rPr>
          <w:rFonts w:hint="eastAsia" w:ascii="宋体" w:hAnsi="宋体" w:eastAsia="宋体" w:cs="宋体"/>
          <w:snapToGrid w:val="0"/>
          <w:color w:val="auto"/>
          <w:sz w:val="22"/>
          <w:highlight w:val="none"/>
          <w:lang w:eastAsia="zh-CN"/>
        </w:rPr>
        <w:t>附件3</w:t>
      </w:r>
      <w:r>
        <w:rPr>
          <w:rFonts w:hint="eastAsia" w:ascii="宋体" w:hAnsi="宋体" w:eastAsia="宋体" w:cs="宋体"/>
          <w:snapToGrid w:val="0"/>
          <w:color w:val="auto"/>
          <w:sz w:val="22"/>
          <w:highlight w:val="none"/>
        </w:rPr>
        <w:t>-</w:t>
      </w:r>
      <w:r>
        <w:rPr>
          <w:rFonts w:hint="eastAsia" w:ascii="宋体" w:hAnsi="宋体" w:eastAsia="宋体" w:cs="宋体"/>
          <w:snapToGrid w:val="0"/>
          <w:color w:val="auto"/>
          <w:sz w:val="22"/>
          <w:highlight w:val="none"/>
          <w:lang w:val="en-US" w:eastAsia="zh-CN"/>
        </w:rPr>
        <w:t>3</w:t>
      </w:r>
      <w:r>
        <w:rPr>
          <w:rFonts w:hint="eastAsia" w:ascii="宋体" w:hAnsi="宋体" w:eastAsia="宋体" w:cs="宋体"/>
          <w:snapToGrid w:val="0"/>
          <w:color w:val="auto"/>
          <w:sz w:val="22"/>
          <w:highlight w:val="none"/>
        </w:rPr>
        <w:t>）</w:t>
      </w:r>
      <w:r>
        <w:rPr>
          <w:rFonts w:hint="eastAsia" w:ascii="宋体" w:hAnsi="宋体" w:eastAsia="宋体" w:cs="宋体"/>
          <w:color w:val="auto"/>
          <w:sz w:val="22"/>
          <w:szCs w:val="22"/>
          <w:highlight w:val="none"/>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line="360" w:lineRule="exact"/>
        <w:ind w:left="0" w:leftChars="0" w:firstLine="400" w:firstLineChars="0"/>
        <w:textAlignment w:val="bottom"/>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中小企业声明函；</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line="360" w:lineRule="exact"/>
        <w:ind w:left="0" w:leftChars="0" w:firstLine="400" w:firstLineChars="0"/>
        <w:textAlignment w:val="bottom"/>
        <w:outlineLvl w:val="9"/>
        <w:rPr>
          <w:rFonts w:hint="eastAsia" w:ascii="宋体" w:hAnsi="宋体" w:eastAsia="宋体" w:cs="宋体"/>
          <w:b/>
          <w:bCs/>
          <w:color w:val="auto"/>
          <w:sz w:val="22"/>
          <w:highlight w:val="none"/>
          <w:u w:val="single"/>
        </w:rPr>
      </w:pPr>
      <w:r>
        <w:rPr>
          <w:rFonts w:hint="eastAsia" w:ascii="宋体" w:hAnsi="宋体" w:eastAsia="宋体" w:cs="宋体"/>
          <w:color w:val="auto"/>
          <w:sz w:val="22"/>
          <w:highlight w:val="none"/>
        </w:rPr>
        <w:t>联合体投标协议书；</w:t>
      </w:r>
      <w:r>
        <w:rPr>
          <w:rFonts w:hint="eastAsia" w:ascii="宋体" w:hAnsi="宋体" w:eastAsia="宋体" w:cs="宋体"/>
          <w:b/>
          <w:bCs/>
          <w:color w:val="auto"/>
          <w:sz w:val="22"/>
          <w:highlight w:val="none"/>
          <w:u w:val="single"/>
        </w:rPr>
        <w:t>(以联合体形式投标的提供联合</w:t>
      </w:r>
      <w:r>
        <w:rPr>
          <w:rFonts w:hint="eastAsia" w:ascii="宋体" w:hAnsi="宋体" w:eastAsia="宋体" w:cs="宋体"/>
          <w:b/>
          <w:bCs/>
          <w:color w:val="auto"/>
          <w:sz w:val="22"/>
          <w:highlight w:val="none"/>
          <w:u w:val="single"/>
          <w:lang w:val="en-US" w:eastAsia="zh-CN"/>
        </w:rPr>
        <w:t>投标</w:t>
      </w:r>
      <w:r>
        <w:rPr>
          <w:rFonts w:hint="eastAsia" w:ascii="宋体" w:hAnsi="宋体" w:eastAsia="宋体" w:cs="宋体"/>
          <w:b/>
          <w:bCs/>
          <w:color w:val="auto"/>
          <w:sz w:val="22"/>
          <w:highlight w:val="none"/>
          <w:u w:val="single"/>
        </w:rPr>
        <w:t>协议</w:t>
      </w:r>
      <w:r>
        <w:rPr>
          <w:rFonts w:hint="eastAsia" w:ascii="宋体" w:hAnsi="宋体" w:eastAsia="宋体" w:cs="宋体"/>
          <w:b/>
          <w:bCs/>
          <w:color w:val="auto"/>
          <w:sz w:val="22"/>
          <w:highlight w:val="none"/>
          <w:u w:val="single"/>
          <w:lang w:val="en-US" w:eastAsia="zh-CN"/>
        </w:rPr>
        <w:t>，</w:t>
      </w:r>
      <w:r>
        <w:rPr>
          <w:rFonts w:hint="eastAsia" w:ascii="宋体" w:hAnsi="宋体" w:eastAsia="宋体" w:cs="宋体"/>
          <w:b/>
          <w:bCs/>
          <w:color w:val="auto"/>
          <w:sz w:val="22"/>
          <w:highlight w:val="none"/>
          <w:u w:val="single"/>
        </w:rPr>
        <w:t>项目不接受联合体投标或投标人不以联合体形式投标的则不需要提供）</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line="360" w:lineRule="exact"/>
        <w:ind w:left="0" w:leftChars="0" w:firstLine="400" w:firstLineChars="0"/>
        <w:textAlignment w:val="bottom"/>
        <w:outlineLvl w:val="9"/>
        <w:rPr>
          <w:rFonts w:hint="eastAsia" w:ascii="宋体" w:hAnsi="宋体" w:eastAsia="宋体" w:cs="宋体"/>
          <w:color w:val="auto"/>
          <w:sz w:val="22"/>
          <w:highlight w:val="none"/>
        </w:rPr>
      </w:pPr>
      <w:r>
        <w:rPr>
          <w:rFonts w:hint="eastAsia" w:ascii="宋体" w:hAnsi="宋体" w:eastAsia="宋体" w:cs="宋体"/>
          <w:color w:val="auto"/>
          <w:kern w:val="2"/>
          <w:sz w:val="22"/>
          <w:szCs w:val="22"/>
          <w:highlight w:val="none"/>
          <w:lang w:val="en-US" w:eastAsia="zh-CN" w:bidi="ar-SA"/>
        </w:rPr>
        <w:t>分包意向协议</w:t>
      </w:r>
      <w:r>
        <w:rPr>
          <w:rFonts w:hint="eastAsia" w:ascii="宋体" w:hAnsi="宋体" w:eastAsia="宋体" w:cs="宋体"/>
          <w:color w:val="auto"/>
          <w:sz w:val="22"/>
          <w:highlight w:val="none"/>
        </w:rPr>
        <w:t>；</w:t>
      </w:r>
      <w:r>
        <w:rPr>
          <w:rFonts w:hint="eastAsia" w:ascii="宋体" w:hAnsi="宋体" w:eastAsia="宋体" w:cs="宋体"/>
          <w:b/>
          <w:bCs/>
          <w:color w:val="auto"/>
          <w:sz w:val="22"/>
          <w:highlight w:val="none"/>
          <w:u w:val="single"/>
        </w:rPr>
        <w:t>(中标后以分包方式履行合同的提供分包意向协议</w:t>
      </w:r>
      <w:r>
        <w:rPr>
          <w:rFonts w:hint="eastAsia" w:ascii="宋体" w:hAnsi="宋体" w:eastAsia="宋体" w:cs="宋体"/>
          <w:b/>
          <w:bCs/>
          <w:color w:val="auto"/>
          <w:sz w:val="22"/>
          <w:highlight w:val="none"/>
          <w:u w:val="single"/>
          <w:lang w:eastAsia="zh-CN"/>
        </w:rPr>
        <w:t>，</w:t>
      </w:r>
      <w:r>
        <w:rPr>
          <w:rFonts w:hint="eastAsia" w:ascii="宋体" w:hAnsi="宋体" w:eastAsia="宋体" w:cs="宋体"/>
          <w:b/>
          <w:bCs/>
          <w:color w:val="auto"/>
          <w:sz w:val="22"/>
          <w:highlight w:val="none"/>
          <w:u w:val="single"/>
        </w:rPr>
        <w:t>采购人不同意分包或中标后不以分包方式履行合同的则不需要提供）</w:t>
      </w:r>
    </w:p>
    <w:p>
      <w:pPr>
        <w:keepNext w:val="0"/>
        <w:keepLines w:val="0"/>
        <w:pageBreakBefore w:val="0"/>
        <w:widowControl w:val="0"/>
        <w:kinsoku/>
        <w:wordWrap/>
        <w:overflowPunct/>
        <w:topLinePunct w:val="0"/>
        <w:bidi w:val="0"/>
        <w:spacing w:line="360" w:lineRule="exact"/>
        <w:ind w:left="0" w:firstLine="440" w:firstLineChars="200"/>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2"/>
          <w:highlight w:val="none"/>
          <w:lang w:val="en-US" w:eastAsia="zh-CN"/>
        </w:rPr>
        <w:t>4）</w:t>
      </w:r>
      <w:r>
        <w:rPr>
          <w:rFonts w:hint="eastAsia" w:ascii="宋体" w:hAnsi="宋体" w:eastAsia="宋体" w:cs="宋体"/>
          <w:color w:val="auto"/>
          <w:kern w:val="2"/>
          <w:sz w:val="22"/>
          <w:szCs w:val="22"/>
          <w:highlight w:val="none"/>
          <w:lang w:val="en-US" w:eastAsia="zh-CN" w:bidi="ar-SA"/>
        </w:rPr>
        <w:t>特定资格要求证明材料</w:t>
      </w:r>
      <w:r>
        <w:rPr>
          <w:rFonts w:hint="eastAsia" w:ascii="宋体" w:hAnsi="宋体" w:eastAsia="宋体" w:cs="宋体"/>
          <w:b/>
          <w:bCs/>
          <w:color w:val="auto"/>
          <w:sz w:val="22"/>
          <w:highlight w:val="none"/>
          <w:u w:val="single"/>
        </w:rPr>
        <w:t>（根据招标公告本项目的特定资格要求提供相应的材料）</w:t>
      </w:r>
      <w:r>
        <w:rPr>
          <w:rFonts w:hint="eastAsia" w:ascii="宋体" w:hAnsi="宋体" w:eastAsia="宋体" w:cs="宋体"/>
          <w:color w:val="auto"/>
          <w:highlight w:val="none"/>
          <w:lang w:val="en-US" w:eastAsia="zh-CN"/>
        </w:rPr>
        <w:t>。</w:t>
      </w:r>
    </w:p>
    <w:p>
      <w:pPr>
        <w:spacing w:line="360" w:lineRule="exact"/>
        <w:ind w:firstLine="442" w:firstLineChars="200"/>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（3）商务和技术文件</w:t>
      </w:r>
    </w:p>
    <w:p>
      <w:pPr>
        <w:spacing w:line="360" w:lineRule="exact"/>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1）评分索引表（见</w:t>
      </w:r>
      <w:r>
        <w:rPr>
          <w:rFonts w:hint="eastAsia" w:ascii="宋体" w:hAnsi="宋体" w:eastAsia="宋体" w:cs="宋体"/>
          <w:color w:val="auto"/>
          <w:sz w:val="22"/>
          <w:highlight w:val="none"/>
          <w:lang w:eastAsia="zh-CN"/>
        </w:rPr>
        <w:t>附件4</w:t>
      </w:r>
      <w:r>
        <w:rPr>
          <w:rFonts w:hint="eastAsia" w:ascii="宋体" w:hAnsi="宋体" w:eastAsia="宋体" w:cs="宋体"/>
          <w:color w:val="auto"/>
          <w:sz w:val="22"/>
          <w:highlight w:val="none"/>
        </w:rPr>
        <w:t>）</w:t>
      </w:r>
    </w:p>
    <w:p>
      <w:pPr>
        <w:spacing w:line="360" w:lineRule="exact"/>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2）法定代表人资格证明书/法定代表人授权委托书；（见</w:t>
      </w:r>
      <w:r>
        <w:rPr>
          <w:rFonts w:hint="eastAsia" w:ascii="宋体" w:hAnsi="宋体" w:eastAsia="宋体" w:cs="宋体"/>
          <w:color w:val="auto"/>
          <w:sz w:val="22"/>
          <w:highlight w:val="none"/>
          <w:lang w:eastAsia="zh-CN"/>
        </w:rPr>
        <w:t>附件5</w:t>
      </w:r>
      <w:r>
        <w:rPr>
          <w:rFonts w:hint="eastAsia" w:ascii="宋体" w:hAnsi="宋体" w:eastAsia="宋体" w:cs="宋体"/>
          <w:color w:val="auto"/>
          <w:sz w:val="22"/>
          <w:highlight w:val="none"/>
        </w:rPr>
        <w:t>）</w:t>
      </w:r>
    </w:p>
    <w:p>
      <w:pPr>
        <w:spacing w:line="360" w:lineRule="exact"/>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3）投标函（见</w:t>
      </w:r>
      <w:r>
        <w:rPr>
          <w:rFonts w:hint="eastAsia" w:ascii="宋体" w:hAnsi="宋体" w:eastAsia="宋体" w:cs="宋体"/>
          <w:color w:val="auto"/>
          <w:sz w:val="22"/>
          <w:highlight w:val="none"/>
          <w:lang w:eastAsia="zh-CN"/>
        </w:rPr>
        <w:t>附件6</w:t>
      </w:r>
      <w:r>
        <w:rPr>
          <w:rFonts w:hint="eastAsia" w:ascii="宋体" w:hAnsi="宋体" w:eastAsia="宋体" w:cs="宋体"/>
          <w:color w:val="auto"/>
          <w:sz w:val="22"/>
          <w:highlight w:val="none"/>
        </w:rPr>
        <w:t>）</w:t>
      </w:r>
    </w:p>
    <w:p>
      <w:pPr>
        <w:spacing w:line="360" w:lineRule="exact"/>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4）投标声明书（见</w:t>
      </w:r>
      <w:r>
        <w:rPr>
          <w:rFonts w:hint="eastAsia" w:ascii="宋体" w:hAnsi="宋体" w:eastAsia="宋体" w:cs="宋体"/>
          <w:color w:val="auto"/>
          <w:sz w:val="22"/>
          <w:highlight w:val="none"/>
          <w:lang w:eastAsia="zh-CN"/>
        </w:rPr>
        <w:t>附件7</w:t>
      </w:r>
      <w:r>
        <w:rPr>
          <w:rFonts w:hint="eastAsia" w:ascii="宋体" w:hAnsi="宋体" w:eastAsia="宋体" w:cs="宋体"/>
          <w:color w:val="auto"/>
          <w:sz w:val="22"/>
          <w:highlight w:val="none"/>
        </w:rPr>
        <w:t xml:space="preserve">）  </w:t>
      </w:r>
    </w:p>
    <w:p>
      <w:pPr>
        <w:spacing w:line="360" w:lineRule="exact"/>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5）投标人基本情况表（见</w:t>
      </w:r>
      <w:r>
        <w:rPr>
          <w:rFonts w:hint="eastAsia" w:ascii="宋体" w:hAnsi="宋体" w:eastAsia="宋体" w:cs="宋体"/>
          <w:color w:val="auto"/>
          <w:sz w:val="22"/>
          <w:highlight w:val="none"/>
          <w:lang w:eastAsia="zh-CN"/>
        </w:rPr>
        <w:t>附件8</w:t>
      </w:r>
      <w:r>
        <w:rPr>
          <w:rFonts w:hint="eastAsia" w:ascii="宋体" w:hAnsi="宋体" w:eastAsia="宋体" w:cs="宋体"/>
          <w:color w:val="auto"/>
          <w:sz w:val="22"/>
          <w:highlight w:val="none"/>
        </w:rPr>
        <w:t xml:space="preserve">）                </w:t>
      </w:r>
    </w:p>
    <w:p>
      <w:pPr>
        <w:numPr>
          <w:ilvl w:val="0"/>
          <w:numId w:val="5"/>
        </w:numPr>
        <w:spacing w:line="360" w:lineRule="exact"/>
        <w:ind w:left="-20" w:leftChars="0" w:firstLine="440" w:firstLineChars="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投标人同类项目业绩一览表（如有）（见</w:t>
      </w:r>
      <w:r>
        <w:rPr>
          <w:rFonts w:hint="eastAsia" w:ascii="宋体" w:hAnsi="宋体" w:eastAsia="宋体" w:cs="宋体"/>
          <w:color w:val="auto"/>
          <w:sz w:val="22"/>
          <w:highlight w:val="none"/>
          <w:lang w:eastAsia="zh-CN"/>
        </w:rPr>
        <w:t>附件9</w:t>
      </w:r>
      <w:r>
        <w:rPr>
          <w:rFonts w:hint="eastAsia" w:ascii="宋体" w:hAnsi="宋体" w:eastAsia="宋体" w:cs="宋体"/>
          <w:color w:val="auto"/>
          <w:sz w:val="22"/>
          <w:highlight w:val="none"/>
        </w:rPr>
        <w:t>）；</w:t>
      </w:r>
    </w:p>
    <w:p>
      <w:pPr>
        <w:numPr>
          <w:ilvl w:val="0"/>
          <w:numId w:val="5"/>
        </w:numPr>
        <w:spacing w:line="360" w:lineRule="exact"/>
        <w:ind w:left="-20" w:leftChars="0" w:firstLine="440" w:firstLineChars="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采购需求偏离表（见</w:t>
      </w:r>
      <w:r>
        <w:rPr>
          <w:rFonts w:hint="eastAsia" w:ascii="宋体" w:hAnsi="宋体" w:eastAsia="宋体" w:cs="宋体"/>
          <w:color w:val="auto"/>
          <w:sz w:val="22"/>
          <w:highlight w:val="none"/>
          <w:lang w:eastAsia="zh-CN"/>
        </w:rPr>
        <w:t>附件10</w:t>
      </w:r>
      <w:r>
        <w:rPr>
          <w:rFonts w:hint="eastAsia" w:ascii="宋体" w:hAnsi="宋体" w:eastAsia="宋体" w:cs="宋体"/>
          <w:color w:val="auto"/>
          <w:sz w:val="22"/>
          <w:highlight w:val="none"/>
        </w:rPr>
        <w:t>）；</w:t>
      </w:r>
    </w:p>
    <w:p>
      <w:pPr>
        <w:numPr>
          <w:ilvl w:val="0"/>
          <w:numId w:val="5"/>
        </w:numPr>
        <w:spacing w:line="360" w:lineRule="exact"/>
        <w:ind w:left="-20" w:leftChars="0" w:firstLine="440" w:firstLineChars="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政府采购活动现场确认声明书（见</w:t>
      </w:r>
      <w:r>
        <w:rPr>
          <w:rFonts w:hint="eastAsia" w:ascii="宋体" w:hAnsi="宋体" w:eastAsia="宋体" w:cs="宋体"/>
          <w:color w:val="auto"/>
          <w:sz w:val="22"/>
          <w:highlight w:val="none"/>
          <w:lang w:eastAsia="zh-CN"/>
        </w:rPr>
        <w:t>附件11</w:t>
      </w:r>
      <w:r>
        <w:rPr>
          <w:rFonts w:hint="eastAsia" w:ascii="宋体" w:hAnsi="宋体" w:eastAsia="宋体" w:cs="宋体"/>
          <w:color w:val="auto"/>
          <w:sz w:val="22"/>
          <w:highlight w:val="none"/>
        </w:rPr>
        <w:t>）；</w:t>
      </w:r>
    </w:p>
    <w:p>
      <w:pPr>
        <w:numPr>
          <w:ilvl w:val="0"/>
          <w:numId w:val="5"/>
        </w:numPr>
        <w:spacing w:line="360" w:lineRule="exact"/>
        <w:ind w:left="-20" w:leftChars="0" w:firstLine="440" w:firstLineChars="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项目组成员一览表（见</w:t>
      </w:r>
      <w:r>
        <w:rPr>
          <w:rFonts w:hint="eastAsia" w:ascii="宋体" w:hAnsi="宋体" w:eastAsia="宋体" w:cs="宋体"/>
          <w:color w:val="auto"/>
          <w:sz w:val="22"/>
          <w:highlight w:val="none"/>
          <w:lang w:eastAsia="zh-CN"/>
        </w:rPr>
        <w:t>附件12</w:t>
      </w:r>
      <w:r>
        <w:rPr>
          <w:rFonts w:hint="eastAsia" w:ascii="宋体" w:hAnsi="宋体" w:eastAsia="宋体" w:cs="宋体"/>
          <w:color w:val="auto"/>
          <w:sz w:val="22"/>
          <w:highlight w:val="none"/>
        </w:rPr>
        <w:t>）；</w:t>
      </w:r>
    </w:p>
    <w:p>
      <w:pPr>
        <w:numPr>
          <w:ilvl w:val="0"/>
          <w:numId w:val="5"/>
        </w:numPr>
        <w:spacing w:line="360" w:lineRule="exact"/>
        <w:ind w:left="-20" w:leftChars="0" w:firstLine="440" w:firstLineChars="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承诺函（见</w:t>
      </w:r>
      <w:r>
        <w:rPr>
          <w:rFonts w:hint="eastAsia" w:ascii="宋体" w:hAnsi="宋体" w:eastAsia="宋体" w:cs="宋体"/>
          <w:color w:val="auto"/>
          <w:sz w:val="22"/>
          <w:highlight w:val="none"/>
          <w:lang w:eastAsia="zh-CN"/>
        </w:rPr>
        <w:t>附件13</w:t>
      </w:r>
      <w:r>
        <w:rPr>
          <w:rFonts w:hint="eastAsia" w:ascii="宋体" w:hAnsi="宋体" w:eastAsia="宋体" w:cs="宋体"/>
          <w:color w:val="auto"/>
          <w:sz w:val="22"/>
          <w:highlight w:val="none"/>
        </w:rPr>
        <w:t>）；</w:t>
      </w:r>
    </w:p>
    <w:p>
      <w:pPr>
        <w:numPr>
          <w:ilvl w:val="0"/>
          <w:numId w:val="5"/>
        </w:numPr>
        <w:spacing w:line="360" w:lineRule="exact"/>
        <w:ind w:left="-20" w:leftChars="0" w:firstLine="440" w:firstLineChars="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投标人需要说明的其他文件和说明（格式自拟）。</w:t>
      </w:r>
    </w:p>
    <w:p>
      <w:pPr>
        <w:spacing w:line="360" w:lineRule="exact"/>
        <w:ind w:firstLine="442" w:firstLineChars="200"/>
        <w:outlineLvl w:val="9"/>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以上内容按照招标文件第四部分附件所附格式填写，相关证书、报告等</w:t>
      </w:r>
      <w:r>
        <w:rPr>
          <w:rFonts w:hint="eastAsia" w:ascii="宋体" w:hAnsi="宋体" w:eastAsia="宋体" w:cs="宋体"/>
          <w:b/>
          <w:bCs/>
          <w:color w:val="auto"/>
          <w:spacing w:val="-6"/>
          <w:sz w:val="22"/>
          <w:highlight w:val="none"/>
        </w:rPr>
        <w:t>如遇年检或换证等特殊情况须按要求提供相应的证明材料</w:t>
      </w:r>
      <w:r>
        <w:rPr>
          <w:rFonts w:hint="eastAsia" w:ascii="宋体" w:hAnsi="宋体" w:eastAsia="宋体" w:cs="宋体"/>
          <w:b/>
          <w:bCs/>
          <w:color w:val="auto"/>
          <w:sz w:val="22"/>
          <w:highlight w:val="none"/>
        </w:rPr>
        <w:t>。没有提供格式的，投标人根据实际情况自行编制。</w:t>
      </w:r>
    </w:p>
    <w:p>
      <w:pPr>
        <w:spacing w:line="360" w:lineRule="exact"/>
        <w:ind w:firstLine="442" w:firstLineChars="200"/>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投标人可在招标文件中对招标货物的技术规格和要求选用替代标准，但这些替代标准必须相等于或优于招标文件中提出的相应要求，并使采购人满意。同时在采购需求偏离表中作出详细说明。</w:t>
      </w:r>
    </w:p>
    <w:p>
      <w:pPr>
        <w:pStyle w:val="15"/>
        <w:spacing w:line="360" w:lineRule="exact"/>
        <w:ind w:firstLine="442" w:firstLineChars="200"/>
        <w:outlineLvl w:val="9"/>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5.投标文件格式</w:t>
      </w:r>
    </w:p>
    <w:p>
      <w:pPr>
        <w:tabs>
          <w:tab w:val="left" w:pos="-180"/>
          <w:tab w:val="left" w:pos="180"/>
          <w:tab w:val="left" w:pos="360"/>
        </w:tabs>
        <w:spacing w:line="360" w:lineRule="exact"/>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5.1投标文件须包括本须知第4条中规定的全部内容，投标人不按招标文件的要求提供的投标文件和资料将视为没有对招标文件作实质性响应，其投标将被拒绝，其风险由投标人自行承担。</w:t>
      </w:r>
    </w:p>
    <w:p>
      <w:pPr>
        <w:tabs>
          <w:tab w:val="left" w:pos="-180"/>
          <w:tab w:val="left" w:pos="180"/>
          <w:tab w:val="left" w:pos="360"/>
        </w:tabs>
        <w:spacing w:line="360" w:lineRule="exact"/>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5"/>
        <w:spacing w:line="360" w:lineRule="exact"/>
        <w:ind w:firstLine="442" w:firstLineChars="200"/>
        <w:outlineLvl w:val="9"/>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6.投标文件编制要求</w:t>
      </w:r>
    </w:p>
    <w:p>
      <w:pPr>
        <w:tabs>
          <w:tab w:val="left" w:pos="-180"/>
          <w:tab w:val="left" w:pos="180"/>
          <w:tab w:val="left" w:pos="360"/>
        </w:tabs>
        <w:spacing w:line="360" w:lineRule="exact"/>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6.1</w:t>
      </w:r>
      <w:r>
        <w:rPr>
          <w:rFonts w:hint="eastAsia" w:ascii="宋体" w:hAnsi="宋体" w:eastAsia="宋体" w:cs="宋体"/>
          <w:b/>
          <w:bCs/>
          <w:color w:val="auto"/>
          <w:sz w:val="22"/>
          <w:highlight w:val="none"/>
        </w:rPr>
        <w:t>投标人应根据电子投标操作指南按本招标文件规定的格式和顺序编制电子投标文件并进行关联定位</w:t>
      </w:r>
      <w:r>
        <w:rPr>
          <w:rFonts w:hint="eastAsia" w:ascii="宋体" w:hAnsi="宋体" w:eastAsia="宋体" w:cs="宋体"/>
          <w:color w:val="auto"/>
          <w:sz w:val="22"/>
          <w:highlight w:val="none"/>
        </w:rPr>
        <w:t>。</w:t>
      </w:r>
    </w:p>
    <w:p>
      <w:pPr>
        <w:tabs>
          <w:tab w:val="left" w:pos="-180"/>
          <w:tab w:val="left" w:pos="180"/>
          <w:tab w:val="left" w:pos="360"/>
        </w:tabs>
        <w:spacing w:line="360" w:lineRule="exact"/>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6.2由于未按招标文件的规定要求编制投标文件，导致评审小组作出的对投标人的误判，责任由投标人自己承担。</w:t>
      </w:r>
    </w:p>
    <w:p>
      <w:pPr>
        <w:tabs>
          <w:tab w:val="left" w:pos="-180"/>
          <w:tab w:val="left" w:pos="180"/>
          <w:tab w:val="left" w:pos="360"/>
        </w:tabs>
        <w:spacing w:line="360" w:lineRule="exact"/>
        <w:ind w:firstLine="442" w:firstLineChars="200"/>
        <w:outlineLvl w:val="9"/>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7.投标报价</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7.1投标人须按第四部分附件的开标一览表（统一格式）、报价明细表（统一格式）的内容填写</w:t>
      </w:r>
      <w:r>
        <w:rPr>
          <w:rFonts w:hint="eastAsia" w:ascii="宋体" w:hAnsi="宋体" w:eastAsia="宋体" w:cs="宋体"/>
          <w:color w:val="auto"/>
          <w:sz w:val="22"/>
          <w:highlight w:val="none"/>
          <w:lang w:eastAsia="zh-CN"/>
        </w:rPr>
        <w:t>人民币</w:t>
      </w:r>
      <w:r>
        <w:rPr>
          <w:rFonts w:hint="eastAsia" w:ascii="宋体" w:hAnsi="宋体" w:eastAsia="宋体" w:cs="宋体"/>
          <w:color w:val="auto"/>
          <w:sz w:val="22"/>
          <w:highlight w:val="none"/>
        </w:rPr>
        <w:t>及其他事项，并由法定代表人或授权代表签字或盖章。</w:t>
      </w:r>
    </w:p>
    <w:p>
      <w:pPr>
        <w:tabs>
          <w:tab w:val="left" w:pos="-180"/>
          <w:tab w:val="left" w:pos="180"/>
          <w:tab w:val="left" w:pos="360"/>
        </w:tabs>
        <w:spacing w:line="360" w:lineRule="exact"/>
        <w:ind w:firstLine="442" w:firstLineChars="200"/>
        <w:outlineLvl w:val="9"/>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w:t>
      </w:r>
      <w:r>
        <w:rPr>
          <w:rFonts w:hint="eastAsia" w:ascii="宋体" w:hAnsi="宋体" w:eastAsia="宋体" w:cs="宋体"/>
          <w:b/>
          <w:color w:val="auto"/>
          <w:sz w:val="22"/>
          <w:highlight w:val="none"/>
          <w:lang w:val="en-US" w:eastAsia="zh-CN"/>
        </w:rPr>
        <w:t>2</w:t>
      </w:r>
      <w:r>
        <w:rPr>
          <w:rFonts w:hint="eastAsia" w:ascii="宋体" w:hAnsi="宋体" w:eastAsia="宋体" w:cs="宋体"/>
          <w:b/>
          <w:color w:val="auto"/>
          <w:sz w:val="22"/>
          <w:highlight w:val="none"/>
        </w:rPr>
        <w:t>报价采用</w:t>
      </w:r>
      <w:r>
        <w:rPr>
          <w:rFonts w:hint="eastAsia" w:ascii="宋体" w:hAnsi="宋体" w:eastAsia="宋体" w:cs="宋体"/>
          <w:b/>
          <w:color w:val="auto"/>
          <w:sz w:val="22"/>
          <w:highlight w:val="none"/>
          <w:lang w:eastAsia="zh-CN"/>
        </w:rPr>
        <w:t>人民币</w:t>
      </w:r>
      <w:r>
        <w:rPr>
          <w:rFonts w:hint="eastAsia" w:ascii="宋体" w:hAnsi="宋体" w:eastAsia="宋体" w:cs="宋体"/>
          <w:b/>
          <w:color w:val="auto"/>
          <w:sz w:val="22"/>
          <w:highlight w:val="none"/>
        </w:rPr>
        <w:t>。</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▲7.</w:t>
      </w:r>
      <w:r>
        <w:rPr>
          <w:rFonts w:hint="eastAsia" w:ascii="宋体" w:hAnsi="宋体" w:eastAsia="宋体" w:cs="宋体"/>
          <w:color w:val="auto"/>
          <w:sz w:val="22"/>
          <w:highlight w:val="none"/>
          <w:u w:val="single"/>
          <w:lang w:val="en-US" w:eastAsia="zh-CN"/>
        </w:rPr>
        <w:t>3</w:t>
      </w:r>
      <w:r>
        <w:rPr>
          <w:rFonts w:hint="eastAsia" w:ascii="宋体" w:hAnsi="宋体" w:eastAsia="宋体" w:cs="宋体"/>
          <w:color w:val="auto"/>
          <w:sz w:val="22"/>
          <w:highlight w:val="none"/>
          <w:u w:val="single"/>
        </w:rPr>
        <w:t>采购人不接受任何选择报价，对每一种</w:t>
      </w:r>
      <w:r>
        <w:rPr>
          <w:rFonts w:hint="eastAsia" w:ascii="宋体" w:hAnsi="宋体" w:eastAsia="宋体" w:cs="宋体"/>
          <w:color w:val="auto"/>
          <w:sz w:val="22"/>
          <w:highlight w:val="none"/>
          <w:u w:val="single"/>
          <w:lang w:val="en-US" w:eastAsia="zh-CN"/>
        </w:rPr>
        <w:t>货物、服务</w:t>
      </w:r>
      <w:r>
        <w:rPr>
          <w:rFonts w:hint="eastAsia" w:ascii="宋体" w:hAnsi="宋体" w:eastAsia="宋体" w:cs="宋体"/>
          <w:color w:val="auto"/>
          <w:sz w:val="22"/>
          <w:highlight w:val="none"/>
          <w:u w:val="single"/>
        </w:rPr>
        <w:t>只允许一个报价。</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采购人要求分类报价是为了方便评标，但在任何情况下不限制采购人以其认为最合适的条款、条件签订合同的权利。</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最低报价不能作为中标的保证。</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8.投标保证金：</w:t>
      </w:r>
      <w:r>
        <w:rPr>
          <w:rFonts w:hint="eastAsia" w:ascii="宋体" w:hAnsi="宋体" w:eastAsia="宋体" w:cs="宋体"/>
          <w:color w:val="auto"/>
          <w:spacing w:val="-6"/>
          <w:sz w:val="22"/>
          <w:highlight w:val="none"/>
          <w:lang w:val="zh-CN"/>
        </w:rPr>
        <w:t>本项目不收取投标保证金。</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9.投标有效期</w:t>
      </w:r>
    </w:p>
    <w:p>
      <w:pPr>
        <w:spacing w:line="360" w:lineRule="exact"/>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sz w:val="22"/>
          <w:highlight w:val="none"/>
        </w:rPr>
        <w:t>9.1</w:t>
      </w:r>
      <w:r>
        <w:rPr>
          <w:rFonts w:hint="eastAsia" w:ascii="宋体" w:hAnsi="宋体" w:eastAsia="宋体" w:cs="宋体"/>
          <w:b/>
          <w:bCs/>
          <w:color w:val="auto"/>
          <w:sz w:val="22"/>
          <w:highlight w:val="none"/>
        </w:rPr>
        <w:t>自提交投标文件的截止之日起</w:t>
      </w:r>
      <w:r>
        <w:rPr>
          <w:rFonts w:hint="eastAsia" w:ascii="宋体" w:hAnsi="宋体" w:eastAsia="宋体" w:cs="宋体"/>
          <w:b/>
          <w:bCs/>
          <w:color w:val="auto"/>
          <w:sz w:val="22"/>
          <w:highlight w:val="none"/>
          <w:u w:val="single"/>
        </w:rPr>
        <w:t>90</w:t>
      </w:r>
      <w:r>
        <w:rPr>
          <w:rFonts w:hint="eastAsia" w:ascii="宋体" w:hAnsi="宋体" w:eastAsia="宋体" w:cs="宋体"/>
          <w:b/>
          <w:bCs/>
          <w:color w:val="auto"/>
          <w:sz w:val="22"/>
          <w:highlight w:val="none"/>
        </w:rPr>
        <w:t>天内投标应保持有效。有效期不足的投标文件将被拒绝。</w:t>
      </w:r>
    </w:p>
    <w:p>
      <w:pPr>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9.2特殊情况下，在原投标有效期截止前，采购人可与投标人协商延长投标有效期，这种要求和答复均以书面形式进行。投标人可拒绝接受延期要求。同意延长投标有效期的投标人不得修改投标文件。</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10.投标文件的签署和规定</w:t>
      </w:r>
    </w:p>
    <w:p>
      <w:pPr>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10.1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cs="宋体"/>
          <w:b/>
          <w:bCs/>
          <w:color w:val="auto"/>
          <w:spacing w:val="-6"/>
          <w:sz w:val="22"/>
          <w:highlight w:val="none"/>
        </w:rPr>
        <w:t>其中资格文件、商务和技术文件中不得出现投标报价，如因投标人原因提前泄露投标报价，是投标人的责任。</w:t>
      </w:r>
    </w:p>
    <w:p>
      <w:pPr>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10.2投标文件须由投标人在规定位置加盖公章并由投标人代表签署，投标人应写全称。</w:t>
      </w:r>
    </w:p>
    <w:p>
      <w:pPr>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10.3投标文件不得涂改，若有修改错漏处，须由投标人代表签字并加盖公章。投标文件因字迹潦草或表达不清所引起的后果由投标人负责。</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10.4</w:t>
      </w:r>
      <w:r>
        <w:rPr>
          <w:rFonts w:hint="eastAsia" w:ascii="宋体" w:hAnsi="宋体" w:eastAsia="宋体" w:cs="宋体"/>
          <w:b/>
          <w:bCs/>
          <w:color w:val="auto"/>
          <w:sz w:val="22"/>
          <w:highlight w:val="none"/>
        </w:rPr>
        <w:t>投标文件字迹模糊或在关键的技术、商务条款上表述不清楚，将可能导致其投标被拒绝。</w:t>
      </w:r>
    </w:p>
    <w:p>
      <w:pPr>
        <w:spacing w:line="400" w:lineRule="exact"/>
        <w:jc w:val="center"/>
        <w:outlineLvl w:val="1"/>
        <w:rPr>
          <w:rFonts w:hint="eastAsia" w:ascii="宋体" w:hAnsi="宋体" w:eastAsia="宋体" w:cs="宋体"/>
          <w:color w:val="auto"/>
          <w:sz w:val="22"/>
          <w:highlight w:val="none"/>
        </w:rPr>
      </w:pPr>
      <w:bookmarkStart w:id="7" w:name="_Toc6649"/>
      <w:r>
        <w:rPr>
          <w:rFonts w:hint="eastAsia" w:ascii="宋体" w:hAnsi="宋体" w:eastAsia="宋体" w:cs="宋体"/>
          <w:b/>
          <w:color w:val="auto"/>
          <w:sz w:val="26"/>
          <w:highlight w:val="none"/>
        </w:rPr>
        <w:t>四、投标文件的递交</w:t>
      </w:r>
      <w:bookmarkEnd w:id="7"/>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1.电子投标文件的加密、递交</w:t>
      </w:r>
    </w:p>
    <w:p>
      <w:pPr>
        <w:spacing w:line="360" w:lineRule="exact"/>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kern w:val="0"/>
          <w:sz w:val="22"/>
          <w:highlight w:val="none"/>
        </w:rPr>
        <w:t>投标人</w:t>
      </w:r>
      <w:r>
        <w:rPr>
          <w:rFonts w:hint="eastAsia" w:ascii="宋体" w:hAnsi="宋体" w:eastAsia="宋体" w:cs="宋体"/>
          <w:color w:val="auto"/>
          <w:spacing w:val="-6"/>
          <w:sz w:val="22"/>
          <w:highlight w:val="none"/>
        </w:rPr>
        <w:t>于投标文件提交截止时间前按照电子投标要求将加密电子投标文件上传到“政采云”平台，逾期或未上传成功的将被政府采购云平台拒收</w:t>
      </w:r>
      <w:r>
        <w:rPr>
          <w:rFonts w:hint="eastAsia" w:ascii="宋体" w:hAnsi="宋体" w:eastAsia="宋体" w:cs="宋体"/>
          <w:color w:val="auto"/>
          <w:kern w:val="0"/>
          <w:sz w:val="22"/>
          <w:highlight w:val="none"/>
        </w:rPr>
        <w:t>。</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w:t>
      </w:r>
      <w:r>
        <w:rPr>
          <w:rFonts w:hint="eastAsia" w:ascii="宋体" w:hAnsi="宋体" w:eastAsia="宋体" w:cs="宋体"/>
          <w:b/>
          <w:color w:val="auto"/>
          <w:sz w:val="22"/>
          <w:highlight w:val="none"/>
        </w:rPr>
        <w:t>备份投标文件的加密、递交（如有）</w:t>
      </w:r>
    </w:p>
    <w:p>
      <w:pPr>
        <w:spacing w:line="360" w:lineRule="exact"/>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sz w:val="22"/>
          <w:highlight w:val="none"/>
        </w:rPr>
        <w:t>为</w:t>
      </w:r>
      <w:r>
        <w:rPr>
          <w:rFonts w:hint="eastAsia" w:ascii="宋体" w:hAnsi="宋体" w:eastAsia="宋体" w:cs="宋体"/>
          <w:color w:val="auto"/>
          <w:kern w:val="0"/>
          <w:sz w:val="22"/>
          <w:highlight w:val="none"/>
        </w:rPr>
        <w:t>确保采购项目顺利实施，避免因政采云上电子投标文件解密失败导致投标人投标无效，</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2"/>
          <w:highlight w:val="none"/>
        </w:rPr>
        <w:t>投标人在政府采购云平台完成加密电子投标文件的上传后投标文件提交截止时间前将</w:t>
      </w:r>
      <w:r>
        <w:rPr>
          <w:rFonts w:hint="eastAsia" w:ascii="宋体" w:hAnsi="宋体" w:eastAsia="宋体" w:cs="宋体"/>
          <w:b/>
          <w:bCs/>
          <w:color w:val="auto"/>
          <w:sz w:val="22"/>
          <w:highlight w:val="none"/>
        </w:rPr>
        <w:t>以介质存储的数据电文形式的备份投标文件按“</w:t>
      </w:r>
      <w:r>
        <w:rPr>
          <w:rFonts w:hint="eastAsia" w:ascii="宋体" w:hAnsi="宋体" w:eastAsia="宋体" w:cs="宋体"/>
          <w:b/>
          <w:bCs/>
          <w:color w:val="auto"/>
          <w:sz w:val="22"/>
          <w:highlight w:val="none"/>
          <w:lang w:val="zh-CN"/>
        </w:rPr>
        <w:t>投标人须知前附表</w:t>
      </w:r>
      <w:r>
        <w:rPr>
          <w:rFonts w:hint="eastAsia" w:ascii="宋体" w:hAnsi="宋体" w:eastAsia="宋体" w:cs="宋体"/>
          <w:b/>
          <w:bCs/>
          <w:color w:val="auto"/>
          <w:sz w:val="22"/>
          <w:highlight w:val="none"/>
        </w:rPr>
        <w:t>”要求</w:t>
      </w:r>
      <w:r>
        <w:rPr>
          <w:rFonts w:hint="eastAsia" w:ascii="宋体" w:hAnsi="宋体" w:eastAsia="宋体" w:cs="宋体"/>
          <w:b/>
          <w:bCs/>
          <w:color w:val="auto"/>
          <w:sz w:val="22"/>
          <w:highlight w:val="none"/>
        </w:rPr>
        <w:fldChar w:fldCharType="end"/>
      </w:r>
      <w:r>
        <w:rPr>
          <w:rFonts w:hint="eastAsia" w:ascii="宋体" w:hAnsi="宋体" w:eastAsia="宋体" w:cs="宋体"/>
          <w:color w:val="auto"/>
          <w:kern w:val="0"/>
          <w:sz w:val="22"/>
          <w:highlight w:val="none"/>
        </w:rPr>
        <w:t>加密、递交。</w:t>
      </w:r>
    </w:p>
    <w:p>
      <w:pPr>
        <w:pStyle w:val="15"/>
        <w:snapToGrid w:val="0"/>
        <w:spacing w:line="360" w:lineRule="exact"/>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本项目由采购代理机构做好“</w:t>
      </w:r>
      <w:r>
        <w:rPr>
          <w:rFonts w:hint="eastAsia" w:ascii="宋体" w:hAnsi="宋体" w:eastAsia="宋体" w:cs="宋体"/>
          <w:b/>
          <w:bCs/>
          <w:color w:val="auto"/>
          <w:sz w:val="22"/>
          <w:highlight w:val="none"/>
        </w:rPr>
        <w:t>介质存储的数据电文形式的备份投标文件</w:t>
      </w:r>
      <w:r>
        <w:rPr>
          <w:rFonts w:hint="eastAsia" w:ascii="宋体" w:hAnsi="宋体" w:eastAsia="宋体" w:cs="宋体"/>
          <w:color w:val="auto"/>
          <w:kern w:val="0"/>
          <w:sz w:val="22"/>
          <w:highlight w:val="none"/>
        </w:rPr>
        <w:t>”的签收工作后，与投标资料一并归档。投标人授权代表不参加现场开标活动，由相关人员进行现场监督。采购代理机构将记录所有投标文件的开封过程的有关内容，并由相关人员签字确认。</w:t>
      </w:r>
    </w:p>
    <w:p>
      <w:pPr>
        <w:snapToGrid w:val="0"/>
        <w:spacing w:line="360" w:lineRule="exact"/>
        <w:ind w:firstLine="440" w:firstLineChars="200"/>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▲投标人递交的介质存储的数据电文形式的备份投标文件时，如出现下列情况之一的，视为无效备份投标文件：</w:t>
      </w:r>
    </w:p>
    <w:p>
      <w:pPr>
        <w:snapToGrid w:val="0"/>
        <w:spacing w:line="360" w:lineRule="exact"/>
        <w:ind w:firstLine="440" w:firstLineChars="200"/>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（1）超过投标文件提交截止时间送达的；</w:t>
      </w:r>
    </w:p>
    <w:p>
      <w:pPr>
        <w:snapToGrid w:val="0"/>
        <w:spacing w:line="360" w:lineRule="exact"/>
        <w:ind w:firstLine="440" w:firstLineChars="200"/>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（2）未在政采云平台获取招标文件的。</w:t>
      </w:r>
    </w:p>
    <w:p>
      <w:pPr>
        <w:spacing w:line="360" w:lineRule="exact"/>
        <w:ind w:firstLine="440" w:firstLineChars="20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rPr>
        <w:t>3.投标文件的修改</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撤回</w:t>
      </w:r>
      <w:r>
        <w:rPr>
          <w:rFonts w:hint="eastAsia" w:ascii="宋体" w:hAnsi="宋体" w:eastAsia="宋体" w:cs="宋体"/>
          <w:color w:val="auto"/>
          <w:sz w:val="22"/>
          <w:highlight w:val="none"/>
          <w:lang w:val="en-US" w:eastAsia="zh-CN"/>
        </w:rPr>
        <w:t>和撤销</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采云平台拒收。</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3.2在投标文件提交截止时间之后，投标人不得对其投标做任何修改。</w:t>
      </w:r>
    </w:p>
    <w:p>
      <w:pPr>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3.3</w:t>
      </w:r>
      <w:r>
        <w:rPr>
          <w:rFonts w:hint="eastAsia" w:ascii="宋体" w:hAnsi="宋体" w:eastAsia="宋体" w:cs="宋体"/>
          <w:color w:val="auto"/>
          <w:spacing w:val="-20"/>
          <w:kern w:val="0"/>
          <w:sz w:val="22"/>
          <w:szCs w:val="22"/>
          <w:highlight w:val="none"/>
        </w:rPr>
        <w:t>在投标</w:t>
      </w:r>
      <w:r>
        <w:rPr>
          <w:rFonts w:hint="eastAsia" w:ascii="宋体" w:hAnsi="宋体" w:eastAsia="宋体" w:cs="宋体"/>
          <w:color w:val="auto"/>
          <w:spacing w:val="-20"/>
          <w:kern w:val="0"/>
          <w:sz w:val="22"/>
          <w:szCs w:val="22"/>
          <w:highlight w:val="none"/>
          <w:lang w:val="en-US" w:eastAsia="zh-CN"/>
        </w:rPr>
        <w:t>(响应）</w:t>
      </w:r>
      <w:r>
        <w:rPr>
          <w:rFonts w:hint="eastAsia" w:ascii="宋体" w:hAnsi="宋体" w:eastAsia="宋体" w:cs="宋体"/>
          <w:color w:val="auto"/>
          <w:spacing w:val="-20"/>
          <w:kern w:val="0"/>
          <w:sz w:val="22"/>
          <w:szCs w:val="22"/>
          <w:highlight w:val="none"/>
        </w:rPr>
        <w:t>截止时间起至投标</w:t>
      </w:r>
      <w:r>
        <w:rPr>
          <w:rFonts w:hint="eastAsia" w:ascii="宋体" w:hAnsi="宋体" w:eastAsia="宋体" w:cs="宋体"/>
          <w:color w:val="auto"/>
          <w:spacing w:val="-20"/>
          <w:kern w:val="0"/>
          <w:sz w:val="22"/>
          <w:szCs w:val="22"/>
          <w:highlight w:val="none"/>
          <w:lang w:eastAsia="zh-CN"/>
        </w:rPr>
        <w:t>（响应）</w:t>
      </w:r>
      <w:r>
        <w:rPr>
          <w:rFonts w:hint="eastAsia" w:ascii="宋体" w:hAnsi="宋体" w:eastAsia="宋体" w:cs="宋体"/>
          <w:color w:val="auto"/>
          <w:spacing w:val="-20"/>
          <w:kern w:val="0"/>
          <w:sz w:val="22"/>
          <w:szCs w:val="22"/>
          <w:highlight w:val="none"/>
        </w:rPr>
        <w:t>有效期届满，</w:t>
      </w:r>
      <w:r>
        <w:rPr>
          <w:rFonts w:hint="eastAsia" w:ascii="宋体" w:hAnsi="宋体" w:eastAsia="宋体" w:cs="宋体"/>
          <w:color w:val="auto"/>
          <w:spacing w:val="-20"/>
          <w:kern w:val="0"/>
          <w:sz w:val="22"/>
          <w:szCs w:val="22"/>
          <w:highlight w:val="none"/>
          <w:lang w:val="en-US" w:eastAsia="zh-CN"/>
        </w:rPr>
        <w:t>投标人</w:t>
      </w:r>
      <w:r>
        <w:rPr>
          <w:rFonts w:hint="eastAsia" w:ascii="宋体" w:hAnsi="宋体" w:eastAsia="宋体" w:cs="宋体"/>
          <w:color w:val="auto"/>
          <w:spacing w:val="-20"/>
          <w:kern w:val="0"/>
          <w:sz w:val="22"/>
          <w:szCs w:val="22"/>
          <w:highlight w:val="none"/>
        </w:rPr>
        <w:t>投标</w:t>
      </w:r>
      <w:r>
        <w:rPr>
          <w:rFonts w:hint="eastAsia" w:ascii="宋体" w:hAnsi="宋体" w:eastAsia="宋体" w:cs="宋体"/>
          <w:color w:val="auto"/>
          <w:spacing w:val="-20"/>
          <w:kern w:val="0"/>
          <w:sz w:val="22"/>
          <w:szCs w:val="22"/>
          <w:highlight w:val="none"/>
          <w:lang w:eastAsia="zh-CN"/>
        </w:rPr>
        <w:t>（响应）</w:t>
      </w:r>
      <w:r>
        <w:rPr>
          <w:rFonts w:hint="eastAsia" w:ascii="宋体" w:hAnsi="宋体" w:eastAsia="宋体" w:cs="宋体"/>
          <w:color w:val="auto"/>
          <w:spacing w:val="-20"/>
          <w:kern w:val="0"/>
          <w:sz w:val="22"/>
          <w:szCs w:val="22"/>
          <w:highlight w:val="none"/>
        </w:rPr>
        <w:t>文件不可撤销</w:t>
      </w:r>
      <w:r>
        <w:rPr>
          <w:rFonts w:hint="eastAsia" w:ascii="宋体" w:hAnsi="宋体" w:eastAsia="宋体" w:cs="宋体"/>
          <w:color w:val="auto"/>
          <w:spacing w:val="-20"/>
          <w:kern w:val="0"/>
          <w:sz w:val="22"/>
          <w:szCs w:val="22"/>
          <w:highlight w:val="none"/>
          <w:lang w:eastAsia="zh-CN"/>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3.4投标人</w:t>
      </w:r>
      <w:r>
        <w:rPr>
          <w:rFonts w:hint="eastAsia" w:ascii="宋体" w:hAnsi="宋体" w:eastAsia="宋体" w:cs="宋体"/>
          <w:color w:val="auto"/>
          <w:sz w:val="22"/>
          <w:highlight w:val="none"/>
        </w:rPr>
        <w:t>撤销（撤回）投标不得损害国家利益、社会公共利益、采购人利益、代理机构利益、其他</w:t>
      </w:r>
      <w:r>
        <w:rPr>
          <w:rFonts w:hint="eastAsia" w:ascii="宋体" w:hAnsi="宋体" w:cs="宋体"/>
          <w:color w:val="auto"/>
          <w:sz w:val="22"/>
          <w:highlight w:val="none"/>
          <w:lang w:val="en-US" w:eastAsia="zh-CN"/>
        </w:rPr>
        <w:t>投标人</w:t>
      </w:r>
      <w:r>
        <w:rPr>
          <w:rFonts w:hint="eastAsia" w:ascii="宋体" w:hAnsi="宋体" w:eastAsia="宋体" w:cs="宋体"/>
          <w:color w:val="auto"/>
          <w:sz w:val="22"/>
          <w:highlight w:val="none"/>
        </w:rPr>
        <w:t>利益</w:t>
      </w:r>
      <w:r>
        <w:rPr>
          <w:rFonts w:hint="eastAsia" w:ascii="宋体" w:hAnsi="宋体" w:eastAsia="宋体" w:cs="宋体"/>
          <w:color w:val="auto"/>
          <w:sz w:val="22"/>
          <w:highlight w:val="none"/>
          <w:lang w:eastAsia="zh-CN"/>
        </w:rPr>
        <w:t>，否则，</w:t>
      </w:r>
      <w:r>
        <w:rPr>
          <w:rFonts w:hint="eastAsia" w:ascii="宋体" w:hAnsi="宋体" w:cs="宋体"/>
          <w:color w:val="auto"/>
          <w:sz w:val="22"/>
          <w:highlight w:val="none"/>
          <w:lang w:val="en-US" w:eastAsia="zh-CN"/>
        </w:rPr>
        <w:t>投标人</w:t>
      </w:r>
      <w:r>
        <w:rPr>
          <w:rFonts w:hint="eastAsia" w:ascii="宋体" w:hAnsi="宋体" w:eastAsia="宋体" w:cs="宋体"/>
          <w:color w:val="auto"/>
          <w:sz w:val="22"/>
          <w:highlight w:val="none"/>
        </w:rPr>
        <w:t>撤销（撤回）投标</w:t>
      </w:r>
      <w:r>
        <w:rPr>
          <w:rFonts w:hint="eastAsia" w:ascii="宋体" w:hAnsi="宋体" w:eastAsia="宋体" w:cs="宋体"/>
          <w:color w:val="auto"/>
          <w:sz w:val="22"/>
          <w:highlight w:val="none"/>
          <w:lang w:eastAsia="zh-CN"/>
        </w:rPr>
        <w:t>无效</w:t>
      </w:r>
      <w:r>
        <w:rPr>
          <w:rFonts w:hint="eastAsia" w:ascii="宋体" w:hAnsi="宋体" w:cs="宋体"/>
          <w:color w:val="auto"/>
          <w:sz w:val="22"/>
          <w:highlight w:val="none"/>
          <w:lang w:eastAsia="zh-CN"/>
        </w:rPr>
        <w:t>。</w:t>
      </w:r>
    </w:p>
    <w:p>
      <w:pPr>
        <w:tabs>
          <w:tab w:val="left" w:pos="360"/>
          <w:tab w:val="left" w:pos="540"/>
          <w:tab w:val="left" w:pos="1260"/>
        </w:tabs>
        <w:spacing w:line="400" w:lineRule="exact"/>
        <w:ind w:left="919" w:hanging="919" w:hangingChars="352"/>
        <w:jc w:val="center"/>
        <w:outlineLvl w:val="1"/>
        <w:rPr>
          <w:rFonts w:hint="eastAsia" w:ascii="宋体" w:hAnsi="宋体" w:eastAsia="宋体" w:cs="宋体"/>
          <w:b/>
          <w:color w:val="auto"/>
          <w:sz w:val="26"/>
          <w:highlight w:val="none"/>
        </w:rPr>
      </w:pPr>
      <w:bookmarkStart w:id="8" w:name="_Toc4584"/>
      <w:r>
        <w:rPr>
          <w:rFonts w:hint="eastAsia" w:ascii="宋体" w:hAnsi="宋体" w:eastAsia="宋体" w:cs="宋体"/>
          <w:b/>
          <w:color w:val="auto"/>
          <w:sz w:val="26"/>
          <w:highlight w:val="none"/>
        </w:rPr>
        <w:t>五、开标和评标</w:t>
      </w:r>
      <w:bookmarkEnd w:id="8"/>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1.评审小组</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采购人依法组建评审小组。评审小组的成员在评标过程中必须严格遵守《中华人民共和国政府采购法》等有关法律、法规的规定。</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2.评标过程的保密性</w:t>
      </w:r>
    </w:p>
    <w:p>
      <w:pPr>
        <w:spacing w:line="360" w:lineRule="exact"/>
        <w:ind w:firstLine="442" w:firstLineChars="200"/>
        <w:rPr>
          <w:rFonts w:hint="eastAsia" w:ascii="宋体" w:hAnsi="宋体" w:eastAsia="宋体" w:cs="宋体"/>
          <w:color w:val="auto"/>
          <w:sz w:val="22"/>
          <w:highlight w:val="none"/>
          <w:u w:val="single"/>
        </w:rPr>
      </w:pPr>
      <w:r>
        <w:rPr>
          <w:rFonts w:hint="eastAsia" w:ascii="宋体" w:hAnsi="宋体" w:eastAsia="宋体" w:cs="宋体"/>
          <w:b/>
          <w:color w:val="auto"/>
          <w:sz w:val="22"/>
          <w:highlight w:val="none"/>
          <w:u w:val="single"/>
        </w:rPr>
        <w:t>▲</w:t>
      </w:r>
      <w:r>
        <w:rPr>
          <w:rFonts w:hint="eastAsia" w:ascii="宋体" w:hAnsi="宋体" w:eastAsia="宋体" w:cs="宋体"/>
          <w:color w:val="auto"/>
          <w:sz w:val="22"/>
          <w:highlight w:val="none"/>
          <w:u w:val="single"/>
        </w:rPr>
        <w:t>2.1开标后直至向中标人授予合同时止，凡与评审有关的资料均不得向投标人及与评标无关人员透漏。如果投标人在评标过程中试图向采购人和采购人施加影响，其投标将被拒绝。</w:t>
      </w:r>
    </w:p>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3.开标</w:t>
      </w:r>
    </w:p>
    <w:p>
      <w:pPr>
        <w:pStyle w:val="5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本项目实行电子开评标，投标人无需前往开评标现场，只需在规定时间内在“政采云”平台上上传电子投标文件。</w:t>
      </w:r>
    </w:p>
    <w:p>
      <w:pPr>
        <w:pStyle w:val="5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3.1开标准备</w:t>
      </w:r>
    </w:p>
    <w:p>
      <w:pPr>
        <w:pStyle w:val="5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①制订开标、评审工作的组织方案，落实工作场地、设施，检查录音录像采集设备运行情况。采用电子评审方式的，验证电子评审系统是否正常运行。</w:t>
      </w:r>
    </w:p>
    <w:p>
      <w:pPr>
        <w:pStyle w:val="5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②通知或邀请相关单位和人员出席开标、评审活动（按规定由相关监管部门或其授权机构随机抽取、通知的政府采购评审专家除外）。</w:t>
      </w:r>
    </w:p>
    <w:p>
      <w:pPr>
        <w:pStyle w:val="5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③准备政府采购项目的相关文件资料，如项目政府采购预算确认书（计划）、专家抽取有关凭证、项目书面说明、招标文件、补充文件及质疑答复情况、现场工作所需的相关登记表单、评审工作底稿等。</w:t>
      </w:r>
    </w:p>
    <w:p>
      <w:pPr>
        <w:pStyle w:val="5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④其他应准备的事项。</w:t>
      </w:r>
    </w:p>
    <w:p>
      <w:pPr>
        <w:pStyle w:val="12"/>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3.2采购代理机构按照招标文件规定的时间、地点和程序组织开标，具体按以下程序进行：</w:t>
      </w:r>
    </w:p>
    <w:p>
      <w:pPr>
        <w:pStyle w:val="15"/>
        <w:overflowPunct/>
        <w:autoSpaceDE/>
        <w:autoSpaceDN/>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①</w:t>
      </w:r>
      <w:r>
        <w:rPr>
          <w:rFonts w:hint="eastAsia" w:ascii="宋体" w:hAnsi="宋体" w:eastAsia="宋体" w:cs="宋体"/>
          <w:color w:val="auto"/>
          <w:spacing w:val="-6"/>
          <w:sz w:val="22"/>
          <w:highlight w:val="none"/>
        </w:rPr>
        <w:t>开启评审场地的录音录像采集设备，并确保其正常运行。</w:t>
      </w:r>
    </w:p>
    <w:p>
      <w:pPr>
        <w:pStyle w:val="26"/>
        <w:spacing w:before="0" w:beforeAutospacing="0" w:after="0" w:afterAutospacing="0" w:line="360" w:lineRule="exact"/>
        <w:ind w:firstLine="440" w:firstLineChars="200"/>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②解密</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投标文件提交截止时间止采购代理机构向各投标人发出电子投标文件开始解密通知，由投标人在</w:t>
      </w:r>
      <w:r>
        <w:rPr>
          <w:rFonts w:hint="eastAsia" w:ascii="宋体" w:hAnsi="宋体" w:eastAsia="宋体" w:cs="宋体"/>
          <w:b/>
          <w:bCs/>
          <w:snapToGrid w:val="0"/>
          <w:color w:val="auto"/>
          <w:sz w:val="22"/>
          <w:highlight w:val="none"/>
        </w:rPr>
        <w:t>政采云平台</w:t>
      </w:r>
      <w:r>
        <w:rPr>
          <w:rFonts w:hint="eastAsia" w:ascii="宋体" w:hAnsi="宋体" w:eastAsia="宋体" w:cs="宋体"/>
          <w:b/>
          <w:bCs/>
          <w:color w:val="auto"/>
          <w:sz w:val="22"/>
          <w:highlight w:val="none"/>
        </w:rPr>
        <w:t>规定时间（不少于30分钟）内自行进行投标文件解密（</w:t>
      </w:r>
      <w:r>
        <w:rPr>
          <w:rFonts w:hint="eastAsia" w:ascii="宋体" w:hAnsi="宋体" w:eastAsia="宋体" w:cs="宋体"/>
          <w:b/>
          <w:bCs/>
          <w:color w:val="auto"/>
          <w:kern w:val="0"/>
          <w:sz w:val="22"/>
          <w:highlight w:val="none"/>
        </w:rPr>
        <w:t>投标人无需在开标当天到达开标现场对电子投标进行解密，可在公司办公场地在</w:t>
      </w:r>
      <w:r>
        <w:rPr>
          <w:rFonts w:hint="eastAsia" w:ascii="宋体" w:hAnsi="宋体" w:eastAsia="宋体" w:cs="宋体"/>
          <w:b/>
          <w:bCs/>
          <w:snapToGrid w:val="0"/>
          <w:color w:val="auto"/>
          <w:sz w:val="22"/>
          <w:highlight w:val="none"/>
        </w:rPr>
        <w:t>政采云平台</w:t>
      </w:r>
      <w:r>
        <w:rPr>
          <w:rFonts w:hint="eastAsia" w:ascii="宋体" w:hAnsi="宋体" w:eastAsia="宋体" w:cs="宋体"/>
          <w:b/>
          <w:bCs/>
          <w:color w:val="auto"/>
          <w:kern w:val="0"/>
          <w:sz w:val="22"/>
          <w:highlight w:val="none"/>
        </w:rPr>
        <w:t>规定时间内</w:t>
      </w:r>
      <w:r>
        <w:rPr>
          <w:rFonts w:hint="eastAsia" w:ascii="宋体" w:hAnsi="宋体" w:eastAsia="宋体" w:cs="宋体"/>
          <w:b/>
          <w:bCs/>
          <w:color w:val="auto"/>
          <w:sz w:val="22"/>
          <w:highlight w:val="none"/>
        </w:rPr>
        <w:t>通过制作电子投标文件的CA锁用“项目采购-开标评标”功能</w:t>
      </w:r>
      <w:r>
        <w:rPr>
          <w:rFonts w:hint="eastAsia" w:ascii="宋体" w:hAnsi="宋体" w:eastAsia="宋体" w:cs="宋体"/>
          <w:b/>
          <w:bCs/>
          <w:color w:val="auto"/>
          <w:kern w:val="0"/>
          <w:sz w:val="22"/>
          <w:highlight w:val="none"/>
        </w:rPr>
        <w:t>对电子投标文件进行解密。</w:t>
      </w:r>
      <w:r>
        <w:rPr>
          <w:rFonts w:hint="eastAsia" w:ascii="宋体" w:hAnsi="宋体" w:eastAsia="宋体" w:cs="宋体"/>
          <w:b/>
          <w:bCs/>
          <w:color w:val="auto"/>
          <w:sz w:val="22"/>
          <w:highlight w:val="none"/>
        </w:rPr>
        <w:t>）。</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本项目原则上采用政采云电子招投标开标及评审程序，但有下情形的，按以下情况处理：</w:t>
      </w:r>
    </w:p>
    <w:p>
      <w:pPr>
        <w:pStyle w:val="15"/>
        <w:snapToGrid w:val="0"/>
        <w:spacing w:line="360" w:lineRule="exact"/>
        <w:ind w:firstLine="480" w:firstLineChars="200"/>
        <w:rPr>
          <w:rFonts w:hint="eastAsia" w:ascii="宋体" w:hAnsi="宋体" w:eastAsia="宋体" w:cs="宋体"/>
          <w:b/>
          <w:bCs/>
          <w:color w:val="auto"/>
          <w:sz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2812799762@qq.com）的以介质存储的数据电文形式的备份投标文件，并以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 </w:instrText>
      </w:r>
      <w:r>
        <w:rPr>
          <w:rFonts w:hint="eastAsia" w:ascii="宋体" w:hAnsi="宋体" w:eastAsia="宋体" w:cs="宋体"/>
          <w:color w:val="auto"/>
          <w:highlight w:val="none"/>
        </w:rPr>
        <w:fldChar w:fldCharType="separate"/>
      </w:r>
      <w:r>
        <w:rPr>
          <w:rStyle w:val="36"/>
          <w:rFonts w:hint="eastAsia" w:ascii="宋体" w:hAnsi="宋体" w:eastAsia="宋体" w:cs="宋体"/>
          <w:b/>
          <w:bCs/>
          <w:color w:val="auto"/>
          <w:sz w:val="22"/>
          <w:highlight w:val="none"/>
        </w:rPr>
        <w:t>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w:t>
      </w:r>
      <w:r>
        <w:rPr>
          <w:rStyle w:val="36"/>
          <w:rFonts w:hint="eastAsia" w:hAnsi="宋体" w:cs="宋体"/>
          <w:b/>
          <w:bCs/>
          <w:color w:val="auto"/>
          <w:sz w:val="22"/>
          <w:highlight w:val="none"/>
          <w:lang w:eastAsia="zh-CN"/>
        </w:rPr>
        <w:t>1005783819</w:t>
      </w:r>
      <w:r>
        <w:rPr>
          <w:rStyle w:val="36"/>
          <w:rFonts w:hint="eastAsia" w:ascii="宋体" w:hAnsi="宋体" w:eastAsia="宋体" w:cs="宋体"/>
          <w:b/>
          <w:bCs/>
          <w:color w:val="auto"/>
          <w:sz w:val="22"/>
          <w:highlight w:val="none"/>
        </w:rPr>
        <w:t>@qq.com）的以介质存储的数据电文形式的备份投标文件，并以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t>
      </w:r>
      <w:r>
        <w:rPr>
          <w:rStyle w:val="36"/>
          <w:rFonts w:hint="eastAsia" w:ascii="宋体" w:hAnsi="宋体" w:eastAsia="宋体" w:cs="宋体"/>
          <w:b/>
          <w:bCs/>
          <w:color w:val="auto"/>
          <w:sz w:val="22"/>
          <w:highlight w:val="none"/>
        </w:rPr>
        <w:fldChar w:fldCharType="end"/>
      </w:r>
    </w:p>
    <w:p>
      <w:pPr>
        <w:pStyle w:val="15"/>
        <w:snapToGrid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请各投标人务必在规定时间内完成电子投标文件的解密工作，在电子开评标期间，投标人（授权代表）需确保在各自所在的区域具备上网的技术条件并保持网络及联系方式畅通，联系方式为获取招标文件时留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pPr>
        <w:pStyle w:val="15"/>
        <w:widowControl w:val="0"/>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投标人不足3家的，不得开标。</w:t>
      </w:r>
    </w:p>
    <w:p>
      <w:pPr>
        <w:pStyle w:val="15"/>
        <w:widowControl w:val="0"/>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③投标文件解密结束，组织投标人签署《政府采购活动现场确认声明书》，格式详见附件。</w:t>
      </w:r>
    </w:p>
    <w:p>
      <w:pPr>
        <w:pStyle w:val="15"/>
        <w:widowControl w:val="0"/>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④采购代理机构对资格进行审查。</w:t>
      </w:r>
    </w:p>
    <w:p>
      <w:pPr>
        <w:pStyle w:val="15"/>
        <w:widowControl w:val="0"/>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⑤评审小组对商务技术文件进行评审。</w:t>
      </w:r>
    </w:p>
    <w:p>
      <w:pPr>
        <w:pStyle w:val="15"/>
        <w:widowControl w:val="0"/>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⑥评审小组对报价情况进行评审。</w:t>
      </w:r>
    </w:p>
    <w:p>
      <w:pPr>
        <w:pStyle w:val="15"/>
        <w:widowControl w:val="0"/>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⑦在系统上公布评审结果。</w:t>
      </w:r>
    </w:p>
    <w:p>
      <w:pPr>
        <w:pStyle w:val="15"/>
        <w:widowControl w:val="0"/>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特别说明：政采云公司如对电子化开标及评审程序有调整的，按调整后的程序操作。</w:t>
      </w:r>
    </w:p>
    <w:p>
      <w:pPr>
        <w:spacing w:line="360" w:lineRule="exact"/>
        <w:ind w:firstLine="440" w:firstLineChars="200"/>
        <w:rPr>
          <w:rFonts w:hint="eastAsia" w:ascii="宋体" w:hAnsi="宋体" w:eastAsia="宋体" w:cs="宋体"/>
          <w:bCs/>
          <w:color w:val="auto"/>
          <w:sz w:val="22"/>
          <w:highlight w:val="none"/>
          <w:lang w:val="zh-CN"/>
        </w:rPr>
      </w:pPr>
      <w:r>
        <w:rPr>
          <w:rFonts w:hint="eastAsia" w:ascii="宋体" w:hAnsi="宋体" w:eastAsia="宋体" w:cs="宋体"/>
          <w:color w:val="auto"/>
          <w:sz w:val="22"/>
          <w:highlight w:val="none"/>
        </w:rPr>
        <w:t>4.评标</w:t>
      </w:r>
    </w:p>
    <w:p>
      <w:pPr>
        <w:pStyle w:val="15"/>
        <w:overflowPunct/>
        <w:autoSpaceDE/>
        <w:autoSpaceDN/>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采购代理机构按照招标文件规定的时间、地点及程序组织评审。评审活动一般应按以下程序组织开展：</w:t>
      </w:r>
    </w:p>
    <w:p>
      <w:pPr>
        <w:pStyle w:val="15"/>
        <w:overflowPunct/>
        <w:autoSpaceDE/>
        <w:autoSpaceDN/>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①</w:t>
      </w:r>
      <w:r>
        <w:rPr>
          <w:rFonts w:hint="eastAsia" w:ascii="宋体" w:hAnsi="宋体" w:eastAsia="宋体" w:cs="宋体"/>
          <w:color w:val="auto"/>
          <w:spacing w:val="-6"/>
          <w:sz w:val="22"/>
          <w:highlight w:val="none"/>
        </w:rPr>
        <w:t>开启评审场地的录音录像采集设备，并确保其正常运行。</w:t>
      </w:r>
    </w:p>
    <w:p>
      <w:pPr>
        <w:pStyle w:val="15"/>
        <w:overflowPunct/>
        <w:autoSpaceDE/>
        <w:autoSpaceDN/>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②</w:t>
      </w:r>
      <w:r>
        <w:rPr>
          <w:rFonts w:hint="eastAsia" w:ascii="宋体" w:hAnsi="宋体" w:eastAsia="宋体" w:cs="宋体"/>
          <w:color w:val="auto"/>
          <w:spacing w:val="-6"/>
          <w:sz w:val="22"/>
          <w:highlight w:val="none"/>
        </w:rPr>
        <w:t>核验出席评审活动现场的评审小组各成员身份，并要求其分别登记、签到，按规定统一收缴、保存其通讯工具，无关人员一律拒绝其进入评审现场。</w:t>
      </w:r>
    </w:p>
    <w:p>
      <w:pPr>
        <w:pStyle w:val="15"/>
        <w:overflowPunct/>
        <w:autoSpaceDE/>
        <w:autoSpaceDN/>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③介绍评审现场的人员情况，宣布评审工作纪律，告知评审小组应当回避情形；组织推选评审小组组长。</w:t>
      </w:r>
    </w:p>
    <w:p>
      <w:pPr>
        <w:pStyle w:val="15"/>
        <w:overflowPunct/>
        <w:autoSpaceDE/>
        <w:autoSpaceDN/>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④宣布获取</w:t>
      </w:r>
      <w:r>
        <w:rPr>
          <w:rFonts w:hint="eastAsia" w:ascii="宋体" w:hAnsi="宋体" w:eastAsia="宋体" w:cs="宋体"/>
          <w:color w:val="auto"/>
          <w:spacing w:val="-6"/>
          <w:sz w:val="22"/>
          <w:highlight w:val="none"/>
        </w:rPr>
        <w:t>本项目采购的投标人名单，宣读最终提交投标文件且通过资格审查的投标人名单，组织评审小组各位成员签订《政府采购评审人员廉洁自律承诺书》。</w:t>
      </w:r>
    </w:p>
    <w:p>
      <w:pPr>
        <w:pStyle w:val="15"/>
        <w:overflowPunct/>
        <w:autoSpaceDE/>
        <w:autoSpaceDN/>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⑤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int="eastAsia" w:ascii="宋体" w:hAnsi="宋体" w:eastAsia="宋体" w:cs="宋体"/>
          <w:color w:val="auto"/>
          <w:kern w:val="0"/>
          <w:sz w:val="22"/>
          <w:highlight w:val="none"/>
        </w:rPr>
        <w:t>评审小组要求投标人澄清、说明或者补正，须通过政采云平台要求澄清、说明或者补正。</w:t>
      </w:r>
    </w:p>
    <w:p>
      <w:pPr>
        <w:pStyle w:val="50"/>
        <w:snapToGrid w:val="0"/>
        <w:spacing w:line="360" w:lineRule="exact"/>
        <w:ind w:firstLine="416"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⑥评审小组组长组织评审小组独立评审。评审小组对拟认定为投标文件无效的，应组织相关投标人代表进行陈述、澄清或申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pPr>
        <w:pStyle w:val="15"/>
        <w:overflowPunct/>
        <w:autoSpaceDE/>
        <w:autoSpaceDN/>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做好评审现场相关记录，做好评审报告起草、有关内容电脑文字录入等工作，并要求评审小组各成员签字确认。</w:t>
      </w:r>
    </w:p>
    <w:p>
      <w:pPr>
        <w:pStyle w:val="15"/>
        <w:overflowPunct/>
        <w:autoSpaceDE/>
        <w:autoSpaceDN/>
        <w:adjustRightInd/>
        <w:spacing w:line="360" w:lineRule="exact"/>
        <w:ind w:firstLine="416" w:firstLineChars="200"/>
        <w:textAlignment w:val="auto"/>
        <w:rPr>
          <w:rFonts w:hint="eastAsia" w:ascii="宋体" w:hAnsi="宋体" w:eastAsia="宋体" w:cs="宋体"/>
          <w:b/>
          <w:bCs/>
          <w:color w:val="auto"/>
          <w:sz w:val="22"/>
          <w:highlight w:val="none"/>
        </w:rPr>
      </w:pPr>
      <w:r>
        <w:rPr>
          <w:rFonts w:hint="eastAsia" w:ascii="宋体" w:hAnsi="宋体" w:eastAsia="宋体" w:cs="宋体"/>
          <w:color w:val="auto"/>
          <w:spacing w:val="-6"/>
          <w:sz w:val="22"/>
          <w:highlight w:val="none"/>
        </w:rPr>
        <w:t>⑦评审结束后，采购代理机构交还评审人员及其他现场相关人员的通讯工具。</w:t>
      </w:r>
    </w:p>
    <w:p>
      <w:pPr>
        <w:spacing w:line="360" w:lineRule="exact"/>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5.投标无效的情形</w:t>
      </w:r>
    </w:p>
    <w:p>
      <w:pPr>
        <w:pStyle w:val="15"/>
        <w:overflowPunct/>
        <w:autoSpaceDE/>
        <w:autoSpaceDN/>
        <w:adjustRightInd/>
        <w:spacing w:line="360" w:lineRule="exact"/>
        <w:ind w:firstLine="440"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z w:val="22"/>
          <w:highlight w:val="none"/>
          <w:u w:val="single"/>
        </w:rPr>
        <w:t>▲</w:t>
      </w:r>
      <w:r>
        <w:rPr>
          <w:rFonts w:hint="eastAsia" w:ascii="宋体" w:hAnsi="宋体" w:eastAsia="宋体" w:cs="宋体"/>
          <w:color w:val="auto"/>
          <w:spacing w:val="-6"/>
          <w:sz w:val="22"/>
          <w:highlight w:val="none"/>
          <w:u w:val="single"/>
        </w:rPr>
        <w:t>5.1、有下列情形之一的，将不予受理投标文件：</w:t>
      </w:r>
    </w:p>
    <w:p>
      <w:pPr>
        <w:pStyle w:val="15"/>
        <w:numPr>
          <w:ilvl w:val="0"/>
          <w:numId w:val="6"/>
        </w:numPr>
        <w:overflowPunct/>
        <w:autoSpaceDE/>
        <w:autoSpaceDN/>
        <w:adjustRightInd/>
        <w:spacing w:line="360" w:lineRule="exact"/>
        <w:ind w:firstLine="416"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u w:val="single"/>
        </w:rPr>
        <w:t>逾期上传电子档投标文件至“政采云”平台的；</w:t>
      </w:r>
    </w:p>
    <w:p>
      <w:pPr>
        <w:pStyle w:val="15"/>
        <w:numPr>
          <w:ilvl w:val="0"/>
          <w:numId w:val="6"/>
        </w:numPr>
        <w:overflowPunct/>
        <w:autoSpaceDE/>
        <w:autoSpaceDN/>
        <w:adjustRightInd/>
        <w:spacing w:line="360" w:lineRule="exact"/>
        <w:ind w:firstLine="440"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z w:val="22"/>
          <w:highlight w:val="none"/>
          <w:u w:val="single"/>
        </w:rPr>
        <w:t>电子投标文件解密失败的，且未在规定时间内提交备份投标文件的视为投标无效。</w:t>
      </w:r>
    </w:p>
    <w:p>
      <w:pPr>
        <w:pStyle w:val="15"/>
        <w:numPr>
          <w:ilvl w:val="0"/>
          <w:numId w:val="6"/>
        </w:numPr>
        <w:overflowPunct/>
        <w:autoSpaceDE/>
        <w:autoSpaceDN/>
        <w:adjustRightInd/>
        <w:spacing w:line="360" w:lineRule="exact"/>
        <w:ind w:firstLine="416"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仅递交备份电子投标文件的；</w:t>
      </w:r>
    </w:p>
    <w:p>
      <w:pPr>
        <w:pStyle w:val="15"/>
        <w:numPr>
          <w:ilvl w:val="0"/>
          <w:numId w:val="6"/>
        </w:numPr>
        <w:overflowPunct/>
        <w:autoSpaceDE/>
        <w:autoSpaceDN/>
        <w:adjustRightInd/>
        <w:spacing w:line="360" w:lineRule="exact"/>
        <w:ind w:firstLine="416"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投标文件只有商务技术文件或者商务技术文件与报价文件部分上传在一份文档中的。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▲5.2在资格审查时，如发现下列情形之一的，投标无效：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（1）资格审查材料不全的，或者不符合招标文件要求的；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（2）资格审查材料未按招标文件要求签署、盖章的；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（3）不具备招标文件中规定的资格条件的；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（4）经查询存在不良信用记录的。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▲5.3在符合性审查、商务和技术评审时，如发现下列情形之一的，投标无效：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（1）“资格文件”或“商务和技术文件”未按招标文件要求签署、盖章的；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（2）未提供合法、有效有效法定代表人授权委托书；法定代表人或委托授权代表与投标文件所附身份证明不符；</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（3）明显不符合招标文件实质性要求或者与招标文件中标“▲且加下划线”的内容发生实质性偏离的；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（4）未提供或未如实提供采购需求偏离表的；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（5）未提供或未如实提供投标项目的技术参数，或者投标文件标明的响应或偏离与事实不符或虚假投标的；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（6）投标有效期不能满足招标文件要求的；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（7）投标技术方案不明确，存在一个或一个以上备选（替代）投标方案的；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（8）投标文件含有采购人不能接受的附加条件的；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（9）在“资格文件”或“商务和技术文件”中出现投标报价的；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（10）法律、法规和招标文件中规定的其他无效情形的。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▲5.4在报价评审时，如发现下列情形之一的，投标无效：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（1）报价文件未按招标文件要求签署、盖章的；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（2）未按照招标文件标明的币种报价的；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（3）报价超出招标文件中规定的预算金额或者最高限价或未按固定价格报价的；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（4）投标报价具有选择性，或者开标价格与投标文件承诺的优惠（折扣）价格不一致的；</w:t>
      </w:r>
    </w:p>
    <w:p>
      <w:pPr>
        <w:spacing w:line="40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（5）投标人对根据修正原则修正后的报价不确认的；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w:t>
      </w:r>
      <w:r>
        <w:rPr>
          <w:rFonts w:hint="eastAsia" w:ascii="宋体" w:hAnsi="宋体" w:eastAsia="宋体" w:cs="宋体"/>
          <w:color w:val="auto"/>
          <w:sz w:val="22"/>
          <w:highlight w:val="none"/>
          <w:u w:val="single"/>
          <w:lang w:val="en-US" w:eastAsia="zh-CN"/>
        </w:rPr>
        <w:t>6</w:t>
      </w:r>
      <w:r>
        <w:rPr>
          <w:rFonts w:hint="eastAsia" w:ascii="宋体" w:hAnsi="宋体" w:eastAsia="宋体" w:cs="宋体"/>
          <w:color w:val="auto"/>
          <w:sz w:val="22"/>
          <w:highlight w:val="none"/>
          <w:u w:val="single"/>
        </w:rPr>
        <w:t>）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rPr>
        <w:t>▲5.5</w:t>
      </w:r>
      <w:r>
        <w:rPr>
          <w:rFonts w:hint="eastAsia" w:ascii="宋体" w:hAnsi="宋体" w:eastAsia="宋体" w:cs="宋体"/>
          <w:color w:val="auto"/>
          <w:sz w:val="22"/>
          <w:highlight w:val="none"/>
          <w:u w:val="single"/>
          <w:lang w:val="zh-CN"/>
        </w:rPr>
        <w:t>有下列情形之一的，视为投标人串通投标，</w:t>
      </w:r>
      <w:r>
        <w:rPr>
          <w:rFonts w:hint="eastAsia" w:ascii="宋体" w:hAnsi="宋体" w:eastAsia="宋体" w:cs="宋体"/>
          <w:color w:val="auto"/>
          <w:sz w:val="22"/>
          <w:highlight w:val="none"/>
          <w:u w:val="single"/>
        </w:rPr>
        <w:t>投标无效</w:t>
      </w:r>
      <w:r>
        <w:rPr>
          <w:rFonts w:hint="eastAsia" w:ascii="宋体" w:hAnsi="宋体" w:eastAsia="宋体" w:cs="宋体"/>
          <w:color w:val="auto"/>
          <w:sz w:val="22"/>
          <w:highlight w:val="none"/>
          <w:u w:val="single"/>
          <w:lang w:val="zh-CN"/>
        </w:rPr>
        <w:t>，由采购人或采购代理机构上报政府采购监督管理部门，视情列入不良行为记录名单，在一至三年内禁止参加政府采购活动：</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1</w:t>
      </w:r>
      <w:r>
        <w:rPr>
          <w:rFonts w:hint="eastAsia" w:ascii="宋体" w:hAnsi="宋体" w:eastAsia="宋体" w:cs="宋体"/>
          <w:color w:val="auto"/>
          <w:sz w:val="22"/>
          <w:highlight w:val="none"/>
          <w:u w:val="single"/>
          <w:lang w:val="zh-CN"/>
        </w:rPr>
        <w:t>）不同投标人的投标文件由同一单位或者个人编制；</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2</w:t>
      </w:r>
      <w:r>
        <w:rPr>
          <w:rFonts w:hint="eastAsia" w:ascii="宋体" w:hAnsi="宋体" w:eastAsia="宋体" w:cs="宋体"/>
          <w:color w:val="auto"/>
          <w:sz w:val="22"/>
          <w:highlight w:val="none"/>
          <w:u w:val="single"/>
          <w:lang w:val="zh-CN"/>
        </w:rPr>
        <w:t>）不同投标人委托同一单位或者个人办理投标事宜；</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3</w:t>
      </w:r>
      <w:r>
        <w:rPr>
          <w:rFonts w:hint="eastAsia" w:ascii="宋体" w:hAnsi="宋体" w:eastAsia="宋体" w:cs="宋体"/>
          <w:color w:val="auto"/>
          <w:sz w:val="22"/>
          <w:highlight w:val="none"/>
          <w:u w:val="single"/>
          <w:lang w:val="zh-CN"/>
        </w:rPr>
        <w:t>）不同投标人的投标文件载明的项目管理成员或者联系人员为同一人；</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4</w:t>
      </w:r>
      <w:r>
        <w:rPr>
          <w:rFonts w:hint="eastAsia" w:ascii="宋体" w:hAnsi="宋体" w:eastAsia="宋体" w:cs="宋体"/>
          <w:color w:val="auto"/>
          <w:sz w:val="22"/>
          <w:highlight w:val="none"/>
          <w:u w:val="single"/>
          <w:lang w:val="zh-CN"/>
        </w:rPr>
        <w:t>）不同投标人的投标文件异常一致或者投标报价呈规律性差异；</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5</w:t>
      </w:r>
      <w:r>
        <w:rPr>
          <w:rFonts w:hint="eastAsia" w:ascii="宋体" w:hAnsi="宋体" w:eastAsia="宋体" w:cs="宋体"/>
          <w:color w:val="auto"/>
          <w:sz w:val="22"/>
          <w:highlight w:val="none"/>
          <w:u w:val="single"/>
          <w:lang w:val="zh-CN"/>
        </w:rPr>
        <w:t>）不同投标人的投标文件相互混装。</w:t>
      </w:r>
    </w:p>
    <w:p>
      <w:pPr>
        <w:pStyle w:val="15"/>
        <w:overflowPunct/>
        <w:autoSpaceDE/>
        <w:autoSpaceDN/>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6.错误修正</w:t>
      </w:r>
    </w:p>
    <w:p>
      <w:pPr>
        <w:pStyle w:val="15"/>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投标文件报价出现前后不一致的，除招标文件另有规定外，按照下列规定修正：</w:t>
      </w:r>
    </w:p>
    <w:p>
      <w:pPr>
        <w:pStyle w:val="15"/>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6.1投标文件中开标一览表（报价表）内容与投标文件中相应内容不一致的，以开标一览表（报价表）为准；</w:t>
      </w:r>
    </w:p>
    <w:p>
      <w:pPr>
        <w:pStyle w:val="15"/>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6.2大写金额和小写金额不一致的，以大写金额为准；</w:t>
      </w:r>
    </w:p>
    <w:p>
      <w:pPr>
        <w:pStyle w:val="15"/>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6.3单价金额小数点或者百分比有明显错位的，以开标一览表的总价为准，并修改单价；</w:t>
      </w:r>
    </w:p>
    <w:p>
      <w:pPr>
        <w:pStyle w:val="15"/>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6.4总价金额与按单价汇总金额不一致的，以单价金额计算结果为准。</w:t>
      </w:r>
    </w:p>
    <w:p>
      <w:pPr>
        <w:pStyle w:val="15"/>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6.5对不同文字文本投标文件的解释发生异义的，以中文文本为准</w:t>
      </w:r>
    </w:p>
    <w:p>
      <w:pPr>
        <w:pStyle w:val="15"/>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6.6客户端填写的报价与以pdf格式上传文件中的报价不一致的，应以Pdf格式上传文件中的报价为准。</w:t>
      </w:r>
    </w:p>
    <w:p>
      <w:pPr>
        <w:pStyle w:val="15"/>
        <w:overflowPunct/>
        <w:autoSpaceDE/>
        <w:autoSpaceDN/>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同时出现两种以上不一致的，按照前款规定的顺序修正。修正后的报价按照本招标文件“7.投标文件的澄清”规定经投标人确认后产生约束力，投标人不确认的，其投标无效。</w:t>
      </w:r>
    </w:p>
    <w:p>
      <w:pPr>
        <w:pStyle w:val="15"/>
        <w:overflowPunct/>
        <w:autoSpaceDE/>
        <w:autoSpaceDN/>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7.投标文件的澄清</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7.1为有助于投标文件的审查、评价，评审小组可以在“政采云”平台在线询标或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pPr>
        <w:pStyle w:val="15"/>
        <w:tabs>
          <w:tab w:val="left" w:pos="0"/>
        </w:tabs>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bCs/>
          <w:color w:val="auto"/>
          <w:sz w:val="22"/>
          <w:highlight w:val="none"/>
        </w:rPr>
        <w:t>7.2如果投标人代表拒绝按评审小组要求在“政采云”平台作出在线回复且无其他有效回复方式的，评审小组可以对其作出投标无效处理。</w:t>
      </w:r>
    </w:p>
    <w:p>
      <w:pPr>
        <w:tabs>
          <w:tab w:val="left" w:pos="1365"/>
        </w:tabs>
        <w:spacing w:line="360" w:lineRule="exact"/>
        <w:ind w:firstLine="442" w:firstLineChars="200"/>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w:t>
      </w:r>
      <w:r>
        <w:rPr>
          <w:rFonts w:hint="eastAsia" w:ascii="宋体" w:hAnsi="宋体" w:eastAsia="宋体" w:cs="宋体"/>
          <w:color w:val="auto"/>
          <w:sz w:val="22"/>
          <w:highlight w:val="none"/>
          <w:u w:val="single"/>
        </w:rPr>
        <w:t>7.3经澄清后，若偏差仍存在，且不可接受，投标人则被认为是“没有实质性响应招标文件要求”，其投标不进入下一步评审。</w:t>
      </w:r>
    </w:p>
    <w:p>
      <w:pPr>
        <w:pStyle w:val="15"/>
        <w:tabs>
          <w:tab w:val="left" w:pos="630"/>
        </w:tabs>
        <w:overflowPunct/>
        <w:autoSpaceDE/>
        <w:autoSpaceDN/>
        <w:adjustRightInd/>
        <w:snapToGrid w:val="0"/>
        <w:spacing w:line="360" w:lineRule="exact"/>
        <w:ind w:firstLine="433" w:firstLineChars="196"/>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8.评标原则和评标办法</w:t>
      </w:r>
    </w:p>
    <w:p>
      <w:pPr>
        <w:pStyle w:val="15"/>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pPr>
        <w:pStyle w:val="26"/>
        <w:spacing w:before="0" w:beforeAutospacing="0" w:after="0" w:afterAutospacing="0" w:line="360" w:lineRule="exact"/>
        <w:ind w:firstLine="440" w:firstLineChars="200"/>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8.2评标中因评审小组成员缺席、回避或者健康等特殊原因导致评审小组组成不符合规定的，依法补足后继续评标。被更换的评审小组成员所作出的评标意见无效。</w:t>
      </w:r>
    </w:p>
    <w:p>
      <w:pPr>
        <w:pStyle w:val="15"/>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8.3评审小组成员对需要共同认定的事项存在争议的，应当按照少数服从多数的原则作出结论。持不同意见的评审小组成员应当在评标报告上签署不同意见及理由，否则视为同意评标报告。</w:t>
      </w:r>
    </w:p>
    <w:p>
      <w:pPr>
        <w:pStyle w:val="15"/>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8.4评标办法。本项目评标办法是综合评分法，具体评标内容及评分标准等详见第六部分“评标原则及方法”。</w:t>
      </w:r>
    </w:p>
    <w:p>
      <w:pPr>
        <w:pStyle w:val="15"/>
        <w:overflowPunct/>
        <w:autoSpaceDE/>
        <w:autoSpaceDN/>
        <w:adjustRightInd/>
        <w:snapToGrid w:val="0"/>
        <w:spacing w:line="40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8.5评标过程中遇到特殊情况，由评审小组遵循公开、公正原则，采取投票方式按照少数服从多数原则决定。</w:t>
      </w:r>
    </w:p>
    <w:p>
      <w:pPr>
        <w:pStyle w:val="15"/>
        <w:overflowPunct/>
        <w:autoSpaceDE/>
        <w:autoSpaceDN/>
        <w:adjustRightInd/>
        <w:snapToGrid w:val="0"/>
        <w:spacing w:line="40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8.6《中华人民共和国政府采购法》第三十六条 在招标采购中，出现下列情形之一的，应予废标：</w:t>
      </w:r>
    </w:p>
    <w:p>
      <w:pPr>
        <w:pStyle w:val="15"/>
        <w:overflowPunct/>
        <w:autoSpaceDE/>
        <w:autoSpaceDN/>
        <w:adjustRightInd/>
        <w:snapToGrid w:val="0"/>
        <w:spacing w:line="40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（一）符合专业条件的供应商或者对招标文件作实质响应的供应商不足三家的；</w:t>
      </w:r>
    </w:p>
    <w:p>
      <w:pPr>
        <w:pStyle w:val="15"/>
        <w:overflowPunct/>
        <w:autoSpaceDE/>
        <w:autoSpaceDN/>
        <w:adjustRightInd/>
        <w:snapToGrid w:val="0"/>
        <w:spacing w:line="40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（二）出现影响采购公正的违法、违规行为的；</w:t>
      </w:r>
    </w:p>
    <w:p>
      <w:pPr>
        <w:pStyle w:val="15"/>
        <w:overflowPunct/>
        <w:autoSpaceDE/>
        <w:autoSpaceDN/>
        <w:adjustRightInd/>
        <w:snapToGrid w:val="0"/>
        <w:spacing w:line="40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（三）投标人的报价均超过了采购预算，采购人不能支付的；</w:t>
      </w:r>
    </w:p>
    <w:p>
      <w:pPr>
        <w:pStyle w:val="15"/>
        <w:overflowPunct/>
        <w:autoSpaceDE/>
        <w:autoSpaceDN/>
        <w:adjustRightInd/>
        <w:snapToGrid w:val="0"/>
        <w:spacing w:line="400" w:lineRule="exact"/>
        <w:ind w:firstLine="442" w:firstLineChars="200"/>
        <w:textAlignment w:val="auto"/>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（四）因重大变故，采购任务取消的。</w:t>
      </w:r>
    </w:p>
    <w:p>
      <w:pPr>
        <w:tabs>
          <w:tab w:val="left" w:pos="136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9.确定中标候选人</w:t>
      </w:r>
    </w:p>
    <w:p>
      <w:pPr>
        <w:tabs>
          <w:tab w:val="left" w:pos="136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9.1本次招标由评审小组确定中标候选人（招标文件另有规定的除外）。</w:t>
      </w:r>
    </w:p>
    <w:p>
      <w:pPr>
        <w:tabs>
          <w:tab w:val="left" w:pos="136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9.2本项目对每个标项分别进行打分，按照标项1、标项2</w:t>
      </w:r>
      <w:r>
        <w:rPr>
          <w:rFonts w:hint="eastAsia" w:ascii="宋体" w:hAnsi="宋体" w:cs="宋体"/>
          <w:color w:val="auto"/>
          <w:sz w:val="22"/>
          <w:highlight w:val="none"/>
          <w:lang w:eastAsia="zh-CN"/>
        </w:rPr>
        <w:t>、标项</w:t>
      </w:r>
      <w:r>
        <w:rPr>
          <w:rFonts w:hint="eastAsia" w:ascii="宋体" w:hAnsi="宋体" w:cs="宋体"/>
          <w:color w:val="auto"/>
          <w:sz w:val="22"/>
          <w:highlight w:val="none"/>
          <w:lang w:val="en-US" w:eastAsia="zh-CN"/>
        </w:rPr>
        <w:t>3</w:t>
      </w:r>
      <w:r>
        <w:rPr>
          <w:rFonts w:hint="eastAsia" w:ascii="宋体" w:hAnsi="宋体" w:eastAsia="宋体" w:cs="宋体"/>
          <w:color w:val="auto"/>
          <w:sz w:val="22"/>
          <w:highlight w:val="none"/>
        </w:rPr>
        <w:t>的顺序进行。</w:t>
      </w:r>
      <w:r>
        <w:rPr>
          <w:rFonts w:hint="eastAsia" w:ascii="宋体" w:hAnsi="宋体" w:eastAsia="宋体" w:cs="宋体"/>
          <w:color w:val="auto"/>
          <w:sz w:val="22"/>
          <w:szCs w:val="22"/>
          <w:highlight w:val="none"/>
          <w:lang w:eastAsia="zh-CN"/>
        </w:rPr>
        <w:t>考虑</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的疗休养服务时间主要集中在暑假（旅游旺季），</w:t>
      </w:r>
      <w:r>
        <w:rPr>
          <w:rFonts w:hint="eastAsia" w:ascii="宋体" w:hAnsi="宋体" w:cs="宋体"/>
          <w:color w:val="auto"/>
          <w:sz w:val="22"/>
          <w:szCs w:val="22"/>
          <w:highlight w:val="none"/>
          <w:lang w:val="en-US" w:eastAsia="zh-CN"/>
        </w:rPr>
        <w:t>仅一</w:t>
      </w:r>
      <w:r>
        <w:rPr>
          <w:rFonts w:hint="eastAsia" w:ascii="宋体" w:hAnsi="宋体" w:eastAsia="宋体" w:cs="宋体"/>
          <w:color w:val="auto"/>
          <w:sz w:val="22"/>
          <w:szCs w:val="22"/>
          <w:highlight w:val="none"/>
          <w:lang w:val="en-US" w:eastAsia="zh-CN"/>
        </w:rPr>
        <w:t>家</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val="en-US" w:eastAsia="zh-CN"/>
        </w:rPr>
        <w:t>中标后期容易影响服务质量</w:t>
      </w:r>
      <w:r>
        <w:rPr>
          <w:rFonts w:hint="eastAsia" w:ascii="宋体" w:hAnsi="宋体" w:cs="宋体"/>
          <w:color w:val="auto"/>
          <w:sz w:val="22"/>
          <w:szCs w:val="22"/>
          <w:highlight w:val="none"/>
          <w:lang w:val="en-US" w:eastAsia="zh-CN"/>
        </w:rPr>
        <w:t>，</w:t>
      </w:r>
      <w:r>
        <w:rPr>
          <w:rFonts w:hint="eastAsia" w:ascii="宋体" w:hAnsi="宋体" w:cs="宋体"/>
          <w:color w:val="auto"/>
          <w:sz w:val="22"/>
          <w:highlight w:val="none"/>
          <w:lang w:eastAsia="zh-CN"/>
        </w:rPr>
        <w:t>故</w:t>
      </w:r>
      <w:r>
        <w:rPr>
          <w:rFonts w:hint="eastAsia" w:ascii="宋体" w:hAnsi="宋体" w:eastAsia="宋体" w:cs="宋体"/>
          <w:color w:val="auto"/>
          <w:sz w:val="22"/>
          <w:szCs w:val="22"/>
          <w:highlight w:val="none"/>
        </w:rPr>
        <w:t>仅允许</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在其中一个标项中标，如标项1成交后，不进入标项2</w:t>
      </w:r>
      <w:r>
        <w:rPr>
          <w:rFonts w:hint="eastAsia" w:ascii="宋体" w:hAnsi="宋体" w:cs="宋体"/>
          <w:color w:val="auto"/>
          <w:sz w:val="22"/>
          <w:szCs w:val="22"/>
          <w:highlight w:val="none"/>
          <w:lang w:eastAsia="zh-CN"/>
        </w:rPr>
        <w:t>、标项</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评审</w:t>
      </w:r>
      <w:r>
        <w:rPr>
          <w:rFonts w:hint="eastAsia" w:ascii="宋体" w:hAnsi="宋体" w:cs="宋体"/>
          <w:color w:val="auto"/>
          <w:sz w:val="22"/>
          <w:szCs w:val="22"/>
          <w:highlight w:val="none"/>
          <w:lang w:eastAsia="zh-CN"/>
        </w:rPr>
        <w:t>，标项</w:t>
      </w:r>
      <w:r>
        <w:rPr>
          <w:rFonts w:hint="eastAsia" w:ascii="宋体" w:hAnsi="宋体" w:cs="宋体"/>
          <w:color w:val="auto"/>
          <w:sz w:val="22"/>
          <w:szCs w:val="22"/>
          <w:highlight w:val="none"/>
          <w:lang w:val="en-US" w:eastAsia="zh-CN"/>
        </w:rPr>
        <w:t>2成交后，不进入标项3评审</w:t>
      </w:r>
      <w:r>
        <w:rPr>
          <w:rFonts w:hint="eastAsia" w:ascii="宋体" w:hAnsi="宋体" w:eastAsia="宋体" w:cs="宋体"/>
          <w:color w:val="auto"/>
          <w:sz w:val="22"/>
          <w:szCs w:val="22"/>
          <w:highlight w:val="none"/>
        </w:rPr>
        <w:t>。</w:t>
      </w:r>
      <w:r>
        <w:rPr>
          <w:rFonts w:hint="eastAsia" w:ascii="宋体" w:hAnsi="宋体" w:eastAsia="宋体" w:cs="宋体"/>
          <w:b/>
          <w:bCs/>
          <w:color w:val="auto"/>
          <w:sz w:val="22"/>
          <w:highlight w:val="none"/>
          <w:u w:val="single"/>
        </w:rPr>
        <w:t>▲</w:t>
      </w:r>
      <w:r>
        <w:rPr>
          <w:rFonts w:hint="eastAsia" w:ascii="宋体" w:hAnsi="宋体" w:eastAsia="宋体" w:cs="宋体"/>
          <w:b/>
          <w:bCs/>
          <w:color w:val="auto"/>
          <w:sz w:val="22"/>
          <w:highlight w:val="none"/>
          <w:u w:val="single"/>
          <w:lang w:eastAsia="zh-CN"/>
        </w:rPr>
        <w:t>投标人被推荐为第一标项排名第一的中标人后，后续标项投标响应文件按符合性不通过处理</w:t>
      </w:r>
      <w:r>
        <w:rPr>
          <w:rFonts w:hint="eastAsia" w:ascii="宋体" w:hAnsi="宋体" w:eastAsia="宋体" w:cs="宋体"/>
          <w:b/>
          <w:bCs/>
          <w:color w:val="auto"/>
          <w:sz w:val="22"/>
          <w:highlight w:val="none"/>
          <w:u w:val="single"/>
        </w:rPr>
        <w:t>。</w:t>
      </w:r>
      <w:r>
        <w:rPr>
          <w:rFonts w:hint="eastAsia" w:ascii="宋体" w:hAnsi="宋体" w:eastAsia="宋体" w:cs="宋体"/>
          <w:color w:val="auto"/>
          <w:sz w:val="22"/>
          <w:highlight w:val="none"/>
        </w:rPr>
        <w:t>）</w:t>
      </w:r>
      <w:r>
        <w:rPr>
          <w:rFonts w:hint="eastAsia" w:ascii="宋体" w:hAnsi="宋体" w:eastAsia="宋体" w:cs="宋体"/>
          <w:color w:val="auto"/>
          <w:sz w:val="22"/>
          <w:szCs w:val="22"/>
          <w:highlight w:val="none"/>
        </w:rPr>
        <w:t>评审小组应当根据综合评分情况，按照评审得分由高到低每标项推荐不少于2名</w:t>
      </w:r>
      <w:r>
        <w:rPr>
          <w:rFonts w:hint="eastAsia" w:ascii="宋体" w:hAnsi="宋体" w:eastAsia="宋体" w:cs="宋体"/>
          <w:color w:val="auto"/>
          <w:sz w:val="22"/>
          <w:szCs w:val="22"/>
          <w:highlight w:val="none"/>
          <w:lang w:eastAsia="zh-CN"/>
        </w:rPr>
        <w:t>中标候选人</w:t>
      </w:r>
      <w:r>
        <w:rPr>
          <w:rFonts w:hint="eastAsia" w:ascii="宋体" w:hAnsi="宋体" w:eastAsia="宋体" w:cs="宋体"/>
          <w:color w:val="auto"/>
          <w:sz w:val="22"/>
          <w:szCs w:val="22"/>
          <w:highlight w:val="none"/>
        </w:rPr>
        <w:t>，并编写评审报告。评审得分相同的，</w:t>
      </w:r>
      <w:r>
        <w:rPr>
          <w:rFonts w:hint="eastAsia" w:ascii="宋体" w:hAnsi="宋体" w:cs="宋体"/>
          <w:b/>
          <w:bCs/>
          <w:color w:val="FF0000"/>
          <w:sz w:val="22"/>
          <w:highlight w:val="none"/>
        </w:rPr>
        <w:t>（先根据策划方案得分由高到低进行排序，相同的按温州地区疗休养方案、浙江省内疗休养方案、邻省疗休养方案、对口支援（帮扶、合作）地区疗休养方案得分由高到低进行排序：即先按温州地区疗休养全部方案的得分由高到低进行排序，相同的按浙江省内疗休养方案得分由高到低进行排序，以此类推。）顺序推荐，以上全部相同的由评审小组组长抽签决定</w:t>
      </w:r>
      <w:r>
        <w:rPr>
          <w:rFonts w:hint="eastAsia" w:ascii="宋体" w:hAnsi="宋体" w:eastAsia="宋体" w:cs="宋体"/>
          <w:color w:val="auto"/>
          <w:sz w:val="22"/>
          <w:highlight w:val="none"/>
        </w:rPr>
        <w:t>。</w:t>
      </w:r>
    </w:p>
    <w:p>
      <w:pPr>
        <w:widowControl/>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9.3排名第一的中标候选人放弃中标；因不可抗力提出不能履行合同；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pPr>
        <w:tabs>
          <w:tab w:val="left" w:pos="1365"/>
        </w:tabs>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9.4采购人根据招标文件、中标人的投标文件、合同等材料及时组织验收，并严把质量关。</w:t>
      </w:r>
    </w:p>
    <w:p>
      <w:pPr>
        <w:tabs>
          <w:tab w:val="left" w:pos="1365"/>
        </w:tabs>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9.5采购代理机构对决标结果不做任何解释，也不保证最低价中标。</w:t>
      </w:r>
    </w:p>
    <w:p>
      <w:pPr>
        <w:pStyle w:val="15"/>
        <w:snapToGrid w:val="0"/>
        <w:spacing w:line="360" w:lineRule="exact"/>
        <w:ind w:firstLine="433" w:firstLineChars="196"/>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10.定标</w:t>
      </w:r>
    </w:p>
    <w:p>
      <w:pPr>
        <w:pStyle w:val="15"/>
        <w:snapToGrid w:val="0"/>
        <w:spacing w:line="360" w:lineRule="exact"/>
        <w:ind w:firstLine="433" w:firstLineChars="196"/>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（一）确定中标人。本项目由采购人确定中标人。</w:t>
      </w:r>
    </w:p>
    <w:p>
      <w:pPr>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w:t>
      </w:r>
    </w:p>
    <w:p>
      <w:pPr>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采购代理机构自中标人确定之日起2个工作日内，在省级以上财政部门指定的政府采购信息发布媒体上公告中标结果，同时向中标人发出中标通知书。</w:t>
      </w:r>
    </w:p>
    <w:p>
      <w:pPr>
        <w:spacing w:line="400" w:lineRule="exact"/>
        <w:jc w:val="center"/>
        <w:outlineLvl w:val="1"/>
        <w:rPr>
          <w:rFonts w:hint="eastAsia" w:ascii="宋体" w:hAnsi="宋体" w:eastAsia="宋体" w:cs="宋体"/>
          <w:b/>
          <w:color w:val="auto"/>
          <w:sz w:val="26"/>
          <w:highlight w:val="none"/>
        </w:rPr>
      </w:pPr>
      <w:bookmarkStart w:id="9" w:name="_Toc498"/>
      <w:r>
        <w:rPr>
          <w:rFonts w:hint="eastAsia" w:ascii="宋体" w:hAnsi="宋体" w:eastAsia="宋体" w:cs="宋体"/>
          <w:b/>
          <w:color w:val="auto"/>
          <w:sz w:val="26"/>
          <w:highlight w:val="none"/>
        </w:rPr>
        <w:t>六、授予合同</w:t>
      </w:r>
      <w:bookmarkEnd w:id="9"/>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中标后无正当理由拒不与采购人签订政府采购合同，将取消中标资格，并处以采购金额千分之五以上千分之十以下的罚款，由政府采购监督管理部门列入不良行为记录名单，在一至三年内禁止参加政府采购活动，有违法所得的，并处没收违法所得。</w:t>
      </w:r>
    </w:p>
    <w:p>
      <w:pPr>
        <w:spacing w:line="360" w:lineRule="exact"/>
        <w:ind w:firstLine="464" w:firstLineChars="200"/>
        <w:jc w:val="left"/>
        <w:rPr>
          <w:rFonts w:hint="eastAsia" w:ascii="宋体" w:hAnsi="宋体" w:eastAsia="宋体" w:cs="宋体"/>
          <w:color w:val="auto"/>
          <w:spacing w:val="6"/>
          <w:sz w:val="22"/>
          <w:highlight w:val="none"/>
          <w:lang w:eastAsia="zh-CN"/>
        </w:rPr>
      </w:pPr>
      <w:r>
        <w:rPr>
          <w:rFonts w:hint="eastAsia" w:ascii="宋体" w:hAnsi="宋体" w:eastAsia="宋体" w:cs="宋体"/>
          <w:color w:val="auto"/>
          <w:spacing w:val="6"/>
          <w:sz w:val="22"/>
          <w:highlight w:val="none"/>
          <w:lang w:val="en-US" w:eastAsia="zh-CN"/>
        </w:rPr>
        <w:t>3.</w:t>
      </w:r>
      <w:r>
        <w:rPr>
          <w:rFonts w:hint="eastAsia" w:ascii="宋体" w:hAnsi="宋体" w:eastAsia="宋体" w:cs="宋体"/>
          <w:color w:val="auto"/>
          <w:spacing w:val="6"/>
          <w:sz w:val="22"/>
          <w:highlight w:val="none"/>
          <w:lang w:eastAsia="zh-CN"/>
        </w:rPr>
        <w:t>供应商在政府采购活动中违反政府采购相关规定给采购组织机构造成损失的，供应商承担赔偿责任；中标、成交供应商放弃中标、成交资格导致重新采购的，应当承担支付</w:t>
      </w:r>
      <w:r>
        <w:rPr>
          <w:rFonts w:hint="eastAsia" w:ascii="宋体" w:hAnsi="宋体" w:eastAsia="宋体" w:cs="宋体"/>
          <w:color w:val="auto"/>
          <w:spacing w:val="6"/>
          <w:sz w:val="22"/>
          <w:highlight w:val="none"/>
          <w:lang w:val="en-US" w:eastAsia="zh-CN"/>
        </w:rPr>
        <w:t>采购代理服务</w:t>
      </w:r>
      <w:r>
        <w:rPr>
          <w:rFonts w:hint="eastAsia" w:ascii="宋体" w:hAnsi="宋体" w:eastAsia="宋体" w:cs="宋体"/>
          <w:color w:val="auto"/>
          <w:spacing w:val="6"/>
          <w:sz w:val="22"/>
          <w:highlight w:val="none"/>
          <w:lang w:eastAsia="zh-CN"/>
        </w:rPr>
        <w:t>费和专家评审费等费用在内的赔偿责任。</w:t>
      </w:r>
    </w:p>
    <w:p>
      <w:pPr>
        <w:spacing w:line="360" w:lineRule="exact"/>
        <w:ind w:firstLine="464" w:firstLineChars="200"/>
        <w:jc w:val="left"/>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lang w:val="en-US" w:eastAsia="zh-CN"/>
        </w:rPr>
        <w:t>4.</w:t>
      </w:r>
      <w:r>
        <w:rPr>
          <w:rFonts w:hint="eastAsia" w:ascii="宋体" w:hAnsi="宋体" w:eastAsia="宋体" w:cs="宋体"/>
          <w:color w:val="auto"/>
          <w:spacing w:val="6"/>
          <w:sz w:val="22"/>
          <w:highlight w:val="none"/>
        </w:rPr>
        <w:t>采购人不得向供应商索要或者接受其给予的赠品、回扣或者与采购无关的其他商品、服务。采购过程（采购文件）中应明确以下要求：</w:t>
      </w:r>
    </w:p>
    <w:p>
      <w:pPr>
        <w:spacing w:line="40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（1）不得明示或暗示供应商提供赠品、回扣、采购预算中本身不包含的其他商品或服务；</w:t>
      </w:r>
    </w:p>
    <w:p>
      <w:pPr>
        <w:spacing w:line="40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（2）供应商承诺提供赠品、回扣、采购预算中本身不包含的其他商品或服务，视作无效承诺；不得因无效承诺对供应商实行差别待遇或者歧视待遇；</w:t>
      </w:r>
    </w:p>
    <w:p>
      <w:pPr>
        <w:spacing w:line="40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（3）合同总价</w:t>
      </w:r>
      <w:r>
        <w:rPr>
          <w:rFonts w:hint="eastAsia" w:ascii="宋体" w:hAnsi="宋体" w:eastAsia="宋体" w:cs="宋体"/>
          <w:color w:val="auto"/>
          <w:spacing w:val="6"/>
          <w:sz w:val="22"/>
          <w:highlight w:val="none"/>
          <w:lang w:eastAsia="zh-CN"/>
        </w:rPr>
        <w:t>不为零</w:t>
      </w:r>
      <w:r>
        <w:rPr>
          <w:rFonts w:hint="eastAsia" w:ascii="宋体" w:hAnsi="宋体" w:eastAsia="宋体" w:cs="宋体"/>
          <w:color w:val="auto"/>
          <w:spacing w:val="6"/>
          <w:sz w:val="22"/>
          <w:highlight w:val="none"/>
        </w:rPr>
        <w:t>，报价明细表中</w:t>
      </w:r>
      <w:r>
        <w:rPr>
          <w:rFonts w:hint="eastAsia" w:ascii="宋体" w:hAnsi="宋体" w:eastAsia="宋体" w:cs="宋体"/>
          <w:color w:val="auto"/>
          <w:spacing w:val="6"/>
          <w:sz w:val="22"/>
          <w:highlight w:val="none"/>
          <w:lang w:eastAsia="zh-CN"/>
        </w:rPr>
        <w:t>部分</w:t>
      </w:r>
      <w:r>
        <w:rPr>
          <w:rFonts w:hint="eastAsia" w:ascii="宋体" w:hAnsi="宋体" w:eastAsia="宋体" w:cs="宋体"/>
          <w:color w:val="auto"/>
          <w:spacing w:val="6"/>
          <w:sz w:val="22"/>
          <w:highlight w:val="none"/>
        </w:rPr>
        <w:t>产品、服务单价为零的，视作已包含在总价中</w:t>
      </w:r>
      <w:r>
        <w:rPr>
          <w:rFonts w:hint="eastAsia" w:ascii="宋体" w:hAnsi="宋体" w:eastAsia="宋体" w:cs="宋体"/>
          <w:color w:val="auto"/>
          <w:spacing w:val="6"/>
          <w:sz w:val="22"/>
          <w:highlight w:val="none"/>
          <w:lang w:eastAsia="zh-CN"/>
        </w:rPr>
        <w:t>（采购文件中明确）</w:t>
      </w:r>
      <w:r>
        <w:rPr>
          <w:rFonts w:hint="eastAsia" w:ascii="宋体" w:hAnsi="宋体" w:eastAsia="宋体" w:cs="宋体"/>
          <w:color w:val="auto"/>
          <w:spacing w:val="6"/>
          <w:sz w:val="22"/>
          <w:highlight w:val="none"/>
        </w:rPr>
        <w:t>；</w:t>
      </w:r>
    </w:p>
    <w:p>
      <w:pPr>
        <w:spacing w:line="40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（4）不得将供应商提供赠品、回扣、采购预算中本身不包含的其他商品或服务作为中标（成交）条件或者合同签订条件；</w:t>
      </w:r>
    </w:p>
    <w:p>
      <w:pPr>
        <w:spacing w:line="40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（5）合同签订后，不得接受供应商无效承诺的赠品、回扣、采购预算中本身不包含的其他商品或服务；</w:t>
      </w:r>
    </w:p>
    <w:p>
      <w:pPr>
        <w:spacing w:line="40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（6）合同签订后，不得向供应商索要赠品、回扣、采购预算中本身不包含的其他商品或服务；</w:t>
      </w:r>
    </w:p>
    <w:p>
      <w:pPr>
        <w:spacing w:line="40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（7）履约验收环节，不得因供应商提供赠品、回扣、采购预算中本身不包含的其他商品或服务减免供应商违约责任。</w:t>
      </w:r>
    </w:p>
    <w:p>
      <w:pPr>
        <w:spacing w:line="360" w:lineRule="exact"/>
        <w:jc w:val="center"/>
        <w:outlineLvl w:val="1"/>
        <w:rPr>
          <w:rFonts w:hint="eastAsia" w:ascii="宋体" w:hAnsi="宋体" w:eastAsia="宋体" w:cs="宋体"/>
          <w:b/>
          <w:color w:val="auto"/>
          <w:sz w:val="28"/>
          <w:szCs w:val="28"/>
          <w:highlight w:val="none"/>
        </w:rPr>
      </w:pPr>
      <w:bookmarkStart w:id="10" w:name="_Toc13312"/>
      <w:r>
        <w:rPr>
          <w:rFonts w:hint="eastAsia" w:ascii="宋体" w:hAnsi="宋体" w:eastAsia="宋体" w:cs="宋体"/>
          <w:b/>
          <w:color w:val="auto"/>
          <w:sz w:val="26"/>
          <w:highlight w:val="none"/>
        </w:rPr>
        <w:t>七、</w:t>
      </w:r>
      <w:r>
        <w:rPr>
          <w:rFonts w:hint="eastAsia" w:ascii="宋体" w:hAnsi="宋体" w:eastAsia="宋体" w:cs="宋体"/>
          <w:b/>
          <w:color w:val="auto"/>
          <w:sz w:val="28"/>
          <w:szCs w:val="28"/>
          <w:highlight w:val="none"/>
        </w:rPr>
        <w:t>可中止电子交易活动的情形</w:t>
      </w:r>
      <w:bookmarkEnd w:id="10"/>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zh-CN"/>
        </w:rPr>
        <w:t>采购过程中出现以下情形，导致电子交易平台无法正常运行，或者无法保证电子交易的公平、公正和安全时，采购组织机构可中止电子交易活动：</w:t>
      </w:r>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（一）电子交易平台发生故障而无法登录访问的； </w:t>
      </w:r>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（二）电子交易平台应用或数据库出现错误，不能进行正常操作的；</w:t>
      </w:r>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（三）电子交易平台发现严重安全漏洞，有潜在泄密危险的；</w:t>
      </w:r>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（四）病毒发作导致不能进行正常操作的； </w:t>
      </w:r>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（五）其他无法保证电子交易的公平、公正和安全的情况。</w:t>
      </w:r>
    </w:p>
    <w:p>
      <w:pPr>
        <w:spacing w:line="40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出现前款规定情形，不影响采购公平、公正性的，采购代理机构可以待上述情形消除后继续组织电子交易活动，也可以决定某些环节以纸质形式进行；影响或可能影响采购公平、公正性的，重新采购。</w:t>
      </w:r>
    </w:p>
    <w:p>
      <w:pPr>
        <w:spacing w:line="400" w:lineRule="exact"/>
        <w:ind w:firstLine="442" w:firstLineChars="200"/>
        <w:jc w:val="center"/>
        <w:outlineLvl w:val="0"/>
        <w:rPr>
          <w:rFonts w:hint="eastAsia" w:ascii="宋体" w:hAnsi="宋体" w:eastAsia="宋体" w:cs="宋体"/>
          <w:b/>
          <w:color w:val="auto"/>
          <w:sz w:val="32"/>
          <w:highlight w:val="none"/>
        </w:rPr>
      </w:pPr>
      <w:r>
        <w:rPr>
          <w:rFonts w:hint="eastAsia" w:ascii="宋体" w:hAnsi="宋体" w:eastAsia="宋体" w:cs="宋体"/>
          <w:b/>
          <w:color w:val="auto"/>
          <w:sz w:val="22"/>
          <w:highlight w:val="none"/>
        </w:rPr>
        <w:br w:type="page"/>
      </w:r>
      <w:bookmarkStart w:id="11" w:name="_Toc14916"/>
      <w:r>
        <w:rPr>
          <w:rFonts w:hint="eastAsia" w:ascii="宋体" w:hAnsi="宋体" w:eastAsia="宋体" w:cs="宋体"/>
          <w:b/>
          <w:color w:val="auto"/>
          <w:sz w:val="32"/>
          <w:highlight w:val="none"/>
        </w:rPr>
        <w:t>第三部分 拟签订的合同文本</w:t>
      </w:r>
      <w:bookmarkEnd w:id="11"/>
    </w:p>
    <w:p>
      <w:pPr>
        <w:spacing w:line="400" w:lineRule="exact"/>
        <w:jc w:val="center"/>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（本合同为样稿，最终稿由</w:t>
      </w:r>
      <w:r>
        <w:rPr>
          <w:rFonts w:hint="eastAsia" w:ascii="宋体" w:hAnsi="宋体" w:eastAsia="宋体" w:cs="宋体"/>
          <w:color w:val="auto"/>
          <w:sz w:val="22"/>
          <w:highlight w:val="none"/>
          <w:lang w:eastAsia="zh-CN"/>
        </w:rPr>
        <w:t>甲乙</w:t>
      </w:r>
      <w:r>
        <w:rPr>
          <w:rFonts w:hint="eastAsia" w:ascii="宋体" w:hAnsi="宋体" w:eastAsia="宋体" w:cs="宋体"/>
          <w:color w:val="auto"/>
          <w:sz w:val="22"/>
          <w:highlight w:val="none"/>
        </w:rPr>
        <w:t>双方协商后确定）</w:t>
      </w:r>
    </w:p>
    <w:p>
      <w:pPr>
        <w:spacing w:after="0" w:line="360" w:lineRule="exact"/>
        <w:ind w:firstLine="442" w:firstLineChars="200"/>
        <w:jc w:val="center"/>
        <w:rPr>
          <w:rFonts w:ascii="宋体" w:hAnsi="宋体" w:cs="Arial"/>
          <w:b/>
          <w:bCs/>
          <w:sz w:val="22"/>
          <w:szCs w:val="22"/>
          <w:highlight w:val="none"/>
        </w:rPr>
      </w:pPr>
      <w:r>
        <w:rPr>
          <w:rFonts w:hint="eastAsia" w:ascii="宋体" w:hAnsi="宋体" w:cs="Arial"/>
          <w:b/>
          <w:bCs/>
          <w:sz w:val="22"/>
          <w:szCs w:val="22"/>
          <w:highlight w:val="none"/>
        </w:rPr>
        <w:t>疗休养服务合同</w:t>
      </w:r>
    </w:p>
    <w:p>
      <w:pPr>
        <w:spacing w:after="0" w:line="360" w:lineRule="exact"/>
        <w:ind w:firstLine="440" w:firstLineChars="200"/>
        <w:rPr>
          <w:rFonts w:hint="eastAsia" w:ascii="宋体" w:hAnsi="宋体" w:cs="Arial"/>
          <w:sz w:val="22"/>
          <w:szCs w:val="22"/>
          <w:highlight w:val="none"/>
          <w:u w:val="single"/>
        </w:rPr>
      </w:pPr>
      <w:r>
        <w:rPr>
          <w:rFonts w:hint="eastAsia" w:ascii="宋体" w:hAnsi="宋体" w:cs="Arial"/>
          <w:sz w:val="22"/>
          <w:szCs w:val="22"/>
          <w:highlight w:val="none"/>
        </w:rPr>
        <w:t xml:space="preserve">甲方： </w:t>
      </w:r>
      <w:r>
        <w:rPr>
          <w:rFonts w:hint="eastAsia" w:ascii="宋体" w:hAnsi="宋体" w:cs="Arial"/>
          <w:sz w:val="22"/>
          <w:szCs w:val="22"/>
          <w:highlight w:val="none"/>
          <w:u w:val="single"/>
        </w:rPr>
        <w:t xml:space="preserve">   </w:t>
      </w:r>
      <w:r>
        <w:rPr>
          <w:rFonts w:ascii="宋体" w:hAnsi="宋体" w:cs="Arial"/>
          <w:sz w:val="22"/>
          <w:szCs w:val="22"/>
          <w:highlight w:val="none"/>
          <w:u w:val="single"/>
        </w:rPr>
        <w:t xml:space="preserve">       </w:t>
      </w:r>
      <w:r>
        <w:rPr>
          <w:rFonts w:hint="eastAsia" w:ascii="宋体" w:hAnsi="宋体" w:cs="Arial"/>
          <w:sz w:val="22"/>
          <w:szCs w:val="22"/>
          <w:highlight w:val="none"/>
          <w:u w:val="single"/>
        </w:rPr>
        <w:t xml:space="preserve">   </w:t>
      </w:r>
    </w:p>
    <w:p>
      <w:pPr>
        <w:spacing w:after="0" w:line="360" w:lineRule="exact"/>
        <w:ind w:firstLine="440" w:firstLineChars="200"/>
        <w:rPr>
          <w:rFonts w:ascii="宋体" w:hAnsi="宋体" w:cs="Arial"/>
          <w:sz w:val="22"/>
          <w:szCs w:val="22"/>
          <w:highlight w:val="none"/>
          <w:u w:val="single"/>
        </w:rPr>
      </w:pPr>
      <w:r>
        <w:rPr>
          <w:rFonts w:hint="eastAsia" w:ascii="宋体" w:hAnsi="宋体" w:cs="Arial"/>
          <w:sz w:val="22"/>
          <w:szCs w:val="22"/>
          <w:highlight w:val="none"/>
        </w:rPr>
        <w:t xml:space="preserve">乙方： </w:t>
      </w:r>
      <w:r>
        <w:rPr>
          <w:rFonts w:hint="eastAsia" w:ascii="宋体" w:hAnsi="宋体" w:cs="Arial"/>
          <w:sz w:val="22"/>
          <w:szCs w:val="22"/>
          <w:highlight w:val="none"/>
          <w:u w:val="single"/>
        </w:rPr>
        <w:t xml:space="preserve">    </w:t>
      </w:r>
      <w:r>
        <w:rPr>
          <w:rFonts w:ascii="宋体" w:hAnsi="宋体" w:cs="Arial"/>
          <w:sz w:val="22"/>
          <w:szCs w:val="22"/>
          <w:highlight w:val="none"/>
          <w:u w:val="single"/>
        </w:rPr>
        <w:t xml:space="preserve">        </w:t>
      </w:r>
      <w:r>
        <w:rPr>
          <w:rFonts w:hint="eastAsia" w:ascii="宋体" w:hAnsi="宋体" w:cs="Arial"/>
          <w:sz w:val="22"/>
          <w:szCs w:val="22"/>
          <w:highlight w:val="none"/>
          <w:u w:val="single"/>
        </w:rPr>
        <w:t xml:space="preserve"> </w:t>
      </w:r>
      <w:r>
        <w:rPr>
          <w:rFonts w:ascii="宋体" w:hAnsi="宋体" w:cs="Arial"/>
          <w:sz w:val="22"/>
          <w:szCs w:val="22"/>
          <w:highlight w:val="none"/>
          <w:u w:val="single"/>
        </w:rPr>
        <w:t xml:space="preserve">    </w:t>
      </w:r>
    </w:p>
    <w:p>
      <w:pPr>
        <w:spacing w:after="0" w:line="360" w:lineRule="exact"/>
        <w:ind w:firstLine="440" w:firstLineChars="200"/>
        <w:rPr>
          <w:rFonts w:hint="eastAsia" w:ascii="宋体" w:hAnsi="宋体" w:cs="Arial"/>
          <w:sz w:val="22"/>
          <w:szCs w:val="22"/>
          <w:highlight w:val="none"/>
          <w:u w:val="single"/>
        </w:rPr>
      </w:pPr>
      <w:r>
        <w:rPr>
          <w:rFonts w:hint="eastAsia" w:ascii="宋体" w:hAnsi="宋体" w:cs="Arial"/>
          <w:sz w:val="22"/>
          <w:szCs w:val="22"/>
          <w:highlight w:val="none"/>
        </w:rPr>
        <w:t>合同鉴证方：</w:t>
      </w:r>
      <w:r>
        <w:rPr>
          <w:rFonts w:hint="eastAsia" w:ascii="宋体" w:hAnsi="宋体" w:cs="Arial"/>
          <w:sz w:val="22"/>
          <w:szCs w:val="22"/>
          <w:highlight w:val="none"/>
          <w:u w:val="single"/>
        </w:rPr>
        <w:t xml:space="preserve"> </w:t>
      </w:r>
      <w:r>
        <w:rPr>
          <w:rFonts w:ascii="宋体" w:hAnsi="宋体" w:cs="Arial"/>
          <w:sz w:val="22"/>
          <w:szCs w:val="22"/>
          <w:highlight w:val="none"/>
          <w:u w:val="single"/>
        </w:rPr>
        <w:t xml:space="preserve">           </w:t>
      </w:r>
    </w:p>
    <w:p>
      <w:pPr>
        <w:spacing w:before="157" w:beforeLines="50" w:after="0" w:line="360" w:lineRule="exact"/>
        <w:ind w:left="17" w:leftChars="8" w:firstLine="454"/>
        <w:rPr>
          <w:rFonts w:hint="eastAsia" w:ascii="宋体" w:hAnsi="宋体"/>
          <w:sz w:val="22"/>
          <w:szCs w:val="22"/>
          <w:highlight w:val="none"/>
        </w:rPr>
      </w:pPr>
      <w:r>
        <w:rPr>
          <w:rFonts w:hint="eastAsia" w:ascii="宋体" w:hAnsi="宋体" w:cs="宋体"/>
          <w:sz w:val="22"/>
          <w:szCs w:val="22"/>
          <w:highlight w:val="none"/>
          <w:u w:val="single"/>
        </w:rPr>
        <w:t>温州理工学院</w:t>
      </w:r>
      <w:r>
        <w:rPr>
          <w:rFonts w:hint="eastAsia" w:ascii="宋体" w:hAnsi="宋体" w:cs="宋体"/>
          <w:sz w:val="22"/>
          <w:szCs w:val="22"/>
          <w:highlight w:val="none"/>
        </w:rPr>
        <w:t>采购的</w:t>
      </w:r>
      <w:r>
        <w:rPr>
          <w:rFonts w:hint="eastAsia" w:ascii="宋体" w:hAnsi="宋体" w:cs="宋体"/>
          <w:sz w:val="22"/>
          <w:szCs w:val="22"/>
          <w:highlight w:val="none"/>
          <w:u w:val="single"/>
        </w:rPr>
        <w:t xml:space="preserve">   </w:t>
      </w:r>
      <w:r>
        <w:rPr>
          <w:rFonts w:ascii="宋体" w:hAnsi="宋体" w:cs="宋体"/>
          <w:sz w:val="22"/>
          <w:szCs w:val="22"/>
          <w:highlight w:val="none"/>
          <w:u w:val="single"/>
        </w:rPr>
        <w:t xml:space="preserve">     </w:t>
      </w:r>
      <w:r>
        <w:rPr>
          <w:rFonts w:hint="eastAsia" w:ascii="宋体" w:hAnsi="宋体" w:cs="宋体"/>
          <w:sz w:val="22"/>
          <w:szCs w:val="22"/>
          <w:highlight w:val="none"/>
          <w:u w:val="single"/>
        </w:rPr>
        <w:t xml:space="preserve"> </w:t>
      </w:r>
      <w:r>
        <w:rPr>
          <w:rFonts w:ascii="宋体" w:hAnsi="宋体" w:cs="宋体"/>
          <w:sz w:val="22"/>
          <w:szCs w:val="22"/>
          <w:highlight w:val="none"/>
          <w:u w:val="singl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（项目名称、项目编号、标项）在国内以</w:t>
      </w:r>
      <w:r>
        <w:rPr>
          <w:rFonts w:hint="eastAsia" w:ascii="宋体" w:hAnsi="宋体" w:cs="宋体"/>
          <w:sz w:val="22"/>
          <w:szCs w:val="22"/>
          <w:highlight w:val="none"/>
          <w:lang w:eastAsia="zh-CN"/>
        </w:rPr>
        <w:t>公开招标</w:t>
      </w:r>
      <w:r>
        <w:rPr>
          <w:rFonts w:hint="eastAsia" w:ascii="宋体" w:hAnsi="宋体" w:cs="宋体"/>
          <w:sz w:val="22"/>
          <w:szCs w:val="22"/>
          <w:highlight w:val="none"/>
        </w:rPr>
        <w:t>方式采购，经</w:t>
      </w:r>
      <w:r>
        <w:rPr>
          <w:rFonts w:hint="eastAsia" w:ascii="宋体" w:hAnsi="宋体" w:cs="宋体"/>
          <w:sz w:val="22"/>
          <w:szCs w:val="22"/>
          <w:highlight w:val="none"/>
          <w:lang w:eastAsia="zh-CN"/>
        </w:rPr>
        <w:t>评审</w:t>
      </w:r>
      <w:r>
        <w:rPr>
          <w:rFonts w:hint="eastAsia" w:ascii="宋体" w:hAnsi="宋体" w:cs="宋体"/>
          <w:sz w:val="22"/>
          <w:szCs w:val="22"/>
          <w:highlight w:val="none"/>
        </w:rPr>
        <w:t>小组决标</w:t>
      </w:r>
      <w:r>
        <w:rPr>
          <w:rFonts w:hint="eastAsia" w:ascii="宋体" w:hAnsi="宋体" w:cs="宋体"/>
          <w:sz w:val="22"/>
          <w:szCs w:val="22"/>
          <w:highlight w:val="none"/>
          <w:u w:val="single"/>
        </w:rPr>
        <w:t xml:space="preserve">   </w:t>
      </w:r>
      <w:r>
        <w:rPr>
          <w:rFonts w:ascii="宋体" w:hAnsi="宋体" w:cs="宋体"/>
          <w:sz w:val="22"/>
          <w:szCs w:val="22"/>
          <w:highlight w:val="none"/>
          <w:u w:val="singl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为</w:t>
      </w:r>
      <w:r>
        <w:rPr>
          <w:rFonts w:hint="eastAsia" w:ascii="宋体" w:hAnsi="宋体" w:cs="宋体"/>
          <w:sz w:val="22"/>
          <w:szCs w:val="22"/>
          <w:highlight w:val="none"/>
          <w:lang w:eastAsia="zh-CN"/>
        </w:rPr>
        <w:t>中标</w:t>
      </w:r>
      <w:r>
        <w:rPr>
          <w:rFonts w:hint="eastAsia" w:ascii="宋体" w:hAnsi="宋体" w:cs="宋体"/>
          <w:sz w:val="22"/>
          <w:szCs w:val="22"/>
          <w:highlight w:val="none"/>
        </w:rPr>
        <w:t>供应商。</w:t>
      </w:r>
      <w:r>
        <w:rPr>
          <w:rFonts w:hint="eastAsia" w:ascii="宋体" w:hAnsi="宋体"/>
          <w:sz w:val="22"/>
          <w:szCs w:val="22"/>
          <w:highlight w:val="none"/>
        </w:rPr>
        <w:t>根据《中华人民共和国民法典》和项目</w:t>
      </w:r>
      <w:r>
        <w:rPr>
          <w:rFonts w:hint="eastAsia" w:ascii="宋体" w:hAnsi="宋体"/>
          <w:sz w:val="22"/>
          <w:szCs w:val="22"/>
          <w:highlight w:val="none"/>
          <w:lang w:eastAsia="zh-CN"/>
        </w:rPr>
        <w:t>招标文件</w:t>
      </w:r>
      <w:r>
        <w:rPr>
          <w:rFonts w:hint="eastAsia" w:ascii="宋体" w:hAnsi="宋体"/>
          <w:sz w:val="22"/>
          <w:szCs w:val="22"/>
          <w:highlight w:val="none"/>
        </w:rPr>
        <w:t>、</w:t>
      </w:r>
      <w:r>
        <w:rPr>
          <w:rFonts w:hint="eastAsia" w:ascii="宋体" w:hAnsi="宋体"/>
          <w:sz w:val="22"/>
          <w:szCs w:val="22"/>
          <w:highlight w:val="none"/>
          <w:lang w:eastAsia="zh-CN"/>
        </w:rPr>
        <w:t>投标</w:t>
      </w:r>
      <w:r>
        <w:rPr>
          <w:rFonts w:hint="eastAsia" w:ascii="宋体" w:hAnsi="宋体"/>
          <w:sz w:val="22"/>
          <w:szCs w:val="22"/>
          <w:highlight w:val="none"/>
        </w:rPr>
        <w:t>文件的规定，甲、乙双方经协商一致，就本项目签订本合同。</w:t>
      </w:r>
    </w:p>
    <w:p>
      <w:pPr>
        <w:spacing w:after="0" w:line="360" w:lineRule="exact"/>
        <w:rPr>
          <w:rFonts w:hint="eastAsia" w:ascii="宋体" w:hAnsi="宋体"/>
          <w:b/>
          <w:kern w:val="0"/>
          <w:sz w:val="22"/>
          <w:szCs w:val="22"/>
          <w:highlight w:val="none"/>
        </w:rPr>
      </w:pPr>
      <w:r>
        <w:rPr>
          <w:rFonts w:hint="eastAsia" w:ascii="宋体" w:hAnsi="宋体"/>
          <w:b/>
          <w:kern w:val="0"/>
          <w:sz w:val="22"/>
          <w:szCs w:val="22"/>
          <w:highlight w:val="none"/>
        </w:rPr>
        <w:t>第一条 合同内容</w:t>
      </w:r>
    </w:p>
    <w:p>
      <w:pPr>
        <w:shd w:val="solid" w:color="FFFFFF" w:fill="auto"/>
        <w:autoSpaceDN w:val="0"/>
        <w:spacing w:after="0" w:line="360" w:lineRule="exact"/>
        <w:ind w:firstLine="440" w:firstLineChars="200"/>
        <w:jc w:val="left"/>
        <w:rPr>
          <w:rFonts w:hint="eastAsia" w:ascii="宋体" w:hAnsi="宋体" w:cs="Arial"/>
          <w:sz w:val="22"/>
          <w:szCs w:val="22"/>
          <w:highlight w:val="none"/>
        </w:rPr>
      </w:pPr>
      <w:r>
        <w:rPr>
          <w:rFonts w:hint="eastAsia" w:ascii="宋体" w:hAnsi="宋体"/>
          <w:kern w:val="0"/>
          <w:sz w:val="22"/>
          <w:szCs w:val="22"/>
          <w:highlight w:val="none"/>
        </w:rPr>
        <w:t>1</w:t>
      </w:r>
      <w:r>
        <w:rPr>
          <w:rFonts w:ascii="宋体" w:hAnsi="宋体"/>
          <w:kern w:val="0"/>
          <w:sz w:val="22"/>
          <w:szCs w:val="22"/>
          <w:highlight w:val="none"/>
        </w:rPr>
        <w:t xml:space="preserve">. </w:t>
      </w:r>
      <w:r>
        <w:rPr>
          <w:rFonts w:hint="eastAsia" w:ascii="宋体" w:hAnsi="宋体"/>
          <w:sz w:val="22"/>
          <w:szCs w:val="22"/>
          <w:highlight w:val="none"/>
        </w:rPr>
        <w:t>温州理工学院202</w:t>
      </w:r>
      <w:r>
        <w:rPr>
          <w:rFonts w:hint="eastAsia" w:ascii="宋体" w:hAnsi="宋体"/>
          <w:sz w:val="22"/>
          <w:szCs w:val="22"/>
          <w:highlight w:val="none"/>
          <w:lang w:val="en-US" w:eastAsia="zh-CN"/>
        </w:rPr>
        <w:t>3</w:t>
      </w:r>
      <w:r>
        <w:rPr>
          <w:rFonts w:hint="eastAsia" w:ascii="宋体" w:hAnsi="宋体"/>
          <w:sz w:val="22"/>
          <w:szCs w:val="22"/>
          <w:highlight w:val="none"/>
        </w:rPr>
        <w:t>年教职工疗休养</w:t>
      </w:r>
      <w:r>
        <w:rPr>
          <w:rFonts w:hint="eastAsia" w:ascii="宋体" w:hAnsi="宋体" w:cs="Arial"/>
          <w:sz w:val="22"/>
          <w:szCs w:val="22"/>
          <w:highlight w:val="none"/>
        </w:rPr>
        <w:t>。</w:t>
      </w:r>
    </w:p>
    <w:p>
      <w:pPr>
        <w:shd w:val="solid" w:color="FFFFFF" w:fill="auto"/>
        <w:autoSpaceDN w:val="0"/>
        <w:spacing w:after="0" w:line="360" w:lineRule="exact"/>
        <w:ind w:firstLine="440" w:firstLineChars="200"/>
        <w:jc w:val="left"/>
        <w:rPr>
          <w:rFonts w:ascii="宋体" w:hAnsi="宋体" w:cs="Arial"/>
          <w:sz w:val="22"/>
          <w:szCs w:val="22"/>
          <w:highlight w:val="none"/>
        </w:rPr>
      </w:pPr>
      <w:r>
        <w:rPr>
          <w:rFonts w:ascii="宋体" w:hAnsi="宋体" w:cs="Arial"/>
          <w:sz w:val="22"/>
          <w:szCs w:val="22"/>
          <w:highlight w:val="none"/>
        </w:rPr>
        <w:t xml:space="preserve">2. </w:t>
      </w:r>
      <w:r>
        <w:rPr>
          <w:rFonts w:hint="eastAsia" w:ascii="宋体" w:hAnsi="宋体" w:cs="Arial"/>
          <w:sz w:val="22"/>
          <w:szCs w:val="22"/>
          <w:highlight w:val="none"/>
        </w:rPr>
        <w:t>疗休养线路及价格为：</w:t>
      </w:r>
    </w:p>
    <w:p>
      <w:pPr>
        <w:shd w:val="solid" w:color="FFFFFF" w:fill="auto"/>
        <w:autoSpaceDN w:val="0"/>
        <w:spacing w:after="0" w:line="360" w:lineRule="exact"/>
        <w:ind w:firstLine="440" w:firstLineChars="200"/>
        <w:jc w:val="left"/>
        <w:rPr>
          <w:rFonts w:ascii="宋体" w:hAnsi="宋体"/>
          <w:sz w:val="22"/>
          <w:szCs w:val="22"/>
          <w:highlight w:val="none"/>
        </w:rPr>
      </w:pPr>
      <w:r>
        <w:rPr>
          <w:rFonts w:hint="eastAsia" w:ascii="宋体" w:hAnsi="宋体"/>
          <w:sz w:val="22"/>
          <w:szCs w:val="22"/>
          <w:highlight w:val="none"/>
        </w:rPr>
        <w:t>乙方为甲方提供的疗休养路线为</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rPr>
        <w:t>条。分别是：</w:t>
      </w:r>
    </w:p>
    <w:p>
      <w:pPr>
        <w:shd w:val="solid" w:color="FFFFFF" w:fill="auto"/>
        <w:autoSpaceDN w:val="0"/>
        <w:spacing w:after="0" w:line="360" w:lineRule="exact"/>
        <w:ind w:firstLine="440" w:firstLineChars="200"/>
        <w:jc w:val="left"/>
        <w:rPr>
          <w:rFonts w:ascii="宋体" w:hAnsi="宋体"/>
          <w:sz w:val="22"/>
          <w:szCs w:val="22"/>
          <w:highlight w:val="none"/>
        </w:rPr>
      </w:pPr>
      <w:r>
        <w:rPr>
          <w:rFonts w:hint="eastAsia" w:ascii="宋体" w:hAnsi="宋体"/>
          <w:sz w:val="22"/>
          <w:szCs w:val="22"/>
          <w:highlight w:val="none"/>
        </w:rPr>
        <w:t>（1）</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cs="宋体"/>
          <w:kern w:val="0"/>
          <w:sz w:val="22"/>
          <w:szCs w:val="22"/>
          <w:highlight w:val="none"/>
          <w:u w:val="single"/>
        </w:rPr>
        <w:t xml:space="preserve"> </w:t>
      </w:r>
      <w:r>
        <w:rPr>
          <w:rFonts w:ascii="宋体" w:hAnsi="宋体" w:cs="宋体"/>
          <w:kern w:val="0"/>
          <w:sz w:val="22"/>
          <w:szCs w:val="22"/>
          <w:highlight w:val="none"/>
          <w:u w:val="single"/>
        </w:rPr>
        <w:t xml:space="preserve">        </w:t>
      </w:r>
      <w:r>
        <w:rPr>
          <w:rFonts w:hint="eastAsia" w:ascii="宋体" w:hAnsi="宋体" w:cs="宋体"/>
          <w:kern w:val="0"/>
          <w:sz w:val="22"/>
          <w:szCs w:val="22"/>
          <w:highlight w:val="none"/>
          <w:u w:val="single"/>
        </w:rPr>
        <w:t xml:space="preserve">         </w:t>
      </w:r>
      <w:r>
        <w:rPr>
          <w:rFonts w:hint="eastAsia" w:ascii="宋体" w:hAnsi="宋体"/>
          <w:sz w:val="22"/>
          <w:szCs w:val="22"/>
          <w:highlight w:val="none"/>
        </w:rPr>
        <w:t>，线路费用为：</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rPr>
        <w:t>；</w:t>
      </w:r>
    </w:p>
    <w:p>
      <w:pPr>
        <w:shd w:val="solid" w:color="FFFFFF" w:fill="auto"/>
        <w:autoSpaceDN w:val="0"/>
        <w:spacing w:after="0" w:line="360" w:lineRule="exact"/>
        <w:ind w:firstLine="440" w:firstLineChars="200"/>
        <w:jc w:val="left"/>
        <w:rPr>
          <w:rFonts w:ascii="宋体" w:hAnsi="宋体"/>
          <w:sz w:val="22"/>
          <w:szCs w:val="22"/>
          <w:highlight w:val="none"/>
        </w:rPr>
      </w:pPr>
      <w:r>
        <w:rPr>
          <w:rFonts w:hint="eastAsia" w:ascii="宋体" w:hAnsi="宋体"/>
          <w:sz w:val="22"/>
          <w:szCs w:val="22"/>
          <w:highlight w:val="none"/>
        </w:rPr>
        <w:t>（</w:t>
      </w:r>
      <w:r>
        <w:rPr>
          <w:rFonts w:ascii="宋体" w:hAnsi="宋体"/>
          <w:sz w:val="22"/>
          <w:szCs w:val="22"/>
          <w:highlight w:val="none"/>
        </w:rPr>
        <w:t>2</w:t>
      </w:r>
      <w:r>
        <w:rPr>
          <w:rFonts w:hint="eastAsia" w:ascii="宋体" w:hAnsi="宋体"/>
          <w:sz w:val="22"/>
          <w:szCs w:val="22"/>
          <w:highlight w:val="none"/>
        </w:rPr>
        <w:t>）</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r>
        <w:rPr>
          <w:rFonts w:hint="eastAsia" w:ascii="宋体" w:hAnsi="宋体" w:cs="宋体"/>
          <w:kern w:val="0"/>
          <w:sz w:val="22"/>
          <w:szCs w:val="22"/>
          <w:highlight w:val="none"/>
          <w:u w:val="single"/>
        </w:rPr>
        <w:t xml:space="preserve"> </w:t>
      </w:r>
      <w:r>
        <w:rPr>
          <w:rFonts w:ascii="宋体" w:hAnsi="宋体" w:cs="宋体"/>
          <w:kern w:val="0"/>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rPr>
        <w:t>，线路费用为：</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rPr>
        <w:t>；</w:t>
      </w:r>
    </w:p>
    <w:p>
      <w:pPr>
        <w:shd w:val="solid" w:color="FFFFFF" w:fill="auto"/>
        <w:autoSpaceDN w:val="0"/>
        <w:spacing w:after="0" w:line="360" w:lineRule="exact"/>
        <w:ind w:firstLine="440" w:firstLineChars="200"/>
        <w:jc w:val="left"/>
        <w:rPr>
          <w:rFonts w:ascii="宋体" w:hAnsi="宋体"/>
          <w:sz w:val="22"/>
          <w:szCs w:val="22"/>
          <w:highlight w:val="none"/>
        </w:rPr>
      </w:pPr>
      <w:r>
        <w:rPr>
          <w:rFonts w:hint="eastAsia" w:ascii="宋体" w:hAnsi="宋体"/>
          <w:sz w:val="22"/>
          <w:szCs w:val="22"/>
          <w:highlight w:val="none"/>
        </w:rPr>
        <w:t>（</w:t>
      </w:r>
      <w:r>
        <w:rPr>
          <w:rFonts w:ascii="宋体" w:hAnsi="宋体"/>
          <w:sz w:val="22"/>
          <w:szCs w:val="22"/>
          <w:highlight w:val="none"/>
        </w:rPr>
        <w:t>3</w:t>
      </w:r>
      <w:r>
        <w:rPr>
          <w:rFonts w:hint="eastAsia" w:ascii="宋体" w:hAnsi="宋体"/>
          <w:sz w:val="22"/>
          <w:szCs w:val="22"/>
          <w:highlight w:val="none"/>
        </w:rPr>
        <w:t>）</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cs="宋体"/>
          <w:kern w:val="0"/>
          <w:sz w:val="22"/>
          <w:szCs w:val="22"/>
          <w:highlight w:val="none"/>
          <w:u w:val="single"/>
        </w:rPr>
        <w:t xml:space="preserve"> </w:t>
      </w:r>
      <w:r>
        <w:rPr>
          <w:rFonts w:ascii="宋体" w:hAnsi="宋体" w:cs="宋体"/>
          <w:kern w:val="0"/>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rPr>
        <w:t>，线路费用为：</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rPr>
        <w:t>；</w:t>
      </w:r>
    </w:p>
    <w:p>
      <w:pPr>
        <w:shd w:val="solid" w:color="FFFFFF" w:fill="auto"/>
        <w:autoSpaceDN w:val="0"/>
        <w:spacing w:after="0" w:line="360" w:lineRule="exact"/>
        <w:ind w:firstLine="440" w:firstLineChars="200"/>
        <w:jc w:val="left"/>
        <w:rPr>
          <w:rFonts w:ascii="宋体" w:hAnsi="宋体"/>
          <w:sz w:val="22"/>
          <w:szCs w:val="22"/>
          <w:highlight w:val="none"/>
        </w:rPr>
      </w:pPr>
      <w:r>
        <w:rPr>
          <w:rFonts w:hint="eastAsia" w:ascii="宋体" w:hAnsi="宋体"/>
          <w:sz w:val="22"/>
          <w:szCs w:val="22"/>
          <w:highlight w:val="none"/>
        </w:rPr>
        <w:t>（</w:t>
      </w:r>
      <w:r>
        <w:rPr>
          <w:rFonts w:ascii="宋体" w:hAnsi="宋体"/>
          <w:sz w:val="22"/>
          <w:szCs w:val="22"/>
          <w:highlight w:val="none"/>
        </w:rPr>
        <w:t>4</w:t>
      </w:r>
      <w:r>
        <w:rPr>
          <w:rFonts w:hint="eastAsia" w:ascii="宋体" w:hAnsi="宋体"/>
          <w:sz w:val="22"/>
          <w:szCs w:val="22"/>
          <w:highlight w:val="none"/>
        </w:rPr>
        <w:t>）</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cs="宋体"/>
          <w:kern w:val="0"/>
          <w:sz w:val="22"/>
          <w:szCs w:val="22"/>
          <w:highlight w:val="none"/>
          <w:u w:val="single"/>
        </w:rPr>
        <w:t xml:space="preserve"> </w:t>
      </w:r>
      <w:r>
        <w:rPr>
          <w:rFonts w:ascii="宋体" w:hAnsi="宋体" w:cs="宋体"/>
          <w:kern w:val="0"/>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rPr>
        <w:t>，线路费用为：</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rPr>
        <w:t>；</w:t>
      </w:r>
    </w:p>
    <w:p>
      <w:pPr>
        <w:shd w:val="solid" w:color="FFFFFF" w:fill="auto"/>
        <w:autoSpaceDN w:val="0"/>
        <w:spacing w:after="0" w:line="360" w:lineRule="exact"/>
        <w:ind w:firstLine="440" w:firstLineChars="200"/>
        <w:jc w:val="left"/>
        <w:rPr>
          <w:rFonts w:ascii="宋体" w:hAnsi="宋体"/>
          <w:sz w:val="22"/>
          <w:szCs w:val="22"/>
          <w:highlight w:val="none"/>
        </w:rPr>
      </w:pPr>
      <w:r>
        <w:rPr>
          <w:rFonts w:hint="eastAsia" w:ascii="宋体" w:hAnsi="宋体"/>
          <w:sz w:val="22"/>
          <w:szCs w:val="22"/>
          <w:highlight w:val="none"/>
        </w:rPr>
        <w:t>（</w:t>
      </w:r>
      <w:r>
        <w:rPr>
          <w:rFonts w:ascii="宋体" w:hAnsi="宋体"/>
          <w:sz w:val="22"/>
          <w:szCs w:val="22"/>
          <w:highlight w:val="none"/>
        </w:rPr>
        <w:t>5</w:t>
      </w:r>
      <w:r>
        <w:rPr>
          <w:rFonts w:hint="eastAsia" w:ascii="宋体" w:hAnsi="宋体"/>
          <w:sz w:val="22"/>
          <w:szCs w:val="22"/>
          <w:highlight w:val="none"/>
        </w:rPr>
        <w:t>）</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cs="宋体"/>
          <w:kern w:val="0"/>
          <w:sz w:val="22"/>
          <w:szCs w:val="22"/>
          <w:highlight w:val="none"/>
          <w:u w:val="single"/>
        </w:rPr>
        <w:t xml:space="preserve"> </w:t>
      </w:r>
      <w:r>
        <w:rPr>
          <w:rFonts w:ascii="宋体" w:hAnsi="宋体" w:cs="宋体"/>
          <w:kern w:val="0"/>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rPr>
        <w:t>，线路费用为：</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rPr>
        <w:t>；</w:t>
      </w:r>
    </w:p>
    <w:p>
      <w:pPr>
        <w:shd w:val="solid" w:color="FFFFFF" w:fill="auto"/>
        <w:autoSpaceDN w:val="0"/>
        <w:spacing w:after="0" w:line="360" w:lineRule="exact"/>
        <w:ind w:firstLine="440" w:firstLineChars="200"/>
        <w:jc w:val="left"/>
        <w:rPr>
          <w:rFonts w:ascii="宋体" w:hAnsi="宋体"/>
          <w:sz w:val="22"/>
          <w:szCs w:val="22"/>
          <w:highlight w:val="none"/>
        </w:rPr>
      </w:pPr>
      <w:r>
        <w:rPr>
          <w:rFonts w:hint="eastAsia" w:ascii="宋体" w:hAnsi="宋体"/>
          <w:sz w:val="22"/>
          <w:szCs w:val="22"/>
          <w:highlight w:val="none"/>
        </w:rPr>
        <w:t>（6）</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cs="宋体"/>
          <w:kern w:val="0"/>
          <w:sz w:val="22"/>
          <w:szCs w:val="22"/>
          <w:highlight w:val="none"/>
          <w:u w:val="single"/>
        </w:rPr>
        <w:t xml:space="preserve"> </w:t>
      </w:r>
      <w:r>
        <w:rPr>
          <w:rFonts w:ascii="宋体" w:hAnsi="宋体" w:cs="宋体"/>
          <w:kern w:val="0"/>
          <w:sz w:val="22"/>
          <w:szCs w:val="22"/>
          <w:highlight w:val="none"/>
          <w:u w:val="single"/>
        </w:rPr>
        <w:t xml:space="preserve">         </w:t>
      </w:r>
      <w:r>
        <w:rPr>
          <w:rFonts w:hint="eastAsia" w:ascii="宋体" w:hAnsi="宋体" w:cs="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rPr>
        <w:t>，线路费用为：</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rPr>
        <w:t>；</w:t>
      </w:r>
    </w:p>
    <w:p>
      <w:pPr>
        <w:shd w:val="solid" w:color="FFFFFF" w:fill="auto"/>
        <w:autoSpaceDN w:val="0"/>
        <w:spacing w:after="0" w:line="360" w:lineRule="exact"/>
        <w:ind w:firstLine="440" w:firstLineChars="200"/>
        <w:jc w:val="left"/>
        <w:rPr>
          <w:rFonts w:ascii="宋体" w:hAnsi="宋体"/>
          <w:sz w:val="22"/>
          <w:szCs w:val="22"/>
          <w:highlight w:val="none"/>
        </w:rPr>
      </w:pPr>
      <w:r>
        <w:rPr>
          <w:rFonts w:hint="eastAsia" w:ascii="宋体" w:hAnsi="宋体"/>
          <w:sz w:val="22"/>
          <w:szCs w:val="22"/>
          <w:highlight w:val="none"/>
        </w:rPr>
        <w:t>（7）</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cs="宋体"/>
          <w:kern w:val="0"/>
          <w:sz w:val="22"/>
          <w:szCs w:val="22"/>
          <w:highlight w:val="none"/>
          <w:u w:val="single"/>
        </w:rPr>
        <w:t xml:space="preserve"> </w:t>
      </w:r>
      <w:r>
        <w:rPr>
          <w:rFonts w:ascii="宋体" w:hAnsi="宋体" w:cs="宋体"/>
          <w:kern w:val="0"/>
          <w:sz w:val="22"/>
          <w:szCs w:val="22"/>
          <w:highlight w:val="none"/>
          <w:u w:val="single"/>
        </w:rPr>
        <w:t xml:space="preserve">        </w:t>
      </w:r>
      <w:r>
        <w:rPr>
          <w:rFonts w:hint="eastAsia" w:ascii="宋体" w:hAnsi="宋体" w:cs="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rPr>
        <w:t>，线路费用为：</w:t>
      </w:r>
      <w:r>
        <w:rPr>
          <w:rFonts w:ascii="宋体" w:hAnsi="宋体"/>
          <w:sz w:val="22"/>
          <w:szCs w:val="22"/>
          <w:highlight w:val="none"/>
          <w:u w:val="single"/>
        </w:rPr>
        <w:t xml:space="preserve">              </w:t>
      </w:r>
      <w:r>
        <w:rPr>
          <w:rFonts w:hint="eastAsia" w:ascii="宋体" w:hAnsi="宋体"/>
          <w:sz w:val="22"/>
          <w:szCs w:val="22"/>
          <w:highlight w:val="none"/>
        </w:rPr>
        <w:t>；</w:t>
      </w:r>
    </w:p>
    <w:p>
      <w:pPr>
        <w:shd w:val="solid" w:color="FFFFFF" w:fill="auto"/>
        <w:autoSpaceDN w:val="0"/>
        <w:spacing w:after="0" w:line="360" w:lineRule="exact"/>
        <w:ind w:firstLine="440" w:firstLineChars="200"/>
        <w:jc w:val="left"/>
        <w:rPr>
          <w:rFonts w:hint="eastAsia" w:ascii="宋体" w:hAnsi="宋体"/>
          <w:sz w:val="22"/>
          <w:szCs w:val="22"/>
          <w:highlight w:val="none"/>
        </w:rPr>
      </w:pPr>
      <w:r>
        <w:rPr>
          <w:rFonts w:hint="eastAsia" w:ascii="宋体" w:hAnsi="宋体"/>
          <w:sz w:val="22"/>
          <w:szCs w:val="22"/>
          <w:highlight w:val="none"/>
        </w:rPr>
        <w:t>（</w:t>
      </w:r>
      <w:r>
        <w:rPr>
          <w:rFonts w:ascii="宋体" w:hAnsi="宋体"/>
          <w:sz w:val="22"/>
          <w:szCs w:val="22"/>
          <w:highlight w:val="none"/>
        </w:rPr>
        <w:t>8</w:t>
      </w:r>
      <w:r>
        <w:rPr>
          <w:rFonts w:hint="eastAsia" w:ascii="宋体" w:hAnsi="宋体"/>
          <w:sz w:val="22"/>
          <w:szCs w:val="22"/>
          <w:highlight w:val="none"/>
        </w:rPr>
        <w:t>）</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cs="宋体"/>
          <w:kern w:val="0"/>
          <w:sz w:val="22"/>
          <w:szCs w:val="22"/>
          <w:highlight w:val="none"/>
          <w:u w:val="single"/>
        </w:rPr>
        <w:t xml:space="preserve"> </w:t>
      </w:r>
      <w:r>
        <w:rPr>
          <w:rFonts w:ascii="宋体" w:hAnsi="宋体" w:cs="宋体"/>
          <w:kern w:val="0"/>
          <w:sz w:val="22"/>
          <w:szCs w:val="22"/>
          <w:highlight w:val="none"/>
          <w:u w:val="single"/>
        </w:rPr>
        <w:t xml:space="preserve">        </w:t>
      </w:r>
      <w:r>
        <w:rPr>
          <w:rFonts w:hint="eastAsia" w:ascii="宋体" w:hAnsi="宋体" w:cs="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rPr>
        <w:t>，线路费用为：</w:t>
      </w:r>
      <w:r>
        <w:rPr>
          <w:rFonts w:ascii="宋体" w:hAnsi="宋体"/>
          <w:sz w:val="22"/>
          <w:szCs w:val="22"/>
          <w:highlight w:val="none"/>
          <w:u w:val="single"/>
        </w:rPr>
        <w:t xml:space="preserve">              </w:t>
      </w:r>
      <w:r>
        <w:rPr>
          <w:rFonts w:hint="eastAsia" w:ascii="宋体" w:hAnsi="宋体"/>
          <w:sz w:val="22"/>
          <w:szCs w:val="22"/>
          <w:highlight w:val="none"/>
        </w:rPr>
        <w:t>。</w:t>
      </w:r>
    </w:p>
    <w:p>
      <w:pPr>
        <w:spacing w:after="0" w:line="360" w:lineRule="exact"/>
        <w:ind w:firstLine="440" w:firstLineChars="200"/>
        <w:rPr>
          <w:rFonts w:ascii="宋体" w:hAnsi="宋体" w:cs="宋体"/>
          <w:sz w:val="22"/>
          <w:szCs w:val="22"/>
          <w:highlight w:val="none"/>
        </w:rPr>
      </w:pPr>
      <w:r>
        <w:rPr>
          <w:rFonts w:ascii="宋体" w:hAnsi="宋体" w:cs="宋体"/>
          <w:sz w:val="22"/>
          <w:szCs w:val="22"/>
          <w:highlight w:val="none"/>
        </w:rPr>
        <w:t xml:space="preserve">3. </w:t>
      </w:r>
      <w:r>
        <w:rPr>
          <w:rFonts w:hint="eastAsia" w:ascii="宋体" w:hAnsi="宋体" w:cs="宋体"/>
          <w:sz w:val="22"/>
          <w:szCs w:val="22"/>
          <w:highlight w:val="none"/>
        </w:rPr>
        <w:t>职工疗休养的地点及每个疗休养地点的时间安排：</w:t>
      </w:r>
    </w:p>
    <w:p>
      <w:pPr>
        <w:spacing w:after="0"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乙方为甲方提供的职工疗休养地点为__个。分别是</w:t>
      </w:r>
      <w:r>
        <w:rPr>
          <w:rFonts w:hint="eastAsia" w:ascii="宋体" w:hAnsi="宋体" w:cs="宋体"/>
          <w:sz w:val="22"/>
          <w:szCs w:val="22"/>
          <w:highlight w:val="none"/>
          <w:u w:val="single"/>
        </w:rPr>
        <w:t xml:space="preserve"> </w:t>
      </w:r>
      <w:r>
        <w:rPr>
          <w:rFonts w:ascii="宋体" w:hAnsi="宋体" w:cs="宋体"/>
          <w:sz w:val="22"/>
          <w:szCs w:val="22"/>
          <w:highlight w:val="none"/>
          <w:u w:val="single"/>
        </w:rPr>
        <w:t xml:space="preserve">       </w:t>
      </w:r>
      <w:r>
        <w:rPr>
          <w:rFonts w:hint="eastAsia" w:ascii="宋体" w:hAnsi="宋体" w:cs="宋体"/>
          <w:sz w:val="22"/>
          <w:szCs w:val="22"/>
          <w:highlight w:val="none"/>
        </w:rPr>
        <w:t>。</w:t>
      </w:r>
    </w:p>
    <w:p>
      <w:pPr>
        <w:spacing w:after="0"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每天的时间安排为上午</w:t>
      </w:r>
      <w:r>
        <w:rPr>
          <w:rFonts w:ascii="宋体" w:hAnsi="宋体" w:cs="宋体"/>
          <w:sz w:val="22"/>
          <w:szCs w:val="22"/>
          <w:highlight w:val="none"/>
          <w:u w:val="single"/>
        </w:rPr>
        <w:t xml:space="preserve">  </w:t>
      </w:r>
      <w:r>
        <w:rPr>
          <w:rFonts w:ascii="宋体" w:hAnsi="宋体" w:cs="宋体"/>
          <w:sz w:val="22"/>
          <w:szCs w:val="22"/>
          <w:highlight w:val="none"/>
        </w:rPr>
        <w:t xml:space="preserve"> </w:t>
      </w:r>
      <w:r>
        <w:rPr>
          <w:rFonts w:hint="eastAsia" w:ascii="宋体" w:hAnsi="宋体" w:cs="宋体"/>
          <w:sz w:val="22"/>
          <w:szCs w:val="22"/>
          <w:highlight w:val="none"/>
        </w:rPr>
        <w:t>时至</w:t>
      </w:r>
      <w:r>
        <w:rPr>
          <w:rFonts w:ascii="宋体" w:hAnsi="宋体" w:cs="宋体"/>
          <w:sz w:val="22"/>
          <w:szCs w:val="22"/>
          <w:highlight w:val="none"/>
          <w:u w:val="single"/>
        </w:rPr>
        <w:t xml:space="preserve">  </w:t>
      </w:r>
      <w:r>
        <w:rPr>
          <w:rFonts w:ascii="宋体" w:hAnsi="宋体" w:cs="宋体"/>
          <w:sz w:val="22"/>
          <w:szCs w:val="22"/>
          <w:highlight w:val="none"/>
        </w:rPr>
        <w:t xml:space="preserve"> </w:t>
      </w:r>
      <w:r>
        <w:rPr>
          <w:rFonts w:hint="eastAsia" w:ascii="宋体" w:hAnsi="宋体" w:cs="宋体"/>
          <w:sz w:val="22"/>
          <w:szCs w:val="22"/>
          <w:highlight w:val="none"/>
        </w:rPr>
        <w:t>时，下午</w:t>
      </w:r>
      <w:r>
        <w:rPr>
          <w:rFonts w:ascii="宋体" w:hAnsi="宋体" w:cs="宋体"/>
          <w:sz w:val="22"/>
          <w:szCs w:val="22"/>
          <w:highlight w:val="none"/>
          <w:u w:val="single"/>
        </w:rPr>
        <w:t xml:space="preserve">  </w:t>
      </w:r>
      <w:r>
        <w:rPr>
          <w:rFonts w:ascii="宋体" w:hAnsi="宋体" w:cs="宋体"/>
          <w:sz w:val="22"/>
          <w:szCs w:val="22"/>
          <w:highlight w:val="none"/>
        </w:rPr>
        <w:t xml:space="preserve"> </w:t>
      </w:r>
      <w:r>
        <w:rPr>
          <w:rFonts w:hint="eastAsia" w:ascii="宋体" w:hAnsi="宋体" w:cs="宋体"/>
          <w:sz w:val="22"/>
          <w:szCs w:val="22"/>
          <w:highlight w:val="none"/>
        </w:rPr>
        <w:t>时至</w:t>
      </w:r>
      <w:r>
        <w:rPr>
          <w:rFonts w:ascii="宋体" w:hAnsi="宋体" w:cs="宋体"/>
          <w:sz w:val="22"/>
          <w:szCs w:val="22"/>
          <w:highlight w:val="none"/>
          <w:u w:val="single"/>
        </w:rPr>
        <w:t xml:space="preserve">    </w:t>
      </w:r>
      <w:r>
        <w:rPr>
          <w:rFonts w:hint="eastAsia" w:ascii="宋体" w:hAnsi="宋体" w:cs="宋体"/>
          <w:sz w:val="22"/>
          <w:szCs w:val="22"/>
          <w:highlight w:val="none"/>
        </w:rPr>
        <w:t>时。</w:t>
      </w:r>
    </w:p>
    <w:p>
      <w:pPr>
        <w:spacing w:after="0" w:line="360" w:lineRule="exact"/>
        <w:ind w:firstLine="440" w:firstLineChars="200"/>
        <w:rPr>
          <w:rFonts w:ascii="宋体" w:hAnsi="宋体" w:cs="宋体"/>
          <w:sz w:val="22"/>
          <w:szCs w:val="22"/>
          <w:highlight w:val="none"/>
        </w:rPr>
      </w:pPr>
      <w:r>
        <w:rPr>
          <w:rFonts w:ascii="宋体" w:hAnsi="宋体" w:cs="宋体"/>
          <w:sz w:val="22"/>
          <w:szCs w:val="22"/>
          <w:highlight w:val="none"/>
        </w:rPr>
        <w:t xml:space="preserve">4. </w:t>
      </w:r>
      <w:r>
        <w:rPr>
          <w:rFonts w:hint="eastAsia" w:ascii="宋体" w:hAnsi="宋体" w:cs="宋体"/>
          <w:sz w:val="22"/>
          <w:szCs w:val="22"/>
          <w:highlight w:val="none"/>
        </w:rPr>
        <w:t>疗休养的生活安排：</w:t>
      </w:r>
    </w:p>
    <w:p>
      <w:pPr>
        <w:spacing w:after="0"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乙方为甲方提供食宿，每天伙食</w:t>
      </w:r>
      <w:r>
        <w:rPr>
          <w:rFonts w:ascii="宋体" w:hAnsi="宋体" w:cs="宋体"/>
          <w:sz w:val="22"/>
          <w:szCs w:val="22"/>
          <w:highlight w:val="none"/>
          <w:u w:val="single"/>
        </w:rPr>
        <w:t xml:space="preserve">        </w:t>
      </w:r>
      <w:r>
        <w:rPr>
          <w:rFonts w:hint="eastAsia" w:ascii="宋体" w:hAnsi="宋体" w:cs="宋体"/>
          <w:sz w:val="22"/>
          <w:szCs w:val="22"/>
          <w:highlight w:val="none"/>
        </w:rPr>
        <w:t>元。</w:t>
      </w:r>
    </w:p>
    <w:p>
      <w:pPr>
        <w:spacing w:after="0" w:line="360" w:lineRule="exact"/>
        <w:ind w:firstLine="440" w:firstLineChars="200"/>
        <w:rPr>
          <w:rFonts w:ascii="宋体" w:hAnsi="宋体" w:cs="宋体"/>
          <w:sz w:val="22"/>
          <w:szCs w:val="22"/>
          <w:highlight w:val="none"/>
        </w:rPr>
      </w:pPr>
      <w:r>
        <w:rPr>
          <w:rFonts w:ascii="宋体" w:hAnsi="宋体" w:cs="宋体"/>
          <w:sz w:val="22"/>
          <w:szCs w:val="22"/>
          <w:highlight w:val="none"/>
        </w:rPr>
        <w:t xml:space="preserve">5. </w:t>
      </w:r>
      <w:r>
        <w:rPr>
          <w:rFonts w:hint="eastAsia" w:ascii="宋体" w:hAnsi="宋体" w:cs="宋体"/>
          <w:sz w:val="22"/>
          <w:szCs w:val="22"/>
          <w:highlight w:val="none"/>
        </w:rPr>
        <w:t>导游服务：</w:t>
      </w:r>
    </w:p>
    <w:p>
      <w:pPr>
        <w:spacing w:after="0"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乙方为甲方提供导游服务，服务内容：引导、讲解景点山水、典故等，解决旅途中可能出现的突发事件，并给予游客食、宿、行等方面的帮助。</w:t>
      </w:r>
    </w:p>
    <w:p>
      <w:pPr>
        <w:spacing w:after="0" w:line="360" w:lineRule="exact"/>
        <w:ind w:firstLine="440" w:firstLineChars="200"/>
        <w:rPr>
          <w:rFonts w:ascii="宋体" w:hAnsi="宋体" w:cs="宋体"/>
          <w:sz w:val="22"/>
          <w:szCs w:val="22"/>
          <w:highlight w:val="none"/>
        </w:rPr>
      </w:pPr>
      <w:r>
        <w:rPr>
          <w:rFonts w:ascii="宋体" w:hAnsi="宋体" w:cs="宋体"/>
          <w:sz w:val="22"/>
          <w:szCs w:val="22"/>
          <w:highlight w:val="none"/>
        </w:rPr>
        <w:t xml:space="preserve">6. </w:t>
      </w:r>
      <w:r>
        <w:rPr>
          <w:rFonts w:hint="eastAsia" w:ascii="宋体" w:hAnsi="宋体" w:cs="宋体"/>
          <w:sz w:val="22"/>
          <w:szCs w:val="22"/>
          <w:highlight w:val="none"/>
        </w:rPr>
        <w:t>疗休养的交通工具：</w:t>
      </w:r>
    </w:p>
    <w:p>
      <w:pPr>
        <w:spacing w:after="0"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乙方为甲方提供交通工具。</w:t>
      </w:r>
      <w:r>
        <w:rPr>
          <w:rFonts w:ascii="宋体" w:hAnsi="宋体" w:cs="宋体"/>
          <w:sz w:val="22"/>
          <w:szCs w:val="22"/>
          <w:highlight w:val="none"/>
          <w:u w:val="single"/>
        </w:rPr>
        <w:t xml:space="preserve">          </w:t>
      </w:r>
      <w:r>
        <w:rPr>
          <w:rFonts w:hint="eastAsia" w:ascii="宋体" w:hAnsi="宋体" w:cs="宋体"/>
          <w:sz w:val="22"/>
          <w:szCs w:val="22"/>
          <w:highlight w:val="none"/>
        </w:rPr>
        <w:t xml:space="preserve">等交通工具都由乙方联系、提供，并保证甲方的疗休养安全。 </w:t>
      </w:r>
    </w:p>
    <w:p>
      <w:pPr>
        <w:spacing w:after="0" w:line="360" w:lineRule="exact"/>
        <w:rPr>
          <w:rFonts w:hint="eastAsia" w:ascii="宋体" w:hAnsi="宋体"/>
          <w:b/>
          <w:kern w:val="0"/>
          <w:sz w:val="22"/>
          <w:szCs w:val="22"/>
          <w:highlight w:val="none"/>
        </w:rPr>
      </w:pPr>
      <w:r>
        <w:rPr>
          <w:rFonts w:hint="eastAsia" w:ascii="宋体" w:hAnsi="宋体"/>
          <w:b/>
          <w:kern w:val="0"/>
          <w:sz w:val="22"/>
          <w:szCs w:val="22"/>
          <w:highlight w:val="none"/>
        </w:rPr>
        <w:t>第二条 服务质量要求</w:t>
      </w:r>
    </w:p>
    <w:p>
      <w:pPr>
        <w:spacing w:after="0" w:line="360" w:lineRule="exact"/>
        <w:ind w:firstLine="440" w:firstLineChars="200"/>
        <w:rPr>
          <w:rFonts w:hint="eastAsia" w:ascii="宋体" w:hAnsi="宋体"/>
          <w:kern w:val="0"/>
          <w:sz w:val="22"/>
          <w:szCs w:val="22"/>
          <w:highlight w:val="none"/>
        </w:rPr>
      </w:pPr>
      <w:r>
        <w:rPr>
          <w:rFonts w:hint="eastAsia" w:ascii="宋体" w:hAnsi="宋体"/>
          <w:kern w:val="0"/>
          <w:sz w:val="22"/>
          <w:szCs w:val="22"/>
          <w:highlight w:val="none"/>
        </w:rPr>
        <w:t>乙方所供服务质量应符合</w:t>
      </w:r>
      <w:r>
        <w:rPr>
          <w:rFonts w:hint="eastAsia" w:ascii="宋体" w:hAnsi="宋体"/>
          <w:kern w:val="0"/>
          <w:sz w:val="22"/>
          <w:szCs w:val="22"/>
          <w:highlight w:val="none"/>
          <w:lang w:eastAsia="zh-CN"/>
        </w:rPr>
        <w:t>招标文件</w:t>
      </w:r>
      <w:r>
        <w:rPr>
          <w:rFonts w:hint="eastAsia" w:ascii="宋体" w:hAnsi="宋体"/>
          <w:kern w:val="0"/>
          <w:sz w:val="22"/>
          <w:szCs w:val="22"/>
          <w:highlight w:val="none"/>
        </w:rPr>
        <w:t>要求、其</w:t>
      </w:r>
      <w:r>
        <w:rPr>
          <w:rFonts w:hint="eastAsia" w:ascii="宋体" w:hAnsi="宋体"/>
          <w:kern w:val="0"/>
          <w:sz w:val="22"/>
          <w:szCs w:val="22"/>
          <w:highlight w:val="none"/>
          <w:lang w:eastAsia="zh-CN"/>
        </w:rPr>
        <w:t>投标</w:t>
      </w:r>
      <w:r>
        <w:rPr>
          <w:rFonts w:hint="eastAsia" w:ascii="宋体" w:hAnsi="宋体"/>
          <w:kern w:val="0"/>
          <w:sz w:val="22"/>
          <w:szCs w:val="22"/>
          <w:highlight w:val="none"/>
        </w:rPr>
        <w:t>文件承诺及双方签订的合同要求。</w:t>
      </w:r>
    </w:p>
    <w:p>
      <w:pPr>
        <w:spacing w:after="0" w:line="360" w:lineRule="exact"/>
        <w:rPr>
          <w:rFonts w:hint="eastAsia" w:ascii="宋体" w:hAnsi="宋体"/>
          <w:b/>
          <w:kern w:val="0"/>
          <w:sz w:val="22"/>
          <w:szCs w:val="22"/>
          <w:highlight w:val="none"/>
        </w:rPr>
      </w:pPr>
      <w:r>
        <w:rPr>
          <w:rFonts w:hint="eastAsia" w:ascii="宋体" w:hAnsi="宋体"/>
          <w:b/>
          <w:kern w:val="0"/>
          <w:sz w:val="22"/>
          <w:szCs w:val="22"/>
          <w:highlight w:val="none"/>
        </w:rPr>
        <w:t>第三条 合同履行</w:t>
      </w:r>
    </w:p>
    <w:p>
      <w:pPr>
        <w:spacing w:after="0" w:line="360" w:lineRule="exact"/>
        <w:ind w:firstLine="440" w:firstLineChars="200"/>
        <w:rPr>
          <w:rFonts w:hint="eastAsia" w:ascii="宋体" w:hAnsi="宋体"/>
          <w:kern w:val="0"/>
          <w:sz w:val="22"/>
          <w:szCs w:val="22"/>
          <w:highlight w:val="none"/>
        </w:rPr>
      </w:pPr>
      <w:r>
        <w:rPr>
          <w:rFonts w:hint="eastAsia" w:ascii="宋体" w:hAnsi="宋体"/>
          <w:kern w:val="0"/>
          <w:sz w:val="22"/>
          <w:szCs w:val="22"/>
          <w:highlight w:val="none"/>
        </w:rPr>
        <w:t>1. 甲方根据职工自主意愿自行选择疗休养线路。</w:t>
      </w:r>
      <w:bookmarkStart w:id="26" w:name="_GoBack"/>
      <w:bookmarkEnd w:id="26"/>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kern w:val="0"/>
          <w:sz w:val="22"/>
          <w:szCs w:val="22"/>
          <w:highlight w:val="none"/>
        </w:rPr>
      </w:pPr>
      <w:r>
        <w:rPr>
          <w:rFonts w:hint="eastAsia" w:ascii="宋体" w:hAnsi="宋体"/>
          <w:kern w:val="0"/>
          <w:sz w:val="22"/>
          <w:szCs w:val="22"/>
          <w:highlight w:val="none"/>
        </w:rPr>
        <w:t xml:space="preserve">    2. 乙方对承接的疗休养，应根据甲方的书面要求，</w:t>
      </w:r>
      <w:r>
        <w:rPr>
          <w:rFonts w:ascii="宋体" w:hAnsi="宋体"/>
          <w:kern w:val="0"/>
          <w:sz w:val="22"/>
          <w:szCs w:val="22"/>
          <w:highlight w:val="none"/>
        </w:rPr>
        <w:t>至少提前7</w:t>
      </w:r>
      <w:r>
        <w:rPr>
          <w:rFonts w:hint="eastAsia" w:ascii="宋体" w:hAnsi="宋体"/>
          <w:kern w:val="0"/>
          <w:sz w:val="22"/>
          <w:szCs w:val="22"/>
          <w:highlight w:val="none"/>
        </w:rPr>
        <w:t>个工作日内安排房间、交通工具、用餐等，做好接待疗休养的准备，充分满足疗休养的要求，并按</w:t>
      </w:r>
      <w:r>
        <w:rPr>
          <w:rFonts w:hint="eastAsia" w:ascii="宋体" w:hAnsi="宋体"/>
          <w:kern w:val="0"/>
          <w:sz w:val="22"/>
          <w:szCs w:val="22"/>
          <w:highlight w:val="none"/>
          <w:lang w:eastAsia="zh-CN"/>
        </w:rPr>
        <w:t>投标</w:t>
      </w:r>
      <w:r>
        <w:rPr>
          <w:rFonts w:hint="eastAsia" w:ascii="宋体" w:hAnsi="宋体"/>
          <w:kern w:val="0"/>
          <w:sz w:val="22"/>
          <w:szCs w:val="22"/>
          <w:highlight w:val="none"/>
        </w:rPr>
        <w:t>文件承诺的内容进行服务，做到优先安排、优质服务。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b/>
          <w:kern w:val="0"/>
          <w:sz w:val="22"/>
          <w:szCs w:val="22"/>
          <w:highlight w:val="none"/>
        </w:rPr>
      </w:pPr>
      <w:r>
        <w:rPr>
          <w:rFonts w:hint="eastAsia" w:ascii="宋体" w:hAnsi="宋体"/>
          <w:b/>
          <w:kern w:val="0"/>
          <w:sz w:val="22"/>
          <w:szCs w:val="22"/>
          <w:highlight w:val="none"/>
        </w:rPr>
        <w:t>第四条 费用结算</w:t>
      </w:r>
    </w:p>
    <w:p>
      <w:pPr>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color w:val="auto"/>
          <w:sz w:val="22"/>
          <w:szCs w:val="22"/>
          <w:highlight w:val="none"/>
          <w:u w:val="single"/>
          <w:lang w:val="en-US" w:eastAsia="zh-CN"/>
        </w:rPr>
      </w:pPr>
      <w:r>
        <w:rPr>
          <w:rFonts w:hint="eastAsia" w:ascii="宋体" w:hAnsi="宋体" w:cs="宋体"/>
          <w:sz w:val="22"/>
          <w:szCs w:val="22"/>
          <w:highlight w:val="none"/>
          <w:u w:val="none"/>
        </w:rPr>
        <w:t>合同签订后，甲方</w:t>
      </w:r>
      <w:r>
        <w:rPr>
          <w:rFonts w:hint="eastAsia" w:ascii="宋体" w:hAnsi="宋体" w:cs="宋体"/>
          <w:sz w:val="22"/>
          <w:szCs w:val="22"/>
          <w:highlight w:val="none"/>
          <w:u w:val="none"/>
          <w:lang w:eastAsia="zh-CN"/>
        </w:rPr>
        <w:t>收到乙方出具</w:t>
      </w:r>
      <w:r>
        <w:rPr>
          <w:rFonts w:hint="eastAsia" w:ascii="宋体" w:hAnsi="宋体" w:cs="宋体"/>
          <w:sz w:val="22"/>
          <w:szCs w:val="22"/>
          <w:highlight w:val="none"/>
          <w:u w:val="none"/>
        </w:rPr>
        <w:t>的</w:t>
      </w:r>
      <w:r>
        <w:rPr>
          <w:rFonts w:hint="eastAsia" w:ascii="宋体" w:hAnsi="宋体" w:cs="宋体"/>
          <w:sz w:val="22"/>
          <w:szCs w:val="22"/>
          <w:highlight w:val="none"/>
          <w:u w:val="none"/>
          <w:lang w:eastAsia="zh-CN"/>
        </w:rPr>
        <w:t>预算</w:t>
      </w:r>
      <w:r>
        <w:rPr>
          <w:rFonts w:hint="eastAsia" w:ascii="宋体" w:hAnsi="宋体" w:cs="宋体"/>
          <w:sz w:val="22"/>
          <w:szCs w:val="22"/>
          <w:highlight w:val="none"/>
          <w:u w:val="none"/>
        </w:rPr>
        <w:t>金额</w:t>
      </w:r>
      <w:r>
        <w:rPr>
          <w:rFonts w:hint="eastAsia" w:ascii="宋体" w:hAnsi="宋体" w:cs="宋体"/>
          <w:sz w:val="22"/>
          <w:szCs w:val="22"/>
          <w:highlight w:val="none"/>
          <w:u w:val="none"/>
          <w:lang w:val="en-US" w:eastAsia="zh-CN"/>
        </w:rPr>
        <w:t>4</w:t>
      </w:r>
      <w:r>
        <w:rPr>
          <w:rFonts w:hint="eastAsia" w:ascii="宋体" w:hAnsi="宋体" w:cs="宋体"/>
          <w:sz w:val="22"/>
          <w:szCs w:val="22"/>
          <w:highlight w:val="none"/>
          <w:u w:val="none"/>
        </w:rPr>
        <w:t>0%保函</w:t>
      </w:r>
      <w:r>
        <w:rPr>
          <w:rFonts w:hint="eastAsia" w:ascii="宋体" w:hAnsi="宋体" w:cs="宋体"/>
          <w:sz w:val="22"/>
          <w:szCs w:val="22"/>
          <w:highlight w:val="none"/>
          <w:u w:val="none"/>
          <w:lang w:eastAsia="zh-CN"/>
        </w:rPr>
        <w:t>和</w:t>
      </w:r>
      <w:r>
        <w:rPr>
          <w:rFonts w:hint="eastAsia" w:ascii="宋体" w:hAnsi="宋体" w:cs="宋体"/>
          <w:sz w:val="22"/>
          <w:szCs w:val="22"/>
          <w:highlight w:val="none"/>
          <w:u w:val="none"/>
        </w:rPr>
        <w:t>具备实施条件后</w:t>
      </w:r>
      <w:r>
        <w:rPr>
          <w:rFonts w:hint="eastAsia" w:ascii="宋体" w:hAnsi="宋体" w:cs="宋体"/>
          <w:sz w:val="22"/>
          <w:szCs w:val="22"/>
          <w:highlight w:val="none"/>
          <w:u w:val="none"/>
          <w:lang w:val="en-US" w:eastAsia="zh-CN"/>
        </w:rPr>
        <w:t>7个工作</w:t>
      </w:r>
      <w:r>
        <w:rPr>
          <w:rFonts w:hint="eastAsia" w:ascii="宋体" w:hAnsi="宋体" w:cs="宋体"/>
          <w:sz w:val="22"/>
          <w:szCs w:val="22"/>
          <w:highlight w:val="none"/>
          <w:u w:val="none"/>
        </w:rPr>
        <w:t>日内，向乙方支付</w:t>
      </w:r>
      <w:r>
        <w:rPr>
          <w:rFonts w:hint="eastAsia" w:ascii="宋体" w:hAnsi="宋体" w:cs="宋体"/>
          <w:sz w:val="22"/>
          <w:szCs w:val="22"/>
          <w:highlight w:val="none"/>
          <w:u w:val="none"/>
          <w:lang w:eastAsia="zh-CN"/>
        </w:rPr>
        <w:t>预算金额</w:t>
      </w:r>
      <w:r>
        <w:rPr>
          <w:rFonts w:hint="eastAsia" w:ascii="宋体" w:hAnsi="宋体" w:cs="宋体"/>
          <w:sz w:val="22"/>
          <w:szCs w:val="22"/>
          <w:highlight w:val="none"/>
          <w:u w:val="none"/>
          <w:lang w:val="en-US" w:eastAsia="zh-CN"/>
        </w:rPr>
        <w:t>4</w:t>
      </w:r>
      <w:r>
        <w:rPr>
          <w:rFonts w:hint="eastAsia" w:ascii="宋体" w:hAnsi="宋体" w:cs="宋体"/>
          <w:sz w:val="22"/>
          <w:szCs w:val="22"/>
          <w:highlight w:val="none"/>
          <w:u w:val="none"/>
        </w:rPr>
        <w:t>0%的预付款；乙方完成全部服务，甲方验收合格并收到乙方出具增值税发票后7个工作日内，甲方</w:t>
      </w:r>
      <w:r>
        <w:rPr>
          <w:rFonts w:hint="eastAsia" w:ascii="宋体" w:hAnsi="宋体" w:eastAsia="宋体" w:cs="宋体"/>
          <w:color w:val="auto"/>
          <w:sz w:val="22"/>
          <w:szCs w:val="22"/>
          <w:highlight w:val="none"/>
          <w:u w:val="none"/>
          <w:lang w:eastAsia="zh-CN"/>
        </w:rPr>
        <w:t>支付剩余的合同款并退还保函</w:t>
      </w:r>
      <w:r>
        <w:rPr>
          <w:rFonts w:hint="eastAsia" w:ascii="宋体" w:hAnsi="宋体" w:cs="宋体"/>
          <w:color w:val="auto"/>
          <w:sz w:val="22"/>
          <w:szCs w:val="22"/>
          <w:highlight w:val="none"/>
          <w:u w:val="none"/>
        </w:rPr>
        <w:t>。</w:t>
      </w:r>
      <w:r>
        <w:rPr>
          <w:rFonts w:hint="eastAsia" w:ascii="宋体" w:hAnsi="宋体" w:cs="宋体"/>
          <w:color w:val="auto"/>
          <w:sz w:val="22"/>
          <w:szCs w:val="22"/>
          <w:highlight w:val="none"/>
          <w:u w:val="none"/>
          <w:lang w:val="en-US" w:eastAsia="zh-CN"/>
        </w:rPr>
        <w:t>注：</w:t>
      </w:r>
      <w:r>
        <w:rPr>
          <w:rFonts w:hint="eastAsia" w:ascii="宋体" w:hAnsi="宋体" w:eastAsia="宋体" w:cs="宋体"/>
          <w:color w:val="auto"/>
          <w:sz w:val="22"/>
          <w:szCs w:val="22"/>
          <w:highlight w:val="none"/>
          <w:u w:val="none"/>
          <w:lang w:eastAsia="zh-CN"/>
        </w:rPr>
        <w:t>在</w:t>
      </w:r>
      <w:r>
        <w:rPr>
          <w:rFonts w:hint="eastAsia" w:ascii="宋体" w:hAnsi="宋体" w:eastAsia="宋体" w:cs="宋体"/>
          <w:color w:val="auto"/>
          <w:sz w:val="22"/>
          <w:szCs w:val="22"/>
          <w:highlight w:val="none"/>
          <w:u w:val="none"/>
          <w:lang w:val="en-US" w:eastAsia="zh-CN"/>
        </w:rPr>
        <w:t>合同签订时，乙方明确表示无需预付款，乙方完成全部服务，甲方验收合格并收到乙方出具增值税发票后7个工作日内，甲方支付合同全款。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b/>
          <w:color w:val="auto"/>
          <w:kern w:val="0"/>
          <w:sz w:val="22"/>
          <w:szCs w:val="22"/>
          <w:highlight w:val="none"/>
        </w:rPr>
      </w:pPr>
      <w:r>
        <w:rPr>
          <w:rFonts w:hint="eastAsia" w:ascii="宋体" w:hAnsi="宋体"/>
          <w:b/>
          <w:bCs/>
          <w:color w:val="auto"/>
          <w:kern w:val="0"/>
          <w:sz w:val="22"/>
          <w:szCs w:val="22"/>
          <w:highlight w:val="none"/>
        </w:rPr>
        <w:t xml:space="preserve">第五条 </w:t>
      </w:r>
      <w:r>
        <w:rPr>
          <w:rFonts w:hint="eastAsia" w:ascii="宋体" w:hAnsi="宋体"/>
          <w:b/>
          <w:color w:val="auto"/>
          <w:kern w:val="0"/>
          <w:sz w:val="22"/>
          <w:szCs w:val="22"/>
          <w:highlight w:val="none"/>
        </w:rPr>
        <w:t>服务保证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kern w:val="0"/>
          <w:sz w:val="22"/>
          <w:szCs w:val="22"/>
          <w:highlight w:val="none"/>
        </w:rPr>
      </w:pPr>
      <w:r>
        <w:rPr>
          <w:rFonts w:hint="eastAsia" w:ascii="宋体" w:hAnsi="宋体"/>
          <w:color w:val="auto"/>
          <w:kern w:val="0"/>
          <w:sz w:val="22"/>
          <w:szCs w:val="22"/>
          <w:highlight w:val="none"/>
        </w:rPr>
        <w:t xml:space="preserve">    1．乙方应保证按</w:t>
      </w:r>
      <w:r>
        <w:rPr>
          <w:rFonts w:hint="eastAsia" w:ascii="宋体" w:hAnsi="宋体"/>
          <w:color w:val="auto"/>
          <w:kern w:val="0"/>
          <w:sz w:val="22"/>
          <w:szCs w:val="22"/>
          <w:highlight w:val="none"/>
          <w:lang w:eastAsia="zh-CN"/>
        </w:rPr>
        <w:t>招标文件</w:t>
      </w:r>
      <w:r>
        <w:rPr>
          <w:rFonts w:hint="eastAsia" w:ascii="宋体" w:hAnsi="宋体"/>
          <w:color w:val="auto"/>
          <w:kern w:val="0"/>
          <w:sz w:val="22"/>
          <w:szCs w:val="22"/>
          <w:highlight w:val="none"/>
        </w:rPr>
        <w:t>要求和</w:t>
      </w:r>
      <w:r>
        <w:rPr>
          <w:rFonts w:hint="eastAsia" w:ascii="宋体" w:hAnsi="宋体"/>
          <w:color w:val="auto"/>
          <w:kern w:val="0"/>
          <w:sz w:val="22"/>
          <w:szCs w:val="22"/>
          <w:highlight w:val="none"/>
          <w:lang w:eastAsia="zh-CN"/>
        </w:rPr>
        <w:t>投标</w:t>
      </w:r>
      <w:r>
        <w:rPr>
          <w:rFonts w:hint="eastAsia" w:ascii="宋体" w:hAnsi="宋体"/>
          <w:color w:val="auto"/>
          <w:kern w:val="0"/>
          <w:sz w:val="22"/>
          <w:szCs w:val="22"/>
          <w:highlight w:val="none"/>
        </w:rPr>
        <w:t>文件的承诺，为甲方职工疗休养提供</w:t>
      </w:r>
      <w:r>
        <w:rPr>
          <w:rFonts w:hint="eastAsia" w:ascii="宋体" w:hAnsi="宋体"/>
          <w:kern w:val="0"/>
          <w:sz w:val="22"/>
          <w:szCs w:val="22"/>
          <w:highlight w:val="none"/>
        </w:rPr>
        <w:t>高质量的服务，积极配合甲方，在认真执行各项开支标准的基础上，做到安排优先、服务优良。</w:t>
      </w:r>
    </w:p>
    <w:p>
      <w:pPr>
        <w:spacing w:after="0" w:line="360" w:lineRule="exact"/>
        <w:rPr>
          <w:rFonts w:hint="eastAsia" w:ascii="宋体" w:hAnsi="宋体"/>
          <w:kern w:val="0"/>
          <w:sz w:val="22"/>
          <w:szCs w:val="22"/>
          <w:highlight w:val="none"/>
        </w:rPr>
      </w:pPr>
      <w:r>
        <w:rPr>
          <w:rFonts w:hint="eastAsia" w:ascii="宋体" w:hAnsi="宋体"/>
          <w:kern w:val="0"/>
          <w:sz w:val="22"/>
          <w:szCs w:val="22"/>
          <w:highlight w:val="none"/>
        </w:rPr>
        <w:t xml:space="preserve">    2．乙方提供的服务设施应保证安全、卫生、便捷、可靠。</w:t>
      </w:r>
    </w:p>
    <w:p>
      <w:pPr>
        <w:spacing w:after="0" w:line="360" w:lineRule="exact"/>
        <w:rPr>
          <w:rFonts w:hint="eastAsia" w:ascii="宋体" w:hAnsi="宋体"/>
          <w:kern w:val="0"/>
          <w:sz w:val="22"/>
          <w:szCs w:val="22"/>
          <w:highlight w:val="none"/>
        </w:rPr>
      </w:pPr>
      <w:r>
        <w:rPr>
          <w:rFonts w:hint="eastAsia" w:ascii="宋体" w:hAnsi="宋体"/>
          <w:kern w:val="0"/>
          <w:sz w:val="22"/>
          <w:szCs w:val="22"/>
          <w:highlight w:val="none"/>
        </w:rPr>
        <w:t xml:space="preserve">    3．导游工作到位，有专门工作人员值班、保持通迅畅通。疗休养期间发生的人身安全及财产损失，如因乙方原因造成，应由乙方承担相应责任。</w:t>
      </w:r>
    </w:p>
    <w:p>
      <w:pPr>
        <w:spacing w:after="0" w:line="360" w:lineRule="exact"/>
        <w:ind w:firstLine="110" w:firstLineChars="50"/>
        <w:rPr>
          <w:rFonts w:hint="eastAsia" w:ascii="宋体" w:hAnsi="宋体"/>
          <w:kern w:val="0"/>
          <w:sz w:val="22"/>
          <w:szCs w:val="22"/>
          <w:highlight w:val="none"/>
        </w:rPr>
      </w:pPr>
      <w:r>
        <w:rPr>
          <w:rFonts w:hint="eastAsia" w:ascii="宋体" w:hAnsi="宋体"/>
          <w:kern w:val="0"/>
          <w:sz w:val="22"/>
          <w:szCs w:val="22"/>
          <w:highlight w:val="none"/>
        </w:rPr>
        <w:t xml:space="preserve">   4．乙方应做到应保则保，妥善为甲方疗休养人员提供人身意外伤害保险等。</w:t>
      </w:r>
    </w:p>
    <w:p>
      <w:pPr>
        <w:spacing w:after="0" w:line="360" w:lineRule="exact"/>
        <w:ind w:firstLine="440" w:firstLineChars="200"/>
        <w:rPr>
          <w:rFonts w:hint="eastAsia" w:ascii="宋体" w:hAnsi="宋体"/>
          <w:kern w:val="0"/>
          <w:sz w:val="22"/>
          <w:szCs w:val="22"/>
          <w:highlight w:val="none"/>
        </w:rPr>
      </w:pPr>
      <w:r>
        <w:rPr>
          <w:rFonts w:hint="eastAsia" w:ascii="宋体" w:hAnsi="宋体"/>
          <w:kern w:val="0"/>
          <w:sz w:val="22"/>
          <w:szCs w:val="22"/>
          <w:highlight w:val="none"/>
        </w:rPr>
        <w:t>5. 乙方应对甲方疗休养人员提出的违法、违规和不合理要求坚决予以拒绝。</w:t>
      </w:r>
    </w:p>
    <w:p>
      <w:pPr>
        <w:spacing w:after="0" w:line="360" w:lineRule="exact"/>
        <w:ind w:firstLine="435"/>
        <w:rPr>
          <w:rFonts w:hint="eastAsia" w:ascii="宋体" w:hAnsi="宋体"/>
          <w:kern w:val="0"/>
          <w:sz w:val="22"/>
          <w:szCs w:val="22"/>
          <w:highlight w:val="none"/>
        </w:rPr>
      </w:pPr>
      <w:r>
        <w:rPr>
          <w:rFonts w:hint="eastAsia" w:ascii="宋体" w:hAnsi="宋体"/>
          <w:kern w:val="0"/>
          <w:sz w:val="22"/>
          <w:szCs w:val="22"/>
          <w:highlight w:val="none"/>
        </w:rPr>
        <w:t>6．乙方应自觉接受甲方相关部门的监督检查。</w:t>
      </w:r>
    </w:p>
    <w:p>
      <w:pPr>
        <w:spacing w:after="0" w:line="360" w:lineRule="exact"/>
        <w:ind w:firstLine="435"/>
        <w:rPr>
          <w:rFonts w:hint="eastAsia" w:ascii="宋体" w:hAnsi="宋体"/>
          <w:kern w:val="0"/>
          <w:sz w:val="22"/>
          <w:szCs w:val="22"/>
          <w:highlight w:val="none"/>
        </w:rPr>
      </w:pPr>
      <w:r>
        <w:rPr>
          <w:rFonts w:hint="eastAsia" w:ascii="宋体" w:hAnsi="宋体"/>
          <w:kern w:val="0"/>
          <w:sz w:val="22"/>
          <w:szCs w:val="22"/>
          <w:highlight w:val="none"/>
        </w:rPr>
        <w:t>7．乙方负责每月初将上月出团情况（包括线路，时间，参加人员名单、所在部门、身份证号码、联系电话，以及每批次疗休养合同（复印件）、职工疗休养情况反馈表（原件）等报甲方部门备案。</w:t>
      </w:r>
    </w:p>
    <w:p>
      <w:pPr>
        <w:spacing w:after="0" w:line="360" w:lineRule="exact"/>
        <w:rPr>
          <w:rFonts w:hint="eastAsia" w:ascii="宋体" w:hAnsi="宋体"/>
          <w:b/>
          <w:kern w:val="0"/>
          <w:sz w:val="22"/>
          <w:szCs w:val="22"/>
          <w:highlight w:val="none"/>
        </w:rPr>
      </w:pPr>
      <w:r>
        <w:rPr>
          <w:rFonts w:hint="eastAsia" w:ascii="宋体" w:hAnsi="宋体"/>
          <w:b/>
          <w:bCs/>
          <w:kern w:val="0"/>
          <w:sz w:val="22"/>
          <w:szCs w:val="22"/>
          <w:highlight w:val="none"/>
        </w:rPr>
        <w:t xml:space="preserve">第六条 </w:t>
      </w:r>
      <w:r>
        <w:rPr>
          <w:rFonts w:hint="eastAsia" w:ascii="宋体" w:hAnsi="宋体"/>
          <w:b/>
          <w:kern w:val="0"/>
          <w:sz w:val="22"/>
          <w:szCs w:val="22"/>
          <w:highlight w:val="none"/>
        </w:rPr>
        <w:t>接待</w:t>
      </w:r>
    </w:p>
    <w:p>
      <w:pPr>
        <w:spacing w:after="0" w:line="360" w:lineRule="exact"/>
        <w:rPr>
          <w:rFonts w:hint="eastAsia" w:ascii="宋体" w:hAnsi="宋体"/>
          <w:kern w:val="0"/>
          <w:sz w:val="22"/>
          <w:szCs w:val="22"/>
          <w:highlight w:val="none"/>
        </w:rPr>
      </w:pPr>
      <w:r>
        <w:rPr>
          <w:rFonts w:hint="eastAsia" w:ascii="宋体" w:hAnsi="宋体"/>
          <w:kern w:val="0"/>
          <w:sz w:val="22"/>
          <w:szCs w:val="22"/>
          <w:highlight w:val="none"/>
        </w:rPr>
        <w:t xml:space="preserve">    1．乙方应按照规定的时间完成接待任务。</w:t>
      </w:r>
    </w:p>
    <w:p>
      <w:pPr>
        <w:spacing w:after="0" w:line="360" w:lineRule="exact"/>
        <w:rPr>
          <w:rFonts w:hint="eastAsia" w:ascii="宋体" w:hAnsi="宋体"/>
          <w:kern w:val="0"/>
          <w:sz w:val="22"/>
          <w:szCs w:val="22"/>
          <w:highlight w:val="none"/>
        </w:rPr>
      </w:pPr>
      <w:r>
        <w:rPr>
          <w:rFonts w:hint="eastAsia" w:ascii="宋体" w:hAnsi="宋体"/>
          <w:kern w:val="0"/>
          <w:sz w:val="22"/>
          <w:szCs w:val="22"/>
          <w:highlight w:val="none"/>
        </w:rPr>
        <w:t xml:space="preserve">    2．如果乙方无正当理由拖延时间或不主动与甲方办理相关疗休养手续，将承担赔偿损失和终止合同的违约责任。</w:t>
      </w:r>
    </w:p>
    <w:p>
      <w:pPr>
        <w:spacing w:after="0" w:line="360" w:lineRule="exact"/>
        <w:rPr>
          <w:rFonts w:hint="eastAsia" w:ascii="宋体" w:hAnsi="宋体"/>
          <w:kern w:val="0"/>
          <w:sz w:val="22"/>
          <w:szCs w:val="22"/>
          <w:highlight w:val="none"/>
        </w:rPr>
      </w:pPr>
      <w:r>
        <w:rPr>
          <w:rFonts w:hint="eastAsia" w:ascii="宋体" w:hAnsi="宋体"/>
          <w:kern w:val="0"/>
          <w:sz w:val="22"/>
          <w:szCs w:val="22"/>
          <w:highlight w:val="none"/>
        </w:rPr>
        <w:t xml:space="preserve">    3．在履行接待服务过程中，如果乙方遇到不能按时接待的情况，乙方应及时以书面形式将不能按时接待的理由、可能延误的时间通知甲方。甲方在收到乙方通知后，应对情况进行分析，决定是否继续疗休养项目、酌情延长疗休养时间或终止合同。</w:t>
      </w:r>
    </w:p>
    <w:p>
      <w:pPr>
        <w:spacing w:after="0" w:line="360" w:lineRule="exact"/>
        <w:ind w:firstLine="440" w:firstLineChars="200"/>
        <w:rPr>
          <w:rFonts w:ascii="宋体" w:hAnsi="宋体"/>
          <w:kern w:val="0"/>
          <w:sz w:val="22"/>
          <w:szCs w:val="22"/>
          <w:highlight w:val="none"/>
        </w:rPr>
      </w:pPr>
      <w:r>
        <w:rPr>
          <w:rFonts w:hint="eastAsia" w:ascii="宋体" w:hAnsi="宋体"/>
          <w:kern w:val="0"/>
          <w:sz w:val="22"/>
          <w:szCs w:val="22"/>
          <w:highlight w:val="none"/>
        </w:rPr>
        <w:t>4．除本合同条款第</w:t>
      </w:r>
      <w:r>
        <w:rPr>
          <w:rFonts w:ascii="宋体" w:hAnsi="宋体"/>
          <w:kern w:val="0"/>
          <w:sz w:val="22"/>
          <w:szCs w:val="22"/>
          <w:highlight w:val="none"/>
        </w:rPr>
        <w:t>八</w:t>
      </w:r>
      <w:r>
        <w:rPr>
          <w:rFonts w:hint="eastAsia" w:ascii="宋体" w:hAnsi="宋体"/>
          <w:kern w:val="0"/>
          <w:sz w:val="22"/>
          <w:szCs w:val="22"/>
          <w:highlight w:val="none"/>
        </w:rPr>
        <w:t>条规定情形外，如果乙方没有按照规定的时间完成接待工作，甲方有权要求乙方向甲方支付误期赔偿费，赔偿费按该批次出团疗休养总费用的</w:t>
      </w:r>
      <w:r>
        <w:rPr>
          <w:rFonts w:ascii="宋体" w:hAnsi="宋体"/>
          <w:kern w:val="0"/>
          <w:sz w:val="22"/>
          <w:szCs w:val="22"/>
          <w:highlight w:val="none"/>
        </w:rPr>
        <w:t>5</w:t>
      </w:r>
      <w:r>
        <w:rPr>
          <w:rFonts w:hint="eastAsia" w:ascii="宋体" w:hAnsi="宋体"/>
          <w:kern w:val="0"/>
          <w:sz w:val="22"/>
          <w:szCs w:val="22"/>
          <w:highlight w:val="none"/>
        </w:rPr>
        <w:t>%计算。</w:t>
      </w:r>
    </w:p>
    <w:p>
      <w:pPr>
        <w:spacing w:after="0" w:line="360" w:lineRule="exact"/>
        <w:rPr>
          <w:rFonts w:hint="eastAsia" w:ascii="宋体" w:hAnsi="宋体"/>
          <w:b/>
          <w:kern w:val="0"/>
          <w:sz w:val="22"/>
          <w:szCs w:val="22"/>
          <w:highlight w:val="none"/>
        </w:rPr>
      </w:pPr>
      <w:r>
        <w:rPr>
          <w:rFonts w:hint="eastAsia" w:ascii="宋体" w:hAnsi="宋体"/>
          <w:b/>
          <w:bCs/>
          <w:kern w:val="0"/>
          <w:sz w:val="22"/>
          <w:szCs w:val="22"/>
          <w:highlight w:val="none"/>
        </w:rPr>
        <w:t>第七条</w:t>
      </w:r>
      <w:r>
        <w:rPr>
          <w:rFonts w:hint="eastAsia" w:ascii="宋体" w:hAnsi="宋体"/>
          <w:b/>
          <w:kern w:val="0"/>
          <w:sz w:val="22"/>
          <w:szCs w:val="22"/>
          <w:highlight w:val="none"/>
        </w:rPr>
        <w:t xml:space="preserve"> 服务要求</w:t>
      </w:r>
    </w:p>
    <w:p>
      <w:pPr>
        <w:widowControl/>
        <w:autoSpaceDE w:val="0"/>
        <w:autoSpaceDN w:val="0"/>
        <w:adjustRightInd w:val="0"/>
        <w:spacing w:after="0" w:line="360" w:lineRule="exact"/>
        <w:ind w:firstLine="431" w:firstLineChars="196"/>
        <w:textAlignment w:val="bottom"/>
        <w:rPr>
          <w:rFonts w:hint="eastAsia" w:ascii="宋体" w:hAnsi="宋体"/>
          <w:sz w:val="22"/>
          <w:szCs w:val="22"/>
          <w:highlight w:val="none"/>
        </w:rPr>
      </w:pPr>
      <w:r>
        <w:rPr>
          <w:rFonts w:hint="eastAsia" w:ascii="宋体" w:hAnsi="宋体"/>
          <w:sz w:val="22"/>
          <w:szCs w:val="22"/>
          <w:highlight w:val="none"/>
        </w:rPr>
        <w:t>乙方应提供如下服务标准，包括饮食安排、客房布置、现场布置、人员配置等：</w:t>
      </w:r>
    </w:p>
    <w:p>
      <w:pPr>
        <w:widowControl/>
        <w:autoSpaceDE w:val="0"/>
        <w:autoSpaceDN w:val="0"/>
        <w:adjustRightInd w:val="0"/>
        <w:spacing w:after="0" w:line="360" w:lineRule="exact"/>
        <w:ind w:firstLine="431" w:firstLineChars="196"/>
        <w:textAlignment w:val="bottom"/>
        <w:rPr>
          <w:rFonts w:hint="eastAsia" w:ascii="宋体" w:hAnsi="宋体"/>
          <w:sz w:val="22"/>
          <w:szCs w:val="22"/>
          <w:highlight w:val="none"/>
        </w:rPr>
      </w:pPr>
      <w:r>
        <w:rPr>
          <w:rFonts w:ascii="宋体" w:hAnsi="宋体"/>
          <w:sz w:val="22"/>
          <w:szCs w:val="22"/>
          <w:highlight w:val="none"/>
        </w:rPr>
        <w:t>1.</w:t>
      </w:r>
      <w:r>
        <w:rPr>
          <w:rFonts w:hint="eastAsia" w:ascii="宋体" w:hAnsi="宋体"/>
          <w:sz w:val="22"/>
          <w:szCs w:val="22"/>
          <w:highlight w:val="none"/>
        </w:rPr>
        <w:t>车辆和司机情况：空调车，车况好，两年内车辆，内饰干净，下部有行李箱，司机五年内无安全不良纪录。</w:t>
      </w:r>
    </w:p>
    <w:p>
      <w:pPr>
        <w:widowControl/>
        <w:autoSpaceDE w:val="0"/>
        <w:autoSpaceDN w:val="0"/>
        <w:adjustRightInd w:val="0"/>
        <w:spacing w:after="0" w:line="360" w:lineRule="exact"/>
        <w:ind w:firstLine="431" w:firstLineChars="196"/>
        <w:textAlignment w:val="bottom"/>
        <w:rPr>
          <w:rFonts w:hint="eastAsia" w:ascii="宋体" w:hAnsi="宋体"/>
          <w:sz w:val="22"/>
          <w:szCs w:val="22"/>
          <w:highlight w:val="none"/>
        </w:rPr>
      </w:pPr>
      <w:r>
        <w:rPr>
          <w:rFonts w:ascii="宋体" w:hAnsi="宋体"/>
          <w:sz w:val="22"/>
          <w:szCs w:val="22"/>
          <w:highlight w:val="none"/>
        </w:rPr>
        <w:t>2.</w:t>
      </w:r>
      <w:r>
        <w:rPr>
          <w:rFonts w:hint="eastAsia" w:ascii="宋体" w:hAnsi="宋体"/>
          <w:sz w:val="22"/>
          <w:szCs w:val="22"/>
          <w:highlight w:val="none"/>
        </w:rPr>
        <w:t>景点及门票：需包含项目具体线路安排及要求内提到的主要景区，也可增加沿途景点或周边景点。门票包括大门票和景点内必游的小门票，以及索道（如有）、电瓶车（如有）、游船（如有）等，不参加其他自费景点。</w:t>
      </w:r>
    </w:p>
    <w:p>
      <w:pPr>
        <w:widowControl/>
        <w:autoSpaceDE w:val="0"/>
        <w:autoSpaceDN w:val="0"/>
        <w:adjustRightInd w:val="0"/>
        <w:spacing w:after="0" w:line="360" w:lineRule="exact"/>
        <w:ind w:firstLine="431" w:firstLineChars="196"/>
        <w:textAlignment w:val="bottom"/>
        <w:rPr>
          <w:rFonts w:hint="eastAsia" w:ascii="宋体" w:hAnsi="宋体"/>
          <w:sz w:val="22"/>
          <w:szCs w:val="22"/>
          <w:highlight w:val="none"/>
        </w:rPr>
      </w:pPr>
      <w:r>
        <w:rPr>
          <w:rFonts w:ascii="宋体" w:hAnsi="宋体"/>
          <w:sz w:val="22"/>
          <w:szCs w:val="22"/>
          <w:highlight w:val="none"/>
        </w:rPr>
        <w:t>3.</w:t>
      </w:r>
      <w:r>
        <w:rPr>
          <w:rFonts w:hint="eastAsia" w:ascii="宋体" w:hAnsi="宋体"/>
          <w:sz w:val="22"/>
          <w:szCs w:val="22"/>
          <w:highlight w:val="none"/>
        </w:rPr>
        <w:t>住宿：四星级及以上标准的酒店，开业或新装修时间不超过五年。住宿为标准间。住宿要求不安排一楼，尽可能在同一楼层，含早餐。要求房间干净，各个设施齐全且能正常使用，24小时供应热水。同一线路原则上住在同一家酒店。</w:t>
      </w:r>
    </w:p>
    <w:p>
      <w:pPr>
        <w:widowControl/>
        <w:autoSpaceDE w:val="0"/>
        <w:autoSpaceDN w:val="0"/>
        <w:adjustRightInd w:val="0"/>
        <w:spacing w:after="0" w:line="360" w:lineRule="exact"/>
        <w:ind w:firstLine="431" w:firstLineChars="196"/>
        <w:textAlignment w:val="bottom"/>
        <w:rPr>
          <w:rFonts w:ascii="宋体" w:hAnsi="宋体"/>
          <w:sz w:val="22"/>
          <w:szCs w:val="22"/>
          <w:highlight w:val="none"/>
        </w:rPr>
      </w:pPr>
      <w:r>
        <w:rPr>
          <w:rFonts w:ascii="宋体" w:hAnsi="宋体"/>
          <w:sz w:val="22"/>
          <w:szCs w:val="22"/>
          <w:highlight w:val="none"/>
        </w:rPr>
        <w:t>4.</w:t>
      </w:r>
      <w:r>
        <w:rPr>
          <w:rFonts w:hint="eastAsia" w:ascii="宋体" w:hAnsi="宋体"/>
          <w:sz w:val="22"/>
          <w:szCs w:val="22"/>
          <w:highlight w:val="none"/>
        </w:rPr>
        <w:t>餐标：</w:t>
      </w:r>
      <w:r>
        <w:rPr>
          <w:rFonts w:hint="eastAsia" w:ascii="宋体" w:hAnsi="宋体" w:cs="宋体"/>
          <w:sz w:val="22"/>
          <w:szCs w:val="22"/>
          <w:highlight w:val="none"/>
        </w:rPr>
        <w:t>早餐自助，中、晚餐全部桌餐。浙江省内（含温州市域）每天正餐餐标不低于150元/人·天，邻省每天正餐餐标不低于120元/人·天，对口援建城市每天正餐餐标不低于100元/人·天，晚餐配备饮料，食物要求新鲜、安全，适合老师口味。要求菜品多样。餐厅交通便利，环境较好。具体餐标以供应商编制并获得采购人认可的方案为准</w:t>
      </w:r>
      <w:r>
        <w:rPr>
          <w:rFonts w:hint="eastAsia" w:ascii="宋体" w:hAnsi="宋体"/>
          <w:sz w:val="22"/>
          <w:szCs w:val="22"/>
          <w:highlight w:val="none"/>
        </w:rPr>
        <w:t>。</w:t>
      </w:r>
    </w:p>
    <w:p>
      <w:pPr>
        <w:tabs>
          <w:tab w:val="left" w:pos="9135"/>
        </w:tabs>
        <w:spacing w:after="0" w:line="360" w:lineRule="exact"/>
        <w:ind w:left="8" w:leftChars="4" w:firstLine="440" w:firstLineChars="200"/>
        <w:rPr>
          <w:rFonts w:ascii="宋体" w:hAnsi="宋体"/>
          <w:sz w:val="22"/>
          <w:szCs w:val="22"/>
          <w:highlight w:val="none"/>
        </w:rPr>
      </w:pPr>
      <w:r>
        <w:rPr>
          <w:rFonts w:ascii="宋体" w:hAnsi="宋体"/>
          <w:sz w:val="22"/>
          <w:szCs w:val="22"/>
          <w:highlight w:val="none"/>
        </w:rPr>
        <w:t>5.每次活动“食、宿、行、门票”的价格不得高于“携程”、“艺龙”、“途牛”、“去哪儿”、“美团”、“百度糯米”等知名旅行及团购网站相同旅游产品价格。</w:t>
      </w:r>
    </w:p>
    <w:p>
      <w:pPr>
        <w:tabs>
          <w:tab w:val="left" w:pos="9135"/>
        </w:tabs>
        <w:spacing w:after="0" w:line="360" w:lineRule="exact"/>
        <w:ind w:firstLine="440" w:firstLineChars="200"/>
        <w:rPr>
          <w:rFonts w:hint="eastAsia" w:ascii="宋体" w:hAnsi="宋体"/>
          <w:sz w:val="22"/>
          <w:szCs w:val="22"/>
          <w:highlight w:val="none"/>
        </w:rPr>
      </w:pPr>
      <w:r>
        <w:rPr>
          <w:rFonts w:ascii="宋体" w:hAnsi="宋体"/>
          <w:sz w:val="22"/>
          <w:szCs w:val="22"/>
          <w:highlight w:val="none"/>
        </w:rPr>
        <w:t>6.</w:t>
      </w:r>
      <w:r>
        <w:rPr>
          <w:rFonts w:hint="eastAsia" w:ascii="宋体" w:hAnsi="宋体"/>
          <w:sz w:val="22"/>
          <w:szCs w:val="22"/>
          <w:highlight w:val="none"/>
        </w:rPr>
        <w:t>乙方需安排有丰富经验的导游（不少于三年）陪同，每辆车至少安排一名导游。不得安排购物点。</w:t>
      </w:r>
    </w:p>
    <w:p>
      <w:pPr>
        <w:spacing w:after="0" w:line="360" w:lineRule="exact"/>
        <w:rPr>
          <w:rFonts w:hint="eastAsia" w:ascii="宋体" w:hAnsi="宋体"/>
          <w:b/>
          <w:kern w:val="0"/>
          <w:sz w:val="22"/>
          <w:szCs w:val="22"/>
          <w:highlight w:val="none"/>
        </w:rPr>
      </w:pPr>
      <w:r>
        <w:rPr>
          <w:rFonts w:hint="eastAsia" w:ascii="宋体" w:hAnsi="宋体"/>
          <w:b/>
          <w:bCs/>
          <w:kern w:val="0"/>
          <w:sz w:val="22"/>
          <w:szCs w:val="22"/>
          <w:highlight w:val="none"/>
        </w:rPr>
        <w:t>第八条</w:t>
      </w:r>
      <w:r>
        <w:rPr>
          <w:rFonts w:hint="eastAsia" w:ascii="宋体" w:hAnsi="宋体"/>
          <w:b/>
          <w:kern w:val="0"/>
          <w:sz w:val="22"/>
          <w:szCs w:val="22"/>
          <w:highlight w:val="none"/>
        </w:rPr>
        <w:t xml:space="preserve"> 不可抗力</w:t>
      </w:r>
    </w:p>
    <w:p>
      <w:pPr>
        <w:spacing w:after="0" w:line="360" w:lineRule="exact"/>
        <w:rPr>
          <w:rFonts w:hint="eastAsia" w:ascii="宋体" w:hAnsi="宋体"/>
          <w:kern w:val="0"/>
          <w:sz w:val="22"/>
          <w:szCs w:val="22"/>
          <w:highlight w:val="none"/>
        </w:rPr>
      </w:pPr>
      <w:r>
        <w:rPr>
          <w:rFonts w:hint="eastAsia" w:ascii="宋体" w:hAnsi="宋体"/>
          <w:kern w:val="0"/>
          <w:sz w:val="22"/>
          <w:szCs w:val="22"/>
          <w:highlight w:val="none"/>
        </w:rPr>
        <w:t xml:space="preserve">    1．乙方因不可抗力而导致服务实施延误或不能履行服务义务的，不视为违约。</w:t>
      </w:r>
    </w:p>
    <w:p>
      <w:pPr>
        <w:spacing w:after="0" w:line="360" w:lineRule="exact"/>
        <w:rPr>
          <w:rFonts w:hint="eastAsia" w:ascii="宋体" w:hAnsi="宋体"/>
          <w:kern w:val="0"/>
          <w:sz w:val="22"/>
          <w:szCs w:val="22"/>
          <w:highlight w:val="none"/>
        </w:rPr>
      </w:pPr>
      <w:r>
        <w:rPr>
          <w:rFonts w:hint="eastAsia" w:ascii="宋体" w:hAnsi="宋体"/>
          <w:kern w:val="0"/>
          <w:sz w:val="22"/>
          <w:szCs w:val="22"/>
          <w:highlight w:val="none"/>
        </w:rPr>
        <w:t xml:space="preserve">    2．本条所述的“不可抗力”系指双方无法控制、不可预见的事件，但不包括乙方的违约或疏忽。这些事件包括但不限于：战争、严重火灾、洪水、台风、地震。</w:t>
      </w:r>
    </w:p>
    <w:p>
      <w:pPr>
        <w:spacing w:after="0" w:line="360" w:lineRule="exact"/>
        <w:rPr>
          <w:rFonts w:hint="eastAsia" w:ascii="宋体" w:hAnsi="宋体"/>
          <w:kern w:val="0"/>
          <w:sz w:val="22"/>
          <w:szCs w:val="22"/>
          <w:highlight w:val="none"/>
        </w:rPr>
      </w:pPr>
      <w:r>
        <w:rPr>
          <w:rFonts w:hint="eastAsia" w:ascii="宋体" w:hAnsi="宋体"/>
          <w:kern w:val="0"/>
          <w:sz w:val="22"/>
          <w:szCs w:val="22"/>
          <w:highlight w:val="none"/>
        </w:rPr>
        <w:t xml:space="preserve">    3．在不可抗力事件发生后，乙方应尽快以书面形式将不可抗力的情况和原因通知甲方。除甲方书面另行要求外，乙方应尽实际可能继续履行服务义务，以及寻求采取合理的方案履行不受不可抗力影响的其他事项。如果不可抗力事件影响时间持续30天以上时，甲方和乙方应通过友好协商在合理的时间内达成进一步履行服务的合同。</w:t>
      </w:r>
    </w:p>
    <w:p>
      <w:pPr>
        <w:spacing w:after="0" w:line="360" w:lineRule="exact"/>
        <w:rPr>
          <w:rFonts w:hint="eastAsia" w:ascii="宋体" w:hAnsi="宋体"/>
          <w:b/>
          <w:kern w:val="0"/>
          <w:sz w:val="22"/>
          <w:szCs w:val="22"/>
          <w:highlight w:val="none"/>
        </w:rPr>
      </w:pPr>
      <w:r>
        <w:rPr>
          <w:rFonts w:hint="eastAsia" w:ascii="宋体" w:hAnsi="宋体"/>
          <w:b/>
          <w:bCs/>
          <w:kern w:val="0"/>
          <w:sz w:val="22"/>
          <w:szCs w:val="22"/>
          <w:highlight w:val="none"/>
        </w:rPr>
        <w:t xml:space="preserve">第九条 </w:t>
      </w:r>
      <w:r>
        <w:rPr>
          <w:rFonts w:hint="eastAsia" w:ascii="宋体" w:hAnsi="宋体"/>
          <w:b/>
          <w:kern w:val="0"/>
          <w:sz w:val="22"/>
          <w:szCs w:val="22"/>
          <w:highlight w:val="none"/>
        </w:rPr>
        <w:t>赔偿责任</w:t>
      </w:r>
    </w:p>
    <w:p>
      <w:pPr>
        <w:spacing w:after="0" w:line="360" w:lineRule="exact"/>
        <w:ind w:firstLine="440" w:firstLineChars="200"/>
        <w:rPr>
          <w:rFonts w:hint="eastAsia" w:ascii="宋体" w:hAnsi="宋体"/>
          <w:kern w:val="0"/>
          <w:sz w:val="22"/>
          <w:szCs w:val="22"/>
          <w:highlight w:val="none"/>
        </w:rPr>
      </w:pPr>
      <w:r>
        <w:rPr>
          <w:rFonts w:hint="eastAsia" w:ascii="宋体" w:hAnsi="宋体"/>
          <w:kern w:val="0"/>
          <w:sz w:val="22"/>
          <w:szCs w:val="22"/>
          <w:highlight w:val="none"/>
        </w:rPr>
        <w:t>1．因乙方原因致使甲方或甲方疗休养人员的权益受损，甲方有权根据单方委托的相关机构出具的检验报告，向乙方提出索赔。</w:t>
      </w:r>
    </w:p>
    <w:p>
      <w:pPr>
        <w:spacing w:after="0" w:line="360" w:lineRule="exact"/>
        <w:rPr>
          <w:rFonts w:hint="eastAsia" w:ascii="宋体" w:hAnsi="宋体"/>
          <w:kern w:val="0"/>
          <w:sz w:val="22"/>
          <w:szCs w:val="22"/>
          <w:highlight w:val="none"/>
        </w:rPr>
      </w:pPr>
      <w:r>
        <w:rPr>
          <w:rFonts w:hint="eastAsia" w:ascii="宋体" w:hAnsi="宋体"/>
          <w:kern w:val="0"/>
          <w:sz w:val="22"/>
          <w:szCs w:val="22"/>
          <w:highlight w:val="none"/>
        </w:rPr>
        <w:t xml:space="preserve">    2．如果在甲方发出索赔通知后5天内，乙方未作答复的，视为乙方接受甲方的上述索赔要求，乙方应当在甲方发出索赔通知后10天内或甲方同意的更长时间内，按照本合同规定的任何一种方法解决索赔事宜，否则甲方将采取法律手段解决。</w:t>
      </w:r>
    </w:p>
    <w:p>
      <w:pPr>
        <w:spacing w:after="0" w:line="360" w:lineRule="exact"/>
        <w:rPr>
          <w:rFonts w:hint="eastAsia" w:ascii="宋体" w:hAnsi="宋体"/>
          <w:b/>
          <w:kern w:val="0"/>
          <w:sz w:val="22"/>
          <w:szCs w:val="22"/>
          <w:highlight w:val="none"/>
        </w:rPr>
      </w:pPr>
      <w:r>
        <w:rPr>
          <w:rFonts w:hint="eastAsia" w:ascii="宋体" w:hAnsi="宋体"/>
          <w:b/>
          <w:bCs/>
          <w:kern w:val="0"/>
          <w:sz w:val="22"/>
          <w:szCs w:val="22"/>
          <w:highlight w:val="none"/>
        </w:rPr>
        <w:t>第</w:t>
      </w:r>
      <w:r>
        <w:rPr>
          <w:rFonts w:ascii="宋体" w:hAnsi="宋体"/>
          <w:b/>
          <w:bCs/>
          <w:kern w:val="0"/>
          <w:sz w:val="22"/>
          <w:szCs w:val="22"/>
          <w:highlight w:val="none"/>
        </w:rPr>
        <w:t>十</w:t>
      </w:r>
      <w:r>
        <w:rPr>
          <w:rFonts w:hint="eastAsia" w:ascii="宋体" w:hAnsi="宋体"/>
          <w:b/>
          <w:bCs/>
          <w:kern w:val="0"/>
          <w:sz w:val="22"/>
          <w:szCs w:val="22"/>
          <w:highlight w:val="none"/>
        </w:rPr>
        <w:t xml:space="preserve">条 </w:t>
      </w:r>
      <w:r>
        <w:rPr>
          <w:rFonts w:hint="eastAsia" w:ascii="宋体" w:hAnsi="宋体"/>
          <w:b/>
          <w:kern w:val="0"/>
          <w:sz w:val="22"/>
          <w:szCs w:val="22"/>
          <w:highlight w:val="none"/>
        </w:rPr>
        <w:t>税费</w:t>
      </w:r>
    </w:p>
    <w:p>
      <w:pPr>
        <w:spacing w:after="0" w:line="360" w:lineRule="exact"/>
        <w:rPr>
          <w:rFonts w:hint="eastAsia" w:ascii="宋体" w:hAnsi="宋体"/>
          <w:kern w:val="0"/>
          <w:sz w:val="22"/>
          <w:szCs w:val="22"/>
          <w:highlight w:val="none"/>
        </w:rPr>
      </w:pPr>
      <w:r>
        <w:rPr>
          <w:rFonts w:hint="eastAsia" w:ascii="宋体" w:hAnsi="宋体"/>
          <w:kern w:val="0"/>
          <w:sz w:val="22"/>
          <w:szCs w:val="22"/>
          <w:highlight w:val="none"/>
        </w:rPr>
        <w:t xml:space="preserve">    1．根据现行税法规定与本合同有关的一切税费，均由乙方负担，</w:t>
      </w:r>
      <w:r>
        <w:rPr>
          <w:rFonts w:hint="eastAsia" w:ascii="宋体" w:hAnsi="宋体"/>
          <w:kern w:val="0"/>
          <w:sz w:val="22"/>
          <w:szCs w:val="22"/>
          <w:highlight w:val="none"/>
          <w:lang w:eastAsia="zh-CN"/>
        </w:rPr>
        <w:t>招标文件</w:t>
      </w:r>
      <w:r>
        <w:rPr>
          <w:rFonts w:hint="eastAsia" w:ascii="宋体" w:hAnsi="宋体"/>
          <w:kern w:val="0"/>
          <w:sz w:val="22"/>
          <w:szCs w:val="22"/>
          <w:highlight w:val="none"/>
        </w:rPr>
        <w:t>另有规定的除外。</w:t>
      </w:r>
    </w:p>
    <w:p>
      <w:pPr>
        <w:spacing w:after="0" w:line="360" w:lineRule="exact"/>
        <w:rPr>
          <w:rFonts w:hint="eastAsia" w:ascii="宋体" w:hAnsi="宋体" w:eastAsia="宋体" w:cs="宋体"/>
          <w:b/>
          <w:kern w:val="0"/>
          <w:sz w:val="22"/>
          <w:szCs w:val="22"/>
          <w:highlight w:val="none"/>
        </w:rPr>
      </w:pPr>
      <w:r>
        <w:rPr>
          <w:rFonts w:hint="eastAsia" w:ascii="宋体" w:hAnsi="宋体" w:eastAsia="宋体" w:cs="宋体"/>
          <w:b/>
          <w:bCs/>
          <w:kern w:val="0"/>
          <w:sz w:val="22"/>
          <w:szCs w:val="22"/>
          <w:highlight w:val="none"/>
        </w:rPr>
        <w:t>第十一条</w:t>
      </w:r>
      <w:r>
        <w:rPr>
          <w:rFonts w:hint="eastAsia" w:ascii="宋体" w:hAnsi="宋体" w:eastAsia="宋体" w:cs="宋体"/>
          <w:b/>
          <w:kern w:val="0"/>
          <w:sz w:val="22"/>
          <w:szCs w:val="22"/>
          <w:highlight w:val="none"/>
        </w:rPr>
        <w:t xml:space="preserve"> 履约保证金</w:t>
      </w:r>
    </w:p>
    <w:p>
      <w:pPr>
        <w:pStyle w:val="12"/>
        <w:spacing w:line="360" w:lineRule="exact"/>
        <w:ind w:left="0" w:firstLine="440" w:firstLineChars="200"/>
        <w:rPr>
          <w:rFonts w:hint="eastAsia" w:ascii="宋体" w:hAnsi="宋体" w:eastAsia="宋体" w:cs="宋体"/>
          <w:kern w:val="0"/>
          <w:sz w:val="22"/>
          <w:szCs w:val="22"/>
          <w:highlight w:val="none"/>
        </w:rPr>
      </w:pPr>
      <w:r>
        <w:rPr>
          <w:rFonts w:hint="eastAsia" w:ascii="宋体" w:hAnsi="宋体" w:eastAsia="宋体" w:cs="宋体"/>
          <w:sz w:val="22"/>
          <w:szCs w:val="22"/>
          <w:highlight w:val="none"/>
        </w:rPr>
        <w:t>1．</w:t>
      </w:r>
      <w:r>
        <w:rPr>
          <w:rFonts w:hint="eastAsia" w:ascii="宋体" w:hAnsi="宋体" w:cs="宋体"/>
          <w:sz w:val="22"/>
          <w:szCs w:val="22"/>
          <w:highlight w:val="none"/>
          <w:u w:val="none"/>
        </w:rPr>
        <w:t>合同签订后，乙方5个工作日内支付</w:t>
      </w:r>
      <w:r>
        <w:rPr>
          <w:rFonts w:hint="eastAsia" w:ascii="宋体" w:hAnsi="宋体" w:cs="宋体"/>
          <w:sz w:val="22"/>
          <w:szCs w:val="22"/>
          <w:highlight w:val="none"/>
          <w:u w:val="none"/>
          <w:lang w:eastAsia="zh-CN"/>
        </w:rPr>
        <w:t>预算</w:t>
      </w:r>
      <w:r>
        <w:rPr>
          <w:rFonts w:hint="eastAsia" w:ascii="宋体" w:hAnsi="宋体" w:cs="宋体"/>
          <w:sz w:val="22"/>
          <w:szCs w:val="22"/>
          <w:highlight w:val="none"/>
          <w:u w:val="none"/>
        </w:rPr>
        <w:t>金额的1%或保函作为履约保证金，履约保证金自项目验收合格之日起无质量问题，甲方按程序在7个工作日内无息退还或退还保函。</w:t>
      </w:r>
    </w:p>
    <w:p>
      <w:pPr>
        <w:spacing w:after="0" w:line="360" w:lineRule="exac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    2．如乙方未能履行合同规定的义务，甲方有权没收履约保证金。</w:t>
      </w:r>
    </w:p>
    <w:p>
      <w:pPr>
        <w:spacing w:after="0" w:line="360" w:lineRule="exact"/>
        <w:ind w:firstLine="220" w:firstLineChars="1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  3．履约保证金在合同期满且乙方按照承诺完成合同规定的全部义务后无息退还乙方。</w:t>
      </w:r>
    </w:p>
    <w:p>
      <w:pPr>
        <w:spacing w:after="0" w:line="360" w:lineRule="exact"/>
        <w:rPr>
          <w:rFonts w:hint="eastAsia" w:ascii="宋体" w:hAnsi="宋体"/>
          <w:b/>
          <w:kern w:val="0"/>
          <w:sz w:val="22"/>
          <w:szCs w:val="22"/>
          <w:highlight w:val="none"/>
        </w:rPr>
      </w:pPr>
      <w:r>
        <w:rPr>
          <w:rFonts w:hint="eastAsia" w:ascii="宋体" w:hAnsi="宋体"/>
          <w:b/>
          <w:bCs/>
          <w:kern w:val="0"/>
          <w:sz w:val="22"/>
          <w:szCs w:val="22"/>
          <w:highlight w:val="none"/>
        </w:rPr>
        <w:t xml:space="preserve">第十二条 </w:t>
      </w:r>
      <w:r>
        <w:rPr>
          <w:rFonts w:hint="eastAsia" w:ascii="宋体" w:hAnsi="宋体"/>
          <w:b/>
          <w:kern w:val="0"/>
          <w:sz w:val="22"/>
          <w:szCs w:val="22"/>
          <w:highlight w:val="none"/>
        </w:rPr>
        <w:t>违约责任</w:t>
      </w:r>
    </w:p>
    <w:p>
      <w:pPr>
        <w:spacing w:after="0" w:line="360" w:lineRule="exact"/>
        <w:ind w:firstLine="440" w:firstLineChars="200"/>
        <w:rPr>
          <w:rFonts w:hint="eastAsia" w:ascii="宋体" w:hAnsi="宋体"/>
          <w:kern w:val="0"/>
          <w:sz w:val="22"/>
          <w:szCs w:val="22"/>
          <w:highlight w:val="none"/>
        </w:rPr>
      </w:pPr>
      <w:r>
        <w:rPr>
          <w:rFonts w:hint="eastAsia" w:ascii="宋体" w:hAnsi="宋体"/>
          <w:kern w:val="0"/>
          <w:sz w:val="22"/>
          <w:szCs w:val="22"/>
          <w:highlight w:val="none"/>
        </w:rPr>
        <w:t>1．乙方有下列行为之一的，视为违约，需承担违约责任：</w:t>
      </w:r>
    </w:p>
    <w:p>
      <w:pPr>
        <w:spacing w:after="0" w:line="360" w:lineRule="exact"/>
        <w:ind w:firstLine="330" w:firstLineChars="150"/>
        <w:rPr>
          <w:rFonts w:hint="eastAsia" w:ascii="宋体" w:hAnsi="宋体"/>
          <w:kern w:val="0"/>
          <w:sz w:val="22"/>
          <w:szCs w:val="22"/>
          <w:highlight w:val="none"/>
        </w:rPr>
      </w:pPr>
      <w:r>
        <w:rPr>
          <w:rFonts w:hint="eastAsia" w:ascii="宋体" w:hAnsi="宋体"/>
          <w:kern w:val="0"/>
          <w:sz w:val="22"/>
          <w:szCs w:val="22"/>
          <w:highlight w:val="none"/>
        </w:rPr>
        <w:t>（1）逾期组团的；</w:t>
      </w:r>
    </w:p>
    <w:p>
      <w:pPr>
        <w:spacing w:after="0" w:line="360" w:lineRule="exact"/>
        <w:ind w:firstLine="330" w:firstLineChars="150"/>
        <w:rPr>
          <w:rFonts w:hint="eastAsia" w:ascii="宋体" w:hAnsi="宋体"/>
          <w:kern w:val="0"/>
          <w:sz w:val="22"/>
          <w:szCs w:val="22"/>
          <w:highlight w:val="none"/>
        </w:rPr>
      </w:pPr>
      <w:r>
        <w:rPr>
          <w:rFonts w:hint="eastAsia" w:ascii="宋体" w:hAnsi="宋体"/>
          <w:kern w:val="0"/>
          <w:sz w:val="22"/>
          <w:szCs w:val="22"/>
          <w:highlight w:val="none"/>
        </w:rPr>
        <w:t>（2）服务质量等跟</w:t>
      </w:r>
      <w:r>
        <w:rPr>
          <w:rFonts w:hint="eastAsia" w:ascii="宋体" w:hAnsi="宋体"/>
          <w:kern w:val="0"/>
          <w:sz w:val="22"/>
          <w:szCs w:val="22"/>
          <w:highlight w:val="none"/>
          <w:lang w:eastAsia="zh-CN"/>
        </w:rPr>
        <w:t>招标文件</w:t>
      </w:r>
      <w:r>
        <w:rPr>
          <w:rFonts w:hint="eastAsia" w:ascii="宋体" w:hAnsi="宋体"/>
          <w:kern w:val="0"/>
          <w:sz w:val="22"/>
          <w:szCs w:val="22"/>
          <w:highlight w:val="none"/>
        </w:rPr>
        <w:t>要求或</w:t>
      </w:r>
      <w:r>
        <w:rPr>
          <w:rFonts w:hint="eastAsia" w:ascii="宋体" w:hAnsi="宋体"/>
          <w:kern w:val="0"/>
          <w:sz w:val="22"/>
          <w:szCs w:val="22"/>
          <w:highlight w:val="none"/>
          <w:lang w:eastAsia="zh-CN"/>
        </w:rPr>
        <w:t>中标</w:t>
      </w:r>
      <w:r>
        <w:rPr>
          <w:rFonts w:hint="eastAsia" w:ascii="宋体" w:hAnsi="宋体"/>
          <w:kern w:val="0"/>
          <w:sz w:val="22"/>
          <w:szCs w:val="22"/>
          <w:highlight w:val="none"/>
        </w:rPr>
        <w:t>供应商的</w:t>
      </w:r>
      <w:r>
        <w:rPr>
          <w:rFonts w:hint="eastAsia" w:ascii="宋体" w:hAnsi="宋体"/>
          <w:kern w:val="0"/>
          <w:sz w:val="22"/>
          <w:szCs w:val="22"/>
          <w:highlight w:val="none"/>
          <w:lang w:eastAsia="zh-CN"/>
        </w:rPr>
        <w:t>投标</w:t>
      </w:r>
      <w:r>
        <w:rPr>
          <w:rFonts w:hint="eastAsia" w:ascii="宋体" w:hAnsi="宋体"/>
          <w:kern w:val="0"/>
          <w:sz w:val="22"/>
          <w:szCs w:val="22"/>
          <w:highlight w:val="none"/>
        </w:rPr>
        <w:t>文件中相关承诺存在着不符，并私自降低服务质量等的；</w:t>
      </w:r>
    </w:p>
    <w:p>
      <w:pPr>
        <w:spacing w:after="0" w:line="360" w:lineRule="exact"/>
        <w:ind w:firstLine="330" w:firstLineChars="150"/>
        <w:rPr>
          <w:rFonts w:hint="eastAsia" w:ascii="宋体" w:hAnsi="宋体"/>
          <w:kern w:val="0"/>
          <w:sz w:val="22"/>
          <w:szCs w:val="22"/>
          <w:highlight w:val="none"/>
        </w:rPr>
      </w:pPr>
      <w:r>
        <w:rPr>
          <w:rFonts w:hint="eastAsia" w:ascii="宋体" w:hAnsi="宋体"/>
          <w:kern w:val="0"/>
          <w:sz w:val="22"/>
          <w:szCs w:val="22"/>
          <w:highlight w:val="none"/>
        </w:rPr>
        <w:t>（3）不履行合同条款或只履行部分合同条款，或拒绝履行合同义务的；</w:t>
      </w:r>
    </w:p>
    <w:p>
      <w:pPr>
        <w:spacing w:after="0" w:line="360" w:lineRule="exact"/>
        <w:ind w:firstLine="330" w:firstLineChars="150"/>
        <w:rPr>
          <w:rFonts w:hint="eastAsia" w:ascii="宋体" w:hAnsi="宋体"/>
          <w:kern w:val="0"/>
          <w:sz w:val="22"/>
          <w:szCs w:val="22"/>
          <w:highlight w:val="none"/>
        </w:rPr>
      </w:pPr>
      <w:r>
        <w:rPr>
          <w:rFonts w:hint="eastAsia" w:ascii="宋体" w:hAnsi="宋体"/>
          <w:kern w:val="0"/>
          <w:sz w:val="22"/>
          <w:szCs w:val="22"/>
          <w:highlight w:val="none"/>
        </w:rPr>
        <w:t>（4）不履行或未全部履行服务质量承诺的；</w:t>
      </w:r>
    </w:p>
    <w:p>
      <w:pPr>
        <w:spacing w:after="0" w:line="360" w:lineRule="exact"/>
        <w:ind w:firstLine="330" w:firstLineChars="150"/>
        <w:rPr>
          <w:rFonts w:hint="eastAsia" w:ascii="宋体" w:hAnsi="宋体"/>
          <w:kern w:val="0"/>
          <w:sz w:val="22"/>
          <w:szCs w:val="22"/>
          <w:highlight w:val="none"/>
        </w:rPr>
      </w:pPr>
      <w:r>
        <w:rPr>
          <w:rFonts w:hint="eastAsia" w:ascii="宋体" w:hAnsi="宋体"/>
          <w:kern w:val="0"/>
          <w:sz w:val="22"/>
          <w:szCs w:val="22"/>
          <w:highlight w:val="none"/>
        </w:rPr>
        <w:t>（5）无正当理由拒绝接待职工疗休养的；</w:t>
      </w:r>
    </w:p>
    <w:p>
      <w:pPr>
        <w:spacing w:after="0" w:line="360" w:lineRule="exact"/>
        <w:ind w:firstLine="330" w:firstLineChars="150"/>
        <w:rPr>
          <w:rFonts w:hint="eastAsia" w:ascii="宋体" w:hAnsi="宋体"/>
          <w:kern w:val="0"/>
          <w:sz w:val="22"/>
          <w:szCs w:val="22"/>
          <w:highlight w:val="none"/>
        </w:rPr>
      </w:pPr>
      <w:r>
        <w:rPr>
          <w:rFonts w:hint="eastAsia" w:ascii="宋体" w:hAnsi="宋体"/>
          <w:kern w:val="0"/>
          <w:sz w:val="22"/>
          <w:szCs w:val="22"/>
          <w:highlight w:val="none"/>
        </w:rPr>
        <w:t>（6）采用不正当竞争手段争揽业务，引起投诉并经甲方查实的；</w:t>
      </w:r>
    </w:p>
    <w:p>
      <w:pPr>
        <w:spacing w:after="0" w:line="360" w:lineRule="exact"/>
        <w:ind w:firstLine="330" w:firstLineChars="150"/>
        <w:rPr>
          <w:rFonts w:hint="eastAsia" w:ascii="宋体" w:hAnsi="宋体"/>
          <w:kern w:val="0"/>
          <w:sz w:val="22"/>
          <w:szCs w:val="22"/>
          <w:highlight w:val="none"/>
        </w:rPr>
      </w:pPr>
      <w:r>
        <w:rPr>
          <w:rFonts w:hint="eastAsia" w:ascii="宋体" w:hAnsi="宋体"/>
          <w:kern w:val="0"/>
          <w:sz w:val="22"/>
          <w:szCs w:val="22"/>
          <w:highlight w:val="none"/>
        </w:rPr>
        <w:t>（7）因服务质量差等原因被疗休养人员全年有效投诉二次以上(含二次) 并经甲方查实；</w:t>
      </w:r>
    </w:p>
    <w:p>
      <w:pPr>
        <w:spacing w:after="0" w:line="360" w:lineRule="exact"/>
        <w:ind w:firstLine="330" w:firstLineChars="150"/>
        <w:rPr>
          <w:rFonts w:hint="eastAsia" w:ascii="宋体" w:hAnsi="宋体"/>
          <w:kern w:val="0"/>
          <w:sz w:val="22"/>
          <w:szCs w:val="22"/>
          <w:highlight w:val="none"/>
        </w:rPr>
      </w:pPr>
      <w:r>
        <w:rPr>
          <w:rFonts w:hint="eastAsia" w:ascii="宋体" w:hAnsi="宋体"/>
          <w:kern w:val="0"/>
          <w:sz w:val="22"/>
          <w:szCs w:val="22"/>
          <w:highlight w:val="none"/>
        </w:rPr>
        <w:t>（8）乙方超过合同承诺的价格和费用标准、或高于市场价格向甲方收取费用的；</w:t>
      </w:r>
    </w:p>
    <w:p>
      <w:pPr>
        <w:spacing w:after="0" w:line="360" w:lineRule="exact"/>
        <w:ind w:firstLine="330" w:firstLineChars="150"/>
        <w:rPr>
          <w:rFonts w:hint="eastAsia" w:ascii="宋体" w:hAnsi="宋体"/>
          <w:kern w:val="0"/>
          <w:sz w:val="22"/>
          <w:szCs w:val="22"/>
          <w:highlight w:val="none"/>
        </w:rPr>
      </w:pPr>
      <w:r>
        <w:rPr>
          <w:rFonts w:hint="eastAsia" w:ascii="宋体" w:hAnsi="宋体"/>
          <w:kern w:val="0"/>
          <w:sz w:val="22"/>
          <w:szCs w:val="22"/>
          <w:highlight w:val="none"/>
        </w:rPr>
        <w:t>（9）因乙方服务质量问题，导致甲方出现重大损失的；</w:t>
      </w:r>
    </w:p>
    <w:p>
      <w:pPr>
        <w:spacing w:after="0" w:line="360" w:lineRule="exact"/>
        <w:rPr>
          <w:rFonts w:hint="eastAsia" w:ascii="宋体" w:hAnsi="宋体"/>
          <w:kern w:val="0"/>
          <w:sz w:val="22"/>
          <w:szCs w:val="22"/>
          <w:highlight w:val="none"/>
        </w:rPr>
      </w:pPr>
      <w:r>
        <w:rPr>
          <w:rFonts w:hint="eastAsia" w:ascii="宋体" w:hAnsi="宋体"/>
          <w:kern w:val="0"/>
          <w:sz w:val="22"/>
          <w:szCs w:val="22"/>
          <w:highlight w:val="none"/>
        </w:rPr>
        <w:t xml:space="preserve">   （10）在合同期限内发生安全责任事故的；</w:t>
      </w:r>
    </w:p>
    <w:p>
      <w:pPr>
        <w:spacing w:after="0" w:line="360" w:lineRule="exact"/>
        <w:ind w:firstLine="330" w:firstLineChars="150"/>
        <w:rPr>
          <w:rFonts w:hint="eastAsia" w:ascii="宋体" w:hAnsi="宋体"/>
          <w:kern w:val="0"/>
          <w:sz w:val="22"/>
          <w:szCs w:val="22"/>
          <w:highlight w:val="none"/>
        </w:rPr>
      </w:pPr>
      <w:r>
        <w:rPr>
          <w:rFonts w:hint="eastAsia" w:ascii="宋体" w:hAnsi="宋体"/>
          <w:kern w:val="0"/>
          <w:sz w:val="22"/>
          <w:szCs w:val="22"/>
          <w:highlight w:val="none"/>
        </w:rPr>
        <w:t>（11）不按相关规定租用车辆一次经查实的；</w:t>
      </w:r>
    </w:p>
    <w:p>
      <w:pPr>
        <w:spacing w:after="0" w:line="360" w:lineRule="exact"/>
        <w:ind w:firstLine="330" w:firstLineChars="150"/>
        <w:rPr>
          <w:rFonts w:hint="eastAsia" w:ascii="宋体" w:hAnsi="宋体"/>
          <w:kern w:val="0"/>
          <w:sz w:val="22"/>
          <w:szCs w:val="22"/>
          <w:highlight w:val="none"/>
        </w:rPr>
      </w:pPr>
      <w:r>
        <w:rPr>
          <w:rFonts w:hint="eastAsia" w:ascii="宋体" w:hAnsi="宋体"/>
          <w:kern w:val="0"/>
          <w:sz w:val="22"/>
          <w:szCs w:val="22"/>
          <w:highlight w:val="none"/>
        </w:rPr>
        <w:t>（12）在合同期限内发现给组团单位回扣的；</w:t>
      </w:r>
    </w:p>
    <w:p>
      <w:pPr>
        <w:spacing w:after="0" w:line="360" w:lineRule="exact"/>
        <w:ind w:firstLine="330" w:firstLineChars="150"/>
        <w:rPr>
          <w:rFonts w:hint="eastAsia" w:ascii="宋体" w:hAnsi="宋体"/>
          <w:kern w:val="0"/>
          <w:sz w:val="22"/>
          <w:szCs w:val="22"/>
          <w:highlight w:val="none"/>
        </w:rPr>
      </w:pPr>
      <w:r>
        <w:rPr>
          <w:rFonts w:hint="eastAsia" w:ascii="宋体" w:hAnsi="宋体"/>
          <w:kern w:val="0"/>
          <w:sz w:val="22"/>
          <w:szCs w:val="22"/>
          <w:highlight w:val="none"/>
        </w:rPr>
        <w:t>（13）违反国家其他的相关法律法规；</w:t>
      </w:r>
    </w:p>
    <w:p>
      <w:pPr>
        <w:spacing w:after="0" w:line="360" w:lineRule="exact"/>
        <w:ind w:firstLine="440" w:firstLineChars="200"/>
        <w:rPr>
          <w:rFonts w:hint="eastAsia" w:ascii="宋体" w:hAnsi="宋体"/>
          <w:kern w:val="0"/>
          <w:sz w:val="22"/>
          <w:szCs w:val="22"/>
          <w:highlight w:val="none"/>
        </w:rPr>
      </w:pPr>
      <w:r>
        <w:rPr>
          <w:rFonts w:hint="eastAsia" w:ascii="宋体" w:hAnsi="宋体"/>
          <w:kern w:val="0"/>
          <w:sz w:val="22"/>
          <w:szCs w:val="22"/>
          <w:highlight w:val="none"/>
        </w:rPr>
        <w:t>2. 疗休养人员向甲方反映乙方有违约情形的，甲方有权进行调查核实。乙方确有违约行为的，在甲方对乙方违约而采取的任何补救措施不受影响的情况下，根据情节轻重，甲方可终止合同。如因乙方的违约造成甲方的损失，甲方有权根据乙方违约情节的轻重，在出现违约情形的该批次出团疗休养总费用的</w:t>
      </w:r>
      <w:r>
        <w:rPr>
          <w:rFonts w:ascii="宋体" w:hAnsi="宋体"/>
          <w:kern w:val="0"/>
          <w:sz w:val="22"/>
          <w:szCs w:val="22"/>
          <w:highlight w:val="none"/>
        </w:rPr>
        <w:t>3</w:t>
      </w:r>
      <w:r>
        <w:rPr>
          <w:rFonts w:hint="eastAsia" w:ascii="宋体" w:hAnsi="宋体"/>
          <w:kern w:val="0"/>
          <w:sz w:val="22"/>
          <w:szCs w:val="22"/>
          <w:highlight w:val="none"/>
        </w:rPr>
        <w:t>%至</w:t>
      </w:r>
      <w:r>
        <w:rPr>
          <w:rFonts w:ascii="宋体" w:hAnsi="宋体"/>
          <w:kern w:val="0"/>
          <w:sz w:val="22"/>
          <w:szCs w:val="22"/>
          <w:highlight w:val="none"/>
        </w:rPr>
        <w:t>5</w:t>
      </w:r>
      <w:r>
        <w:rPr>
          <w:rFonts w:hint="eastAsia" w:ascii="宋体" w:hAnsi="宋体"/>
          <w:kern w:val="0"/>
          <w:sz w:val="22"/>
          <w:szCs w:val="22"/>
          <w:highlight w:val="none"/>
        </w:rPr>
        <w:t>%之间选择，要求乙方支付违约金。</w:t>
      </w:r>
    </w:p>
    <w:p>
      <w:pPr>
        <w:spacing w:after="0" w:line="360" w:lineRule="exact"/>
        <w:ind w:firstLine="440" w:firstLineChars="200"/>
        <w:rPr>
          <w:rFonts w:ascii="宋体" w:hAnsi="宋体"/>
          <w:kern w:val="0"/>
          <w:sz w:val="22"/>
          <w:szCs w:val="22"/>
          <w:highlight w:val="none"/>
        </w:rPr>
      </w:pPr>
      <w:r>
        <w:rPr>
          <w:rFonts w:hint="eastAsia" w:ascii="宋体" w:hAnsi="宋体"/>
          <w:kern w:val="0"/>
          <w:sz w:val="22"/>
          <w:szCs w:val="22"/>
          <w:highlight w:val="none"/>
        </w:rPr>
        <w:t>3．乙方在任何情况下都不得向甲方的经办人员提供任何形式的回扣，一经发现，甲方可立即全面终止合同的履行，同时提请有关部门追究有关当事人的责任。</w:t>
      </w:r>
    </w:p>
    <w:p>
      <w:pPr>
        <w:spacing w:after="0" w:line="360" w:lineRule="exact"/>
        <w:rPr>
          <w:rFonts w:hint="eastAsia" w:ascii="宋体" w:hAnsi="宋体"/>
          <w:kern w:val="0"/>
          <w:sz w:val="22"/>
          <w:szCs w:val="22"/>
          <w:highlight w:val="none"/>
        </w:rPr>
      </w:pPr>
      <w:r>
        <w:rPr>
          <w:rFonts w:hint="eastAsia" w:ascii="宋体" w:hAnsi="宋体"/>
          <w:b/>
          <w:bCs/>
          <w:kern w:val="0"/>
          <w:sz w:val="22"/>
          <w:szCs w:val="22"/>
          <w:highlight w:val="none"/>
        </w:rPr>
        <w:t xml:space="preserve">第十三条 </w:t>
      </w:r>
      <w:r>
        <w:rPr>
          <w:rFonts w:hint="eastAsia" w:ascii="宋体" w:hAnsi="宋体"/>
          <w:b/>
          <w:kern w:val="0"/>
          <w:sz w:val="22"/>
          <w:szCs w:val="22"/>
          <w:highlight w:val="none"/>
        </w:rPr>
        <w:t>破产终止合同</w:t>
      </w:r>
    </w:p>
    <w:p>
      <w:pPr>
        <w:spacing w:after="0" w:line="360" w:lineRule="exact"/>
        <w:rPr>
          <w:rFonts w:hint="eastAsia" w:ascii="宋体" w:hAnsi="宋体"/>
          <w:kern w:val="0"/>
          <w:sz w:val="22"/>
          <w:szCs w:val="22"/>
          <w:highlight w:val="none"/>
        </w:rPr>
      </w:pPr>
      <w:r>
        <w:rPr>
          <w:rFonts w:hint="eastAsia" w:ascii="宋体" w:hAnsi="宋体"/>
          <w:kern w:val="0"/>
          <w:sz w:val="22"/>
          <w:szCs w:val="22"/>
          <w:highlight w:val="none"/>
        </w:rPr>
        <w:t xml:space="preserve">   如果乙方破产或无清偿能力，甲方可在任何时候以书面形式通知乙方终止合同而不给乙方补偿。该终止合同将不损害或影响甲方已经采取或将要采取的任何行动或补救措施的权力。</w:t>
      </w:r>
    </w:p>
    <w:p>
      <w:pPr>
        <w:spacing w:after="0" w:line="360" w:lineRule="exact"/>
        <w:rPr>
          <w:rFonts w:hint="eastAsia" w:ascii="宋体" w:hAnsi="宋体"/>
          <w:b/>
          <w:kern w:val="0"/>
          <w:sz w:val="22"/>
          <w:szCs w:val="22"/>
          <w:highlight w:val="none"/>
        </w:rPr>
      </w:pPr>
      <w:r>
        <w:rPr>
          <w:rFonts w:hint="eastAsia" w:ascii="宋体" w:hAnsi="宋体"/>
          <w:b/>
          <w:bCs/>
          <w:kern w:val="0"/>
          <w:sz w:val="22"/>
          <w:szCs w:val="22"/>
          <w:highlight w:val="none"/>
        </w:rPr>
        <w:t xml:space="preserve">第十四条 </w:t>
      </w:r>
      <w:r>
        <w:rPr>
          <w:rFonts w:hint="eastAsia" w:ascii="宋体" w:hAnsi="宋体"/>
          <w:b/>
          <w:kern w:val="0"/>
          <w:sz w:val="22"/>
          <w:szCs w:val="22"/>
          <w:highlight w:val="none"/>
        </w:rPr>
        <w:t>转让和分包</w:t>
      </w:r>
    </w:p>
    <w:p>
      <w:pPr>
        <w:spacing w:after="0" w:line="360" w:lineRule="exact"/>
        <w:ind w:firstLine="440" w:firstLineChars="200"/>
        <w:rPr>
          <w:rFonts w:hint="eastAsia" w:ascii="宋体" w:hAnsi="宋体"/>
          <w:kern w:val="0"/>
          <w:sz w:val="22"/>
          <w:szCs w:val="22"/>
          <w:highlight w:val="none"/>
        </w:rPr>
      </w:pPr>
      <w:r>
        <w:rPr>
          <w:rFonts w:hint="eastAsia" w:ascii="宋体" w:hAnsi="宋体"/>
          <w:kern w:val="0"/>
          <w:sz w:val="22"/>
          <w:szCs w:val="22"/>
          <w:highlight w:val="none"/>
        </w:rPr>
        <w:t>除甲方事先书面同意外，乙方不得向其他单位转让任何其应履行的合同义务，也不得对本合同实施分包。</w:t>
      </w:r>
    </w:p>
    <w:p>
      <w:pPr>
        <w:spacing w:after="0" w:line="360" w:lineRule="exact"/>
        <w:rPr>
          <w:rFonts w:hint="eastAsia" w:ascii="宋体" w:hAnsi="宋体"/>
          <w:b/>
          <w:kern w:val="0"/>
          <w:sz w:val="22"/>
          <w:szCs w:val="22"/>
          <w:highlight w:val="none"/>
        </w:rPr>
      </w:pPr>
      <w:r>
        <w:rPr>
          <w:rFonts w:hint="eastAsia" w:ascii="宋体" w:hAnsi="宋体"/>
          <w:b/>
          <w:bCs/>
          <w:kern w:val="0"/>
          <w:sz w:val="22"/>
          <w:szCs w:val="22"/>
          <w:highlight w:val="none"/>
        </w:rPr>
        <w:t xml:space="preserve">第十五条 </w:t>
      </w:r>
      <w:r>
        <w:rPr>
          <w:rFonts w:hint="eastAsia" w:ascii="宋体" w:hAnsi="宋体"/>
          <w:b/>
          <w:kern w:val="0"/>
          <w:sz w:val="22"/>
          <w:szCs w:val="22"/>
          <w:highlight w:val="none"/>
        </w:rPr>
        <w:t>合同的不良记录</w:t>
      </w:r>
    </w:p>
    <w:p>
      <w:pPr>
        <w:spacing w:after="0" w:line="360" w:lineRule="exact"/>
        <w:ind w:firstLine="440" w:firstLineChars="200"/>
        <w:rPr>
          <w:rFonts w:hint="eastAsia" w:ascii="宋体" w:hAnsi="宋体"/>
          <w:kern w:val="0"/>
          <w:sz w:val="22"/>
          <w:szCs w:val="22"/>
          <w:highlight w:val="none"/>
        </w:rPr>
      </w:pPr>
      <w:r>
        <w:rPr>
          <w:rFonts w:hint="eastAsia" w:ascii="宋体" w:hAnsi="宋体"/>
          <w:kern w:val="0"/>
          <w:sz w:val="22"/>
          <w:szCs w:val="22"/>
          <w:highlight w:val="none"/>
        </w:rPr>
        <w:t>如果乙方在合同有效期内受到任何有效投诉（如发生拒绝接待、服务不到位、不履行价格承诺等），会将被有效投诉列入不良记录名单，情节严重的将向财政申报其列入黑名单。</w:t>
      </w:r>
    </w:p>
    <w:p>
      <w:pPr>
        <w:spacing w:after="0" w:line="360" w:lineRule="exact"/>
        <w:rPr>
          <w:rFonts w:hint="eastAsia" w:ascii="宋体" w:hAnsi="宋体"/>
          <w:b/>
          <w:kern w:val="0"/>
          <w:sz w:val="22"/>
          <w:szCs w:val="22"/>
          <w:highlight w:val="none"/>
        </w:rPr>
      </w:pPr>
      <w:r>
        <w:rPr>
          <w:rFonts w:hint="eastAsia" w:ascii="宋体" w:hAnsi="宋体"/>
          <w:b/>
          <w:bCs/>
          <w:kern w:val="0"/>
          <w:sz w:val="22"/>
          <w:szCs w:val="22"/>
          <w:highlight w:val="none"/>
        </w:rPr>
        <w:t xml:space="preserve">第十六条 </w:t>
      </w:r>
      <w:r>
        <w:rPr>
          <w:rFonts w:hint="eastAsia" w:ascii="宋体" w:hAnsi="宋体"/>
          <w:b/>
          <w:kern w:val="0"/>
          <w:sz w:val="22"/>
          <w:szCs w:val="22"/>
          <w:highlight w:val="none"/>
        </w:rPr>
        <w:t>争议解决</w:t>
      </w:r>
    </w:p>
    <w:p>
      <w:pPr>
        <w:spacing w:after="0" w:line="360" w:lineRule="exact"/>
        <w:ind w:firstLine="440" w:firstLineChars="200"/>
        <w:rPr>
          <w:rFonts w:hint="eastAsia" w:ascii="宋体" w:hAnsi="宋体"/>
          <w:kern w:val="0"/>
          <w:sz w:val="22"/>
          <w:szCs w:val="22"/>
          <w:highlight w:val="none"/>
        </w:rPr>
      </w:pPr>
      <w:r>
        <w:rPr>
          <w:rFonts w:hint="eastAsia" w:ascii="宋体" w:hAnsi="宋体"/>
          <w:kern w:val="0"/>
          <w:sz w:val="22"/>
          <w:szCs w:val="22"/>
          <w:highlight w:val="none"/>
        </w:rPr>
        <w:t>1．在履行本合同过程中所发生的或与本合同有关的一切争端，由甲方直接与乙方进行处理，双方应通过友好协商的办法进行解决。</w:t>
      </w:r>
    </w:p>
    <w:p>
      <w:pPr>
        <w:spacing w:after="0" w:line="360" w:lineRule="exact"/>
        <w:rPr>
          <w:rFonts w:hint="eastAsia" w:ascii="宋体" w:hAnsi="宋体"/>
          <w:color w:val="auto"/>
          <w:kern w:val="0"/>
          <w:sz w:val="22"/>
          <w:szCs w:val="22"/>
          <w:highlight w:val="none"/>
        </w:rPr>
      </w:pPr>
      <w:r>
        <w:rPr>
          <w:rFonts w:hint="eastAsia" w:ascii="宋体" w:hAnsi="宋体"/>
          <w:kern w:val="0"/>
          <w:sz w:val="22"/>
          <w:szCs w:val="22"/>
          <w:highlight w:val="none"/>
        </w:rPr>
        <w:t xml:space="preserve">    2．如协商不成，甲、乙双方均可向</w:t>
      </w:r>
      <w:r>
        <w:rPr>
          <w:rFonts w:hint="eastAsia" w:ascii="宋体" w:hAnsi="宋体"/>
          <w:color w:val="auto"/>
          <w:kern w:val="0"/>
          <w:sz w:val="22"/>
          <w:szCs w:val="22"/>
          <w:highlight w:val="none"/>
        </w:rPr>
        <w:t>甲方所在地人民法院提请诉讼。</w:t>
      </w:r>
    </w:p>
    <w:p>
      <w:pPr>
        <w:spacing w:after="0" w:line="36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3．在法院审理期间，未审理部分应继续履行。</w:t>
      </w:r>
    </w:p>
    <w:p>
      <w:pPr>
        <w:spacing w:after="0" w:line="360" w:lineRule="exact"/>
        <w:rPr>
          <w:rFonts w:hint="eastAsia" w:ascii="宋体" w:hAnsi="宋体"/>
          <w:b/>
          <w:color w:val="auto"/>
          <w:kern w:val="0"/>
          <w:sz w:val="22"/>
          <w:szCs w:val="22"/>
          <w:highlight w:val="none"/>
        </w:rPr>
      </w:pPr>
      <w:r>
        <w:rPr>
          <w:rFonts w:hint="eastAsia" w:ascii="宋体" w:hAnsi="宋体"/>
          <w:b/>
          <w:bCs/>
          <w:color w:val="auto"/>
          <w:kern w:val="0"/>
          <w:sz w:val="22"/>
          <w:szCs w:val="22"/>
          <w:highlight w:val="none"/>
        </w:rPr>
        <w:t xml:space="preserve">第十七条 </w:t>
      </w:r>
      <w:r>
        <w:rPr>
          <w:rFonts w:hint="eastAsia" w:ascii="宋体" w:hAnsi="宋体"/>
          <w:b/>
          <w:color w:val="auto"/>
          <w:kern w:val="0"/>
          <w:sz w:val="22"/>
          <w:szCs w:val="22"/>
          <w:highlight w:val="none"/>
        </w:rPr>
        <w:t>合同有效期</w:t>
      </w:r>
    </w:p>
    <w:p>
      <w:pPr>
        <w:spacing w:after="0" w:line="36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本合同有效期为自合同签订之日起至202</w:t>
      </w:r>
      <w:r>
        <w:rPr>
          <w:rFonts w:hint="eastAsia" w:ascii="宋体" w:hAnsi="宋体"/>
          <w:color w:val="auto"/>
          <w:kern w:val="0"/>
          <w:sz w:val="22"/>
          <w:szCs w:val="22"/>
          <w:highlight w:val="none"/>
          <w:lang w:val="en-US" w:eastAsia="zh-CN"/>
        </w:rPr>
        <w:t>3</w:t>
      </w:r>
      <w:r>
        <w:rPr>
          <w:rFonts w:hint="eastAsia" w:ascii="宋体" w:hAnsi="宋体"/>
          <w:color w:val="auto"/>
          <w:kern w:val="0"/>
          <w:sz w:val="22"/>
          <w:szCs w:val="22"/>
          <w:highlight w:val="none"/>
        </w:rPr>
        <w:t>年</w:t>
      </w:r>
      <w:r>
        <w:rPr>
          <w:rFonts w:ascii="宋体" w:hAnsi="宋体"/>
          <w:color w:val="auto"/>
          <w:kern w:val="0"/>
          <w:sz w:val="22"/>
          <w:szCs w:val="22"/>
          <w:highlight w:val="none"/>
        </w:rPr>
        <w:t>12月31日</w:t>
      </w:r>
      <w:r>
        <w:rPr>
          <w:rFonts w:hint="eastAsia" w:ascii="宋体" w:hAnsi="宋体"/>
          <w:color w:val="auto"/>
          <w:kern w:val="0"/>
          <w:sz w:val="22"/>
          <w:szCs w:val="22"/>
          <w:highlight w:val="none"/>
        </w:rPr>
        <w:t>止</w:t>
      </w:r>
      <w:r>
        <w:rPr>
          <w:rFonts w:hint="eastAsia" w:ascii="宋体" w:hAnsi="宋体"/>
          <w:color w:val="auto"/>
          <w:sz w:val="22"/>
          <w:szCs w:val="22"/>
          <w:highlight w:val="none"/>
        </w:rPr>
        <w:t>。</w:t>
      </w:r>
    </w:p>
    <w:p>
      <w:pPr>
        <w:spacing w:after="0" w:line="360" w:lineRule="exact"/>
        <w:rPr>
          <w:rFonts w:hint="eastAsia" w:ascii="宋体" w:hAnsi="宋体"/>
          <w:b/>
          <w:color w:val="auto"/>
          <w:kern w:val="0"/>
          <w:sz w:val="22"/>
          <w:szCs w:val="22"/>
          <w:highlight w:val="none"/>
        </w:rPr>
      </w:pPr>
      <w:r>
        <w:rPr>
          <w:rFonts w:hint="eastAsia" w:ascii="宋体" w:hAnsi="宋体"/>
          <w:b/>
          <w:bCs/>
          <w:color w:val="auto"/>
          <w:kern w:val="0"/>
          <w:sz w:val="22"/>
          <w:szCs w:val="22"/>
          <w:highlight w:val="none"/>
        </w:rPr>
        <w:t xml:space="preserve">第十八条 </w:t>
      </w:r>
      <w:r>
        <w:rPr>
          <w:rFonts w:hint="eastAsia" w:ascii="宋体" w:hAnsi="宋体"/>
          <w:b/>
          <w:color w:val="auto"/>
          <w:kern w:val="0"/>
          <w:sz w:val="22"/>
          <w:szCs w:val="22"/>
          <w:highlight w:val="none"/>
        </w:rPr>
        <w:t>合同生效及其它</w:t>
      </w:r>
    </w:p>
    <w:p>
      <w:pPr>
        <w:spacing w:after="0" w:line="36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1．合同应在甲、乙方双方法定代表人或授权代表签字、加盖印章后生效。</w:t>
      </w:r>
    </w:p>
    <w:p>
      <w:pPr>
        <w:spacing w:after="0" w:line="36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2．如需修改合同内容，应经双方协商，共同签署书面修改合同。该合同将作为本合同不可分割的一部分。</w:t>
      </w:r>
    </w:p>
    <w:p>
      <w:pPr>
        <w:spacing w:after="0" w:line="360" w:lineRule="exact"/>
        <w:ind w:firstLine="440" w:firstLineChars="200"/>
        <w:rPr>
          <w:rFonts w:ascii="宋体" w:hAnsi="宋体"/>
          <w:kern w:val="0"/>
          <w:sz w:val="22"/>
          <w:szCs w:val="22"/>
          <w:highlight w:val="none"/>
        </w:rPr>
      </w:pPr>
      <w:r>
        <w:rPr>
          <w:rFonts w:hint="eastAsia" w:ascii="宋体" w:hAnsi="宋体"/>
          <w:kern w:val="0"/>
          <w:sz w:val="22"/>
          <w:szCs w:val="22"/>
          <w:highlight w:val="none"/>
        </w:rPr>
        <w:t>3．本合同项下的甲方与乙方签订的合同的权利义务，对甲方具有相同权利义务，对乙方具有约束力。</w:t>
      </w:r>
    </w:p>
    <w:p>
      <w:pPr>
        <w:spacing w:after="0" w:line="360" w:lineRule="exact"/>
        <w:ind w:firstLine="440" w:firstLineChars="200"/>
        <w:rPr>
          <w:rFonts w:hint="eastAsia" w:ascii="宋体" w:hAnsi="宋体"/>
          <w:kern w:val="0"/>
          <w:sz w:val="22"/>
          <w:szCs w:val="22"/>
          <w:highlight w:val="none"/>
        </w:rPr>
      </w:pPr>
      <w:r>
        <w:rPr>
          <w:rFonts w:ascii="宋体" w:hAnsi="宋体"/>
          <w:kern w:val="0"/>
          <w:sz w:val="22"/>
          <w:szCs w:val="22"/>
          <w:highlight w:val="none"/>
        </w:rPr>
        <w:t>4</w:t>
      </w:r>
      <w:r>
        <w:rPr>
          <w:rFonts w:hint="eastAsia" w:ascii="宋体" w:hAnsi="宋体"/>
          <w:kern w:val="0"/>
          <w:sz w:val="22"/>
          <w:szCs w:val="22"/>
          <w:highlight w:val="none"/>
        </w:rPr>
        <w:t>．</w:t>
      </w:r>
      <w:r>
        <w:rPr>
          <w:rFonts w:hint="eastAsia" w:ascii="宋体" w:hAnsi="宋体"/>
          <w:sz w:val="22"/>
          <w:szCs w:val="22"/>
          <w:highlight w:val="none"/>
        </w:rPr>
        <w:t>甲方有权根据《考核办法》（合同附件</w:t>
      </w:r>
      <w:r>
        <w:rPr>
          <w:rFonts w:ascii="宋体" w:hAnsi="宋体"/>
          <w:sz w:val="22"/>
          <w:szCs w:val="22"/>
          <w:highlight w:val="none"/>
        </w:rPr>
        <w:t>1</w:t>
      </w:r>
      <w:r>
        <w:rPr>
          <w:rFonts w:hint="eastAsia" w:ascii="宋体" w:hAnsi="宋体"/>
          <w:sz w:val="22"/>
          <w:szCs w:val="22"/>
          <w:highlight w:val="none"/>
        </w:rPr>
        <w:t>）对乙方进行处置。</w:t>
      </w:r>
    </w:p>
    <w:p>
      <w:pPr>
        <w:spacing w:after="0" w:line="360" w:lineRule="exact"/>
        <w:ind w:firstLine="440" w:firstLineChars="200"/>
        <w:rPr>
          <w:rFonts w:hint="eastAsia" w:ascii="宋体" w:hAnsi="宋体"/>
          <w:kern w:val="0"/>
          <w:sz w:val="22"/>
          <w:szCs w:val="22"/>
          <w:highlight w:val="none"/>
        </w:rPr>
      </w:pPr>
      <w:r>
        <w:rPr>
          <w:rFonts w:ascii="宋体" w:hAnsi="宋体"/>
          <w:kern w:val="0"/>
          <w:sz w:val="22"/>
          <w:szCs w:val="22"/>
          <w:highlight w:val="none"/>
        </w:rPr>
        <w:t>5</w:t>
      </w:r>
      <w:r>
        <w:rPr>
          <w:rFonts w:hint="eastAsia" w:ascii="宋体" w:hAnsi="宋体"/>
          <w:kern w:val="0"/>
          <w:sz w:val="22"/>
          <w:szCs w:val="22"/>
          <w:highlight w:val="none"/>
        </w:rPr>
        <w:t>．本合同条款未尽事宜，遵照《中华人民共和国民法典》有关条文执行。</w:t>
      </w:r>
    </w:p>
    <w:p>
      <w:pPr>
        <w:spacing w:after="0" w:line="360" w:lineRule="exact"/>
        <w:ind w:firstLine="440" w:firstLineChars="200"/>
        <w:rPr>
          <w:rFonts w:hint="eastAsia" w:ascii="宋体" w:hAnsi="宋体"/>
          <w:kern w:val="0"/>
          <w:sz w:val="22"/>
          <w:szCs w:val="22"/>
          <w:highlight w:val="none"/>
        </w:rPr>
      </w:pPr>
      <w:r>
        <w:rPr>
          <w:rFonts w:ascii="宋体" w:hAnsi="宋体"/>
          <w:kern w:val="0"/>
          <w:sz w:val="22"/>
          <w:szCs w:val="22"/>
          <w:highlight w:val="none"/>
        </w:rPr>
        <w:t>6</w:t>
      </w:r>
      <w:r>
        <w:rPr>
          <w:rFonts w:hint="eastAsia" w:ascii="宋体" w:hAnsi="宋体"/>
          <w:kern w:val="0"/>
          <w:sz w:val="22"/>
          <w:szCs w:val="22"/>
          <w:highlight w:val="none"/>
        </w:rPr>
        <w:t>．本合同应按照中华人民共和国的现行法律进行解释。</w:t>
      </w:r>
    </w:p>
    <w:p>
      <w:pPr>
        <w:spacing w:after="0" w:line="360" w:lineRule="exact"/>
        <w:ind w:firstLine="440" w:firstLineChars="200"/>
        <w:rPr>
          <w:rFonts w:hint="eastAsia" w:ascii="宋体" w:hAnsi="宋体"/>
          <w:kern w:val="0"/>
          <w:sz w:val="22"/>
          <w:szCs w:val="22"/>
          <w:highlight w:val="none"/>
        </w:rPr>
      </w:pPr>
      <w:r>
        <w:rPr>
          <w:rFonts w:ascii="宋体" w:hAnsi="宋体"/>
          <w:kern w:val="0"/>
          <w:sz w:val="22"/>
          <w:szCs w:val="22"/>
          <w:highlight w:val="none"/>
        </w:rPr>
        <w:t>7</w:t>
      </w:r>
      <w:r>
        <w:rPr>
          <w:rFonts w:hint="eastAsia" w:ascii="宋体" w:hAnsi="宋体"/>
          <w:kern w:val="0"/>
          <w:sz w:val="22"/>
          <w:szCs w:val="22"/>
          <w:highlight w:val="none"/>
        </w:rPr>
        <w:t>．本合同一式伍份，以中文书写，甲方、乙方各执贰份,代理机构备案壹份，具有同等效力。</w:t>
      </w:r>
    </w:p>
    <w:p>
      <w:pPr>
        <w:spacing w:after="0" w:line="360" w:lineRule="exact"/>
        <w:ind w:firstLine="440" w:firstLineChars="200"/>
        <w:rPr>
          <w:rFonts w:hint="eastAsia" w:ascii="宋体" w:hAnsi="宋体"/>
          <w:kern w:val="0"/>
          <w:sz w:val="22"/>
          <w:szCs w:val="22"/>
          <w:highlight w:val="none"/>
        </w:rPr>
      </w:pPr>
      <w:r>
        <w:rPr>
          <w:rFonts w:ascii="宋体" w:hAnsi="宋体"/>
          <w:kern w:val="0"/>
          <w:sz w:val="22"/>
          <w:szCs w:val="22"/>
          <w:highlight w:val="none"/>
        </w:rPr>
        <w:t>8.</w:t>
      </w:r>
      <w:r>
        <w:rPr>
          <w:rFonts w:hint="eastAsia" w:ascii="宋体" w:hAnsi="宋体"/>
          <w:sz w:val="22"/>
          <w:szCs w:val="22"/>
          <w:highlight w:val="none"/>
        </w:rPr>
        <w:t>每次组团结束进行参团职工满意度调查，当次调查表出现差评时，</w:t>
      </w:r>
      <w:r>
        <w:rPr>
          <w:rFonts w:hint="eastAsia" w:ascii="宋体" w:hAnsi="宋体"/>
          <w:sz w:val="22"/>
          <w:szCs w:val="22"/>
          <w:highlight w:val="none"/>
          <w:u w:val="single"/>
        </w:rPr>
        <w:t>应当下浮当次出行费用的5%-10%幅度予以结算</w:t>
      </w:r>
      <w:r>
        <w:rPr>
          <w:rFonts w:hint="eastAsia" w:ascii="宋体" w:hAnsi="宋体"/>
          <w:sz w:val="22"/>
          <w:szCs w:val="22"/>
          <w:highlight w:val="none"/>
        </w:rPr>
        <w:t>（</w:t>
      </w:r>
      <w:r>
        <w:rPr>
          <w:rFonts w:hint="eastAsia" w:ascii="宋体" w:hAnsi="宋体"/>
          <w:sz w:val="22"/>
          <w:szCs w:val="22"/>
          <w:highlight w:val="none"/>
          <w:u w:val="single"/>
        </w:rPr>
        <w:t>具体下浮幅度由疗休养活动单位确定</w:t>
      </w:r>
      <w:r>
        <w:rPr>
          <w:rFonts w:hint="eastAsia" w:ascii="宋体" w:hAnsi="宋体"/>
          <w:sz w:val="22"/>
          <w:szCs w:val="22"/>
          <w:highlight w:val="none"/>
        </w:rPr>
        <w:t>）；一次整体满意率达不到70%的，给予口头批评，两次没达到70%，给予通报批评，三次没达到70%，甲方有权解除合同。考核表见合同附件。</w:t>
      </w:r>
    </w:p>
    <w:p>
      <w:pPr>
        <w:spacing w:after="0" w:line="360" w:lineRule="exact"/>
        <w:ind w:firstLine="440" w:firstLineChars="200"/>
        <w:rPr>
          <w:rFonts w:ascii="宋体" w:hAnsi="宋体"/>
          <w:kern w:val="0"/>
          <w:sz w:val="22"/>
          <w:szCs w:val="22"/>
          <w:highlight w:val="none"/>
        </w:rPr>
      </w:pPr>
      <w:r>
        <w:rPr>
          <w:rFonts w:ascii="宋体" w:hAnsi="宋体"/>
          <w:kern w:val="0"/>
          <w:sz w:val="22"/>
          <w:szCs w:val="22"/>
          <w:highlight w:val="none"/>
        </w:rPr>
        <w:t>9. 本合同的</w:t>
      </w:r>
      <w:r>
        <w:rPr>
          <w:rFonts w:hint="eastAsia" w:ascii="宋体" w:hAnsi="宋体"/>
          <w:kern w:val="0"/>
          <w:sz w:val="22"/>
          <w:szCs w:val="22"/>
          <w:highlight w:val="none"/>
        </w:rPr>
        <w:t>文件</w:t>
      </w:r>
      <w:r>
        <w:rPr>
          <w:rFonts w:ascii="宋体" w:hAnsi="宋体"/>
          <w:kern w:val="0"/>
          <w:sz w:val="22"/>
          <w:szCs w:val="22"/>
          <w:highlight w:val="none"/>
        </w:rPr>
        <w:t>组成</w:t>
      </w:r>
      <w:r>
        <w:rPr>
          <w:rFonts w:hint="eastAsia" w:ascii="宋体" w:hAnsi="宋体"/>
          <w:kern w:val="0"/>
          <w:sz w:val="22"/>
          <w:szCs w:val="22"/>
          <w:highlight w:val="none"/>
        </w:rPr>
        <w:t>及优先顺序为：</w:t>
      </w:r>
    </w:p>
    <w:p>
      <w:pPr>
        <w:spacing w:after="0" w:line="360" w:lineRule="exact"/>
        <w:ind w:firstLine="440" w:firstLineChars="200"/>
        <w:rPr>
          <w:rFonts w:hint="eastAsia" w:ascii="宋体" w:hAnsi="宋体"/>
          <w:kern w:val="0"/>
          <w:sz w:val="22"/>
          <w:szCs w:val="22"/>
          <w:highlight w:val="none"/>
        </w:rPr>
      </w:pPr>
      <w:r>
        <w:rPr>
          <w:rFonts w:hint="eastAsia" w:ascii="宋体" w:hAnsi="宋体"/>
          <w:kern w:val="0"/>
          <w:sz w:val="22"/>
          <w:szCs w:val="22"/>
          <w:highlight w:val="none"/>
        </w:rPr>
        <w:t>（1）本合同的补充协议（如有）</w:t>
      </w:r>
      <w:r>
        <w:rPr>
          <w:rFonts w:ascii="宋体" w:hAnsi="宋体"/>
          <w:kern w:val="0"/>
          <w:sz w:val="22"/>
          <w:szCs w:val="22"/>
          <w:highlight w:val="none"/>
        </w:rPr>
        <w:t>；</w:t>
      </w:r>
    </w:p>
    <w:p>
      <w:pPr>
        <w:spacing w:after="0" w:line="360" w:lineRule="exact"/>
        <w:ind w:firstLine="440" w:firstLineChars="200"/>
        <w:rPr>
          <w:rFonts w:hint="eastAsia" w:ascii="宋体" w:hAnsi="宋体"/>
          <w:kern w:val="0"/>
          <w:sz w:val="22"/>
          <w:szCs w:val="22"/>
          <w:highlight w:val="none"/>
        </w:rPr>
      </w:pPr>
      <w:r>
        <w:rPr>
          <w:rFonts w:hint="eastAsia" w:ascii="宋体" w:hAnsi="宋体"/>
          <w:kern w:val="0"/>
          <w:sz w:val="22"/>
          <w:szCs w:val="22"/>
          <w:highlight w:val="none"/>
        </w:rPr>
        <w:t>（2）本合同文本及附件；</w:t>
      </w:r>
    </w:p>
    <w:p>
      <w:pPr>
        <w:spacing w:after="0" w:line="360" w:lineRule="exact"/>
        <w:ind w:firstLine="440" w:firstLineChars="200"/>
        <w:rPr>
          <w:rFonts w:hint="eastAsia" w:ascii="宋体" w:hAnsi="宋体"/>
          <w:kern w:val="0"/>
          <w:sz w:val="22"/>
          <w:szCs w:val="22"/>
          <w:highlight w:val="none"/>
        </w:rPr>
      </w:pPr>
      <w:r>
        <w:rPr>
          <w:rFonts w:hint="eastAsia" w:ascii="宋体" w:hAnsi="宋体"/>
          <w:kern w:val="0"/>
          <w:sz w:val="22"/>
          <w:szCs w:val="22"/>
          <w:highlight w:val="none"/>
        </w:rPr>
        <w:t>（3）</w:t>
      </w:r>
      <w:r>
        <w:rPr>
          <w:rFonts w:hint="eastAsia" w:ascii="宋体" w:hAnsi="宋体"/>
          <w:kern w:val="0"/>
          <w:sz w:val="22"/>
          <w:szCs w:val="22"/>
          <w:highlight w:val="none"/>
          <w:lang w:eastAsia="zh-CN"/>
        </w:rPr>
        <w:t>中标</w:t>
      </w:r>
      <w:r>
        <w:rPr>
          <w:rFonts w:hint="eastAsia" w:ascii="宋体" w:hAnsi="宋体"/>
          <w:kern w:val="0"/>
          <w:sz w:val="22"/>
          <w:szCs w:val="22"/>
          <w:highlight w:val="none"/>
        </w:rPr>
        <w:t>通知书</w:t>
      </w:r>
      <w:r>
        <w:rPr>
          <w:rFonts w:ascii="宋体" w:hAnsi="宋体"/>
          <w:kern w:val="0"/>
          <w:sz w:val="22"/>
          <w:szCs w:val="22"/>
          <w:highlight w:val="none"/>
        </w:rPr>
        <w:t>；</w:t>
      </w:r>
    </w:p>
    <w:p>
      <w:pPr>
        <w:spacing w:after="0" w:line="360" w:lineRule="exact"/>
        <w:ind w:firstLine="440" w:firstLineChars="200"/>
        <w:rPr>
          <w:rFonts w:hint="eastAsia" w:ascii="宋体" w:hAnsi="宋体"/>
          <w:kern w:val="0"/>
          <w:sz w:val="22"/>
          <w:szCs w:val="22"/>
          <w:highlight w:val="none"/>
        </w:rPr>
      </w:pPr>
      <w:r>
        <w:rPr>
          <w:rFonts w:hint="eastAsia" w:ascii="宋体" w:hAnsi="宋体"/>
          <w:kern w:val="0"/>
          <w:sz w:val="22"/>
          <w:szCs w:val="22"/>
          <w:highlight w:val="none"/>
        </w:rPr>
        <w:t>（4）</w:t>
      </w:r>
      <w:r>
        <w:rPr>
          <w:rFonts w:hint="eastAsia" w:ascii="宋体" w:hAnsi="宋体"/>
          <w:kern w:val="0"/>
          <w:sz w:val="22"/>
          <w:szCs w:val="22"/>
          <w:highlight w:val="none"/>
          <w:lang w:eastAsia="zh-CN"/>
        </w:rPr>
        <w:t>投标</w:t>
      </w:r>
      <w:r>
        <w:rPr>
          <w:rFonts w:hint="eastAsia" w:ascii="宋体" w:hAnsi="宋体"/>
          <w:kern w:val="0"/>
          <w:sz w:val="22"/>
          <w:szCs w:val="22"/>
          <w:highlight w:val="none"/>
        </w:rPr>
        <w:t>文件及澄清文件；</w:t>
      </w:r>
    </w:p>
    <w:p>
      <w:pPr>
        <w:spacing w:after="0" w:line="360" w:lineRule="exact"/>
        <w:ind w:firstLine="440" w:firstLineChars="200"/>
        <w:rPr>
          <w:rFonts w:hint="eastAsia" w:ascii="宋体" w:hAnsi="宋体"/>
          <w:kern w:val="0"/>
          <w:sz w:val="22"/>
          <w:szCs w:val="22"/>
          <w:highlight w:val="none"/>
        </w:rPr>
      </w:pPr>
      <w:r>
        <w:rPr>
          <w:rFonts w:hint="eastAsia" w:ascii="宋体" w:hAnsi="宋体"/>
          <w:kern w:val="0"/>
          <w:sz w:val="22"/>
          <w:szCs w:val="22"/>
          <w:highlight w:val="none"/>
        </w:rPr>
        <w:t>（5）</w:t>
      </w:r>
      <w:r>
        <w:rPr>
          <w:rFonts w:hint="eastAsia" w:ascii="宋体" w:hAnsi="宋体"/>
          <w:kern w:val="0"/>
          <w:sz w:val="22"/>
          <w:szCs w:val="22"/>
          <w:highlight w:val="none"/>
          <w:lang w:eastAsia="zh-CN"/>
        </w:rPr>
        <w:t>招标文件</w:t>
      </w:r>
      <w:r>
        <w:rPr>
          <w:rFonts w:hint="eastAsia" w:ascii="宋体" w:hAnsi="宋体"/>
          <w:kern w:val="0"/>
          <w:sz w:val="22"/>
          <w:szCs w:val="22"/>
          <w:highlight w:val="none"/>
        </w:rPr>
        <w:t>及澄清文件。</w:t>
      </w:r>
    </w:p>
    <w:p>
      <w:pPr>
        <w:spacing w:after="0" w:line="360" w:lineRule="exact"/>
        <w:ind w:firstLine="440" w:firstLineChars="200"/>
        <w:rPr>
          <w:rFonts w:ascii="宋体" w:hAnsi="宋体"/>
          <w:kern w:val="0"/>
          <w:sz w:val="22"/>
          <w:szCs w:val="22"/>
          <w:highlight w:val="none"/>
        </w:rPr>
      </w:pPr>
      <w:r>
        <w:rPr>
          <w:rFonts w:hint="eastAsia" w:ascii="宋体" w:hAnsi="宋体"/>
          <w:kern w:val="0"/>
          <w:sz w:val="22"/>
          <w:szCs w:val="22"/>
          <w:highlight w:val="none"/>
        </w:rPr>
        <w:t>上述文件资料内容如有不一致的，以上列排列顺序做出解释。</w:t>
      </w:r>
    </w:p>
    <w:p>
      <w:pPr>
        <w:spacing w:after="0" w:line="360" w:lineRule="exact"/>
        <w:ind w:firstLine="440" w:firstLineChars="200"/>
        <w:rPr>
          <w:rFonts w:ascii="宋体" w:hAnsi="宋体"/>
          <w:kern w:val="0"/>
          <w:sz w:val="22"/>
          <w:szCs w:val="22"/>
          <w:highlight w:val="none"/>
        </w:rPr>
      </w:pPr>
    </w:p>
    <w:p>
      <w:pPr>
        <w:spacing w:after="0" w:line="360" w:lineRule="exact"/>
        <w:ind w:firstLine="440" w:firstLineChars="200"/>
        <w:rPr>
          <w:rFonts w:hint="eastAsia" w:ascii="宋体" w:hAnsi="宋体"/>
          <w:kern w:val="0"/>
          <w:sz w:val="22"/>
          <w:szCs w:val="22"/>
          <w:highlight w:val="none"/>
        </w:rPr>
      </w:pPr>
    </w:p>
    <w:p>
      <w:pPr>
        <w:spacing w:after="0" w:line="360" w:lineRule="exact"/>
        <w:rPr>
          <w:rFonts w:ascii="宋体" w:hAnsi="宋体"/>
          <w:kern w:val="0"/>
          <w:sz w:val="22"/>
          <w:szCs w:val="22"/>
          <w:highlight w:val="none"/>
        </w:rPr>
      </w:pPr>
      <w:r>
        <w:rPr>
          <w:rFonts w:hint="eastAsia" w:ascii="宋体" w:hAnsi="宋体"/>
          <w:kern w:val="0"/>
          <w:sz w:val="22"/>
          <w:szCs w:val="22"/>
          <w:highlight w:val="none"/>
        </w:rPr>
        <w:t xml:space="preserve">甲方：                           </w:t>
      </w:r>
      <w:r>
        <w:rPr>
          <w:rFonts w:ascii="宋体" w:hAnsi="宋体"/>
          <w:kern w:val="0"/>
          <w:sz w:val="22"/>
          <w:szCs w:val="22"/>
          <w:highlight w:val="none"/>
        </w:rPr>
        <w:t xml:space="preserve">   </w:t>
      </w:r>
      <w:r>
        <w:rPr>
          <w:rFonts w:hint="eastAsia" w:ascii="宋体" w:hAnsi="宋体"/>
          <w:kern w:val="0"/>
          <w:sz w:val="22"/>
          <w:szCs w:val="22"/>
          <w:highlight w:val="none"/>
        </w:rPr>
        <w:t xml:space="preserve">     乙方：</w:t>
      </w:r>
      <w:r>
        <w:rPr>
          <w:rFonts w:ascii="宋体" w:hAnsi="宋体"/>
          <w:kern w:val="0"/>
          <w:sz w:val="22"/>
          <w:szCs w:val="22"/>
          <w:highlight w:val="none"/>
        </w:rPr>
        <w:t xml:space="preserve"> </w:t>
      </w:r>
    </w:p>
    <w:p>
      <w:pPr>
        <w:spacing w:after="0" w:line="360" w:lineRule="exact"/>
        <w:rPr>
          <w:rFonts w:ascii="宋体" w:hAnsi="宋体"/>
          <w:kern w:val="0"/>
          <w:sz w:val="22"/>
          <w:szCs w:val="22"/>
          <w:highlight w:val="none"/>
        </w:rPr>
      </w:pPr>
      <w:r>
        <w:rPr>
          <w:rFonts w:hint="eastAsia" w:ascii="宋体" w:hAnsi="宋体"/>
          <w:kern w:val="0"/>
          <w:sz w:val="22"/>
          <w:szCs w:val="22"/>
          <w:highlight w:val="none"/>
        </w:rPr>
        <w:t xml:space="preserve">地址：                           </w:t>
      </w:r>
      <w:r>
        <w:rPr>
          <w:rFonts w:ascii="宋体" w:hAnsi="宋体"/>
          <w:kern w:val="0"/>
          <w:sz w:val="22"/>
          <w:szCs w:val="22"/>
          <w:highlight w:val="none"/>
        </w:rPr>
        <w:t xml:space="preserve">   </w:t>
      </w:r>
      <w:r>
        <w:rPr>
          <w:rFonts w:hint="eastAsia" w:ascii="宋体" w:hAnsi="宋体"/>
          <w:kern w:val="0"/>
          <w:sz w:val="22"/>
          <w:szCs w:val="22"/>
          <w:highlight w:val="none"/>
        </w:rPr>
        <w:t xml:space="preserve">     地址：</w:t>
      </w:r>
      <w:r>
        <w:rPr>
          <w:rFonts w:ascii="宋体" w:hAnsi="宋体"/>
          <w:kern w:val="0"/>
          <w:sz w:val="22"/>
          <w:szCs w:val="22"/>
          <w:highlight w:val="none"/>
        </w:rPr>
        <w:t xml:space="preserve"> </w:t>
      </w:r>
    </w:p>
    <w:p>
      <w:pPr>
        <w:spacing w:after="0" w:line="360" w:lineRule="exact"/>
        <w:rPr>
          <w:rFonts w:hint="eastAsia" w:ascii="宋体" w:hAnsi="宋体"/>
          <w:kern w:val="0"/>
          <w:sz w:val="22"/>
          <w:szCs w:val="22"/>
          <w:highlight w:val="none"/>
        </w:rPr>
      </w:pPr>
      <w:r>
        <w:rPr>
          <w:rFonts w:hint="eastAsia" w:ascii="宋体" w:hAnsi="宋体"/>
          <w:kern w:val="0"/>
          <w:sz w:val="22"/>
          <w:szCs w:val="22"/>
          <w:highlight w:val="none"/>
        </w:rPr>
        <w:t xml:space="preserve">法定代表：                         </w:t>
      </w:r>
      <w:r>
        <w:rPr>
          <w:rFonts w:ascii="宋体" w:hAnsi="宋体"/>
          <w:kern w:val="0"/>
          <w:sz w:val="22"/>
          <w:szCs w:val="22"/>
          <w:highlight w:val="none"/>
        </w:rPr>
        <w:t xml:space="preserve">   </w:t>
      </w:r>
      <w:r>
        <w:rPr>
          <w:rFonts w:hint="eastAsia" w:ascii="宋体" w:hAnsi="宋体"/>
          <w:kern w:val="0"/>
          <w:sz w:val="22"/>
          <w:szCs w:val="22"/>
          <w:highlight w:val="none"/>
        </w:rPr>
        <w:t xml:space="preserve">   法人代表： </w:t>
      </w:r>
    </w:p>
    <w:p>
      <w:pPr>
        <w:spacing w:after="0" w:line="360" w:lineRule="exact"/>
        <w:rPr>
          <w:rFonts w:ascii="宋体" w:hAnsi="宋体"/>
          <w:kern w:val="0"/>
          <w:sz w:val="22"/>
          <w:szCs w:val="22"/>
          <w:highlight w:val="none"/>
        </w:rPr>
      </w:pPr>
      <w:r>
        <w:rPr>
          <w:rFonts w:hint="eastAsia" w:ascii="宋体" w:hAnsi="宋体"/>
          <w:kern w:val="0"/>
          <w:sz w:val="22"/>
          <w:szCs w:val="22"/>
          <w:highlight w:val="none"/>
        </w:rPr>
        <w:t xml:space="preserve">电话：                              </w:t>
      </w:r>
      <w:r>
        <w:rPr>
          <w:rFonts w:ascii="宋体" w:hAnsi="宋体"/>
          <w:kern w:val="0"/>
          <w:sz w:val="22"/>
          <w:szCs w:val="22"/>
          <w:highlight w:val="none"/>
        </w:rPr>
        <w:t xml:space="preserve">   </w:t>
      </w:r>
      <w:r>
        <w:rPr>
          <w:rFonts w:hint="eastAsia" w:ascii="宋体" w:hAnsi="宋体"/>
          <w:kern w:val="0"/>
          <w:sz w:val="22"/>
          <w:szCs w:val="22"/>
          <w:highlight w:val="none"/>
        </w:rPr>
        <w:t xml:space="preserve">  电话：</w:t>
      </w:r>
    </w:p>
    <w:p>
      <w:pPr>
        <w:spacing w:after="0" w:line="360" w:lineRule="exact"/>
        <w:rPr>
          <w:rFonts w:hint="eastAsia" w:ascii="宋体" w:hAnsi="宋体"/>
          <w:kern w:val="0"/>
          <w:sz w:val="22"/>
          <w:szCs w:val="22"/>
          <w:highlight w:val="none"/>
        </w:rPr>
      </w:pPr>
      <w:r>
        <w:rPr>
          <w:rFonts w:hint="eastAsia" w:ascii="宋体" w:hAnsi="宋体"/>
          <w:kern w:val="0"/>
          <w:sz w:val="22"/>
          <w:szCs w:val="22"/>
          <w:highlight w:val="none"/>
        </w:rPr>
        <w:t xml:space="preserve">传真：                              </w:t>
      </w:r>
      <w:r>
        <w:rPr>
          <w:rFonts w:ascii="宋体" w:hAnsi="宋体"/>
          <w:kern w:val="0"/>
          <w:sz w:val="22"/>
          <w:szCs w:val="22"/>
          <w:highlight w:val="none"/>
        </w:rPr>
        <w:t xml:space="preserve">   </w:t>
      </w:r>
      <w:r>
        <w:rPr>
          <w:rFonts w:hint="eastAsia" w:ascii="宋体" w:hAnsi="宋体"/>
          <w:kern w:val="0"/>
          <w:sz w:val="22"/>
          <w:szCs w:val="22"/>
          <w:highlight w:val="none"/>
        </w:rPr>
        <w:t xml:space="preserve">  传真：</w:t>
      </w:r>
    </w:p>
    <w:p>
      <w:pPr>
        <w:spacing w:after="0" w:line="360" w:lineRule="exact"/>
        <w:rPr>
          <w:rFonts w:ascii="宋体" w:hAnsi="宋体"/>
          <w:kern w:val="0"/>
          <w:sz w:val="22"/>
          <w:szCs w:val="22"/>
          <w:highlight w:val="none"/>
        </w:rPr>
      </w:pPr>
      <w:r>
        <w:rPr>
          <w:rFonts w:hint="eastAsia" w:ascii="宋体" w:hAnsi="宋体"/>
          <w:kern w:val="0"/>
          <w:sz w:val="22"/>
          <w:szCs w:val="22"/>
          <w:highlight w:val="none"/>
        </w:rPr>
        <w:t xml:space="preserve">开户户名：                          </w:t>
      </w:r>
      <w:r>
        <w:rPr>
          <w:rFonts w:ascii="宋体" w:hAnsi="宋体"/>
          <w:kern w:val="0"/>
          <w:sz w:val="22"/>
          <w:szCs w:val="22"/>
          <w:highlight w:val="none"/>
        </w:rPr>
        <w:t xml:space="preserve">   </w:t>
      </w:r>
      <w:r>
        <w:rPr>
          <w:rFonts w:hint="eastAsia" w:ascii="宋体" w:hAnsi="宋体"/>
          <w:kern w:val="0"/>
          <w:sz w:val="22"/>
          <w:szCs w:val="22"/>
          <w:highlight w:val="none"/>
        </w:rPr>
        <w:t xml:space="preserve">  开户户名：</w:t>
      </w:r>
      <w:r>
        <w:rPr>
          <w:rFonts w:ascii="宋体" w:hAnsi="宋体"/>
          <w:kern w:val="0"/>
          <w:sz w:val="22"/>
          <w:szCs w:val="22"/>
          <w:highlight w:val="none"/>
        </w:rPr>
        <w:t xml:space="preserve"> </w:t>
      </w:r>
    </w:p>
    <w:p>
      <w:pPr>
        <w:spacing w:after="0" w:line="360" w:lineRule="exact"/>
        <w:rPr>
          <w:rFonts w:ascii="宋体" w:hAnsi="宋体"/>
          <w:kern w:val="0"/>
          <w:sz w:val="22"/>
          <w:szCs w:val="22"/>
          <w:highlight w:val="none"/>
        </w:rPr>
      </w:pPr>
      <w:r>
        <w:rPr>
          <w:rFonts w:hint="eastAsia" w:ascii="宋体" w:hAnsi="宋体"/>
          <w:kern w:val="0"/>
          <w:sz w:val="22"/>
          <w:szCs w:val="22"/>
          <w:highlight w:val="none"/>
        </w:rPr>
        <w:t xml:space="preserve">开户银行：                           </w:t>
      </w:r>
      <w:r>
        <w:rPr>
          <w:rFonts w:ascii="宋体" w:hAnsi="宋体"/>
          <w:kern w:val="0"/>
          <w:sz w:val="22"/>
          <w:szCs w:val="22"/>
          <w:highlight w:val="none"/>
        </w:rPr>
        <w:t xml:space="preserve">   </w:t>
      </w:r>
      <w:r>
        <w:rPr>
          <w:rFonts w:hint="eastAsia" w:ascii="宋体" w:hAnsi="宋体"/>
          <w:kern w:val="0"/>
          <w:sz w:val="22"/>
          <w:szCs w:val="22"/>
          <w:highlight w:val="none"/>
        </w:rPr>
        <w:t xml:space="preserve"> 开户银行：</w:t>
      </w:r>
      <w:r>
        <w:rPr>
          <w:rFonts w:ascii="宋体" w:hAnsi="宋体"/>
          <w:kern w:val="0"/>
          <w:sz w:val="22"/>
          <w:szCs w:val="22"/>
          <w:highlight w:val="none"/>
        </w:rPr>
        <w:t xml:space="preserve"> </w:t>
      </w:r>
    </w:p>
    <w:p>
      <w:pPr>
        <w:spacing w:after="0" w:line="360" w:lineRule="exact"/>
        <w:rPr>
          <w:rFonts w:hint="eastAsia" w:ascii="宋体" w:hAnsi="宋体"/>
          <w:kern w:val="0"/>
          <w:sz w:val="22"/>
          <w:szCs w:val="22"/>
          <w:highlight w:val="none"/>
        </w:rPr>
      </w:pPr>
      <w:r>
        <w:rPr>
          <w:rFonts w:hint="eastAsia" w:ascii="宋体" w:hAnsi="宋体"/>
          <w:kern w:val="0"/>
          <w:sz w:val="22"/>
          <w:szCs w:val="22"/>
          <w:highlight w:val="none"/>
        </w:rPr>
        <w:t xml:space="preserve">帐号：                               </w:t>
      </w:r>
      <w:r>
        <w:rPr>
          <w:rFonts w:ascii="宋体" w:hAnsi="宋体"/>
          <w:kern w:val="0"/>
          <w:sz w:val="22"/>
          <w:szCs w:val="22"/>
          <w:highlight w:val="none"/>
        </w:rPr>
        <w:t xml:space="preserve">   </w:t>
      </w:r>
      <w:r>
        <w:rPr>
          <w:rFonts w:hint="eastAsia" w:ascii="宋体" w:hAnsi="宋体"/>
          <w:kern w:val="0"/>
          <w:sz w:val="22"/>
          <w:szCs w:val="22"/>
          <w:highlight w:val="none"/>
        </w:rPr>
        <w:t xml:space="preserve"> 账号：</w:t>
      </w:r>
    </w:p>
    <w:p>
      <w:pPr>
        <w:spacing w:after="0" w:line="360" w:lineRule="exact"/>
        <w:rPr>
          <w:rFonts w:ascii="宋体" w:hAnsi="宋体"/>
          <w:kern w:val="0"/>
          <w:sz w:val="22"/>
          <w:szCs w:val="22"/>
          <w:highlight w:val="none"/>
        </w:rPr>
      </w:pPr>
      <w:r>
        <w:rPr>
          <w:rFonts w:hint="eastAsia" w:ascii="宋体" w:hAnsi="宋体"/>
          <w:kern w:val="0"/>
          <w:sz w:val="22"/>
          <w:szCs w:val="22"/>
          <w:highlight w:val="none"/>
        </w:rPr>
        <w:t xml:space="preserve">全权代表（签字）：                 </w:t>
      </w:r>
      <w:r>
        <w:rPr>
          <w:rFonts w:ascii="宋体" w:hAnsi="宋体"/>
          <w:kern w:val="0"/>
          <w:sz w:val="22"/>
          <w:szCs w:val="22"/>
          <w:highlight w:val="none"/>
        </w:rPr>
        <w:t xml:space="preserve">   </w:t>
      </w:r>
      <w:r>
        <w:rPr>
          <w:rFonts w:hint="eastAsia" w:ascii="宋体" w:hAnsi="宋体"/>
          <w:kern w:val="0"/>
          <w:sz w:val="22"/>
          <w:szCs w:val="22"/>
          <w:highlight w:val="none"/>
        </w:rPr>
        <w:t xml:space="preserve">   全权代表（签字）：</w:t>
      </w:r>
    </w:p>
    <w:p>
      <w:pPr>
        <w:spacing w:after="0" w:line="360" w:lineRule="exact"/>
        <w:rPr>
          <w:rFonts w:ascii="宋体" w:hAnsi="宋体"/>
          <w:kern w:val="0"/>
          <w:sz w:val="22"/>
          <w:szCs w:val="22"/>
          <w:highlight w:val="none"/>
        </w:rPr>
      </w:pPr>
    </w:p>
    <w:p>
      <w:pPr>
        <w:spacing w:after="0" w:line="360" w:lineRule="exact"/>
        <w:rPr>
          <w:rFonts w:ascii="宋体" w:hAnsi="宋体"/>
          <w:kern w:val="0"/>
          <w:sz w:val="22"/>
          <w:szCs w:val="22"/>
          <w:highlight w:val="none"/>
        </w:rPr>
      </w:pPr>
    </w:p>
    <w:p>
      <w:pPr>
        <w:spacing w:after="0" w:line="360" w:lineRule="exact"/>
        <w:rPr>
          <w:rFonts w:hint="eastAsia" w:ascii="宋体" w:hAnsi="宋体"/>
          <w:kern w:val="0"/>
          <w:sz w:val="22"/>
          <w:szCs w:val="22"/>
          <w:highlight w:val="none"/>
        </w:rPr>
      </w:pPr>
    </w:p>
    <w:p>
      <w:pPr>
        <w:spacing w:after="0" w:line="360" w:lineRule="exact"/>
        <w:rPr>
          <w:rFonts w:ascii="宋体" w:hAnsi="宋体" w:cs="Arial"/>
          <w:sz w:val="22"/>
          <w:szCs w:val="22"/>
          <w:highlight w:val="none"/>
        </w:rPr>
      </w:pPr>
      <w:r>
        <w:rPr>
          <w:rFonts w:hint="eastAsia" w:ascii="宋体" w:hAnsi="宋体" w:cs="Arial"/>
          <w:sz w:val="22"/>
          <w:szCs w:val="22"/>
          <w:highlight w:val="none"/>
        </w:rPr>
        <w:t>合同鉴证方：</w:t>
      </w:r>
      <w:r>
        <w:rPr>
          <w:rFonts w:ascii="宋体" w:hAnsi="宋体" w:cs="Arial"/>
          <w:sz w:val="22"/>
          <w:szCs w:val="22"/>
          <w:highlight w:val="none"/>
        </w:rPr>
        <w:t xml:space="preserve"> </w:t>
      </w:r>
    </w:p>
    <w:p>
      <w:pPr>
        <w:spacing w:after="0" w:line="360" w:lineRule="exact"/>
        <w:rPr>
          <w:rFonts w:hint="eastAsia" w:ascii="宋体" w:hAnsi="宋体"/>
          <w:kern w:val="0"/>
          <w:sz w:val="22"/>
          <w:szCs w:val="22"/>
          <w:highlight w:val="none"/>
        </w:rPr>
      </w:pPr>
      <w:r>
        <w:rPr>
          <w:rFonts w:hint="eastAsia" w:ascii="宋体" w:hAnsi="宋体" w:cs="Arial"/>
          <w:sz w:val="22"/>
          <w:szCs w:val="22"/>
          <w:highlight w:val="none"/>
        </w:rPr>
        <w:t>法定代表人或主要负责人（签字）：</w:t>
      </w:r>
    </w:p>
    <w:p>
      <w:pPr>
        <w:spacing w:after="0" w:line="360" w:lineRule="exact"/>
        <w:jc w:val="left"/>
        <w:rPr>
          <w:rFonts w:hint="eastAsia" w:ascii="宋体" w:hAnsi="宋体"/>
          <w:kern w:val="0"/>
          <w:sz w:val="22"/>
          <w:szCs w:val="22"/>
          <w:highlight w:val="none"/>
        </w:rPr>
      </w:pPr>
      <w:r>
        <w:rPr>
          <w:rFonts w:hint="eastAsia" w:ascii="宋体" w:hAnsi="宋体"/>
          <w:kern w:val="0"/>
          <w:sz w:val="22"/>
          <w:szCs w:val="22"/>
          <w:highlight w:val="none"/>
        </w:rPr>
        <w:t xml:space="preserve">签订日期：   </w:t>
      </w:r>
      <w:r>
        <w:rPr>
          <w:rFonts w:ascii="宋体" w:hAnsi="宋体"/>
          <w:kern w:val="0"/>
          <w:sz w:val="22"/>
          <w:szCs w:val="22"/>
          <w:highlight w:val="none"/>
        </w:rPr>
        <w:t xml:space="preserve">   </w:t>
      </w:r>
      <w:r>
        <w:rPr>
          <w:rFonts w:hint="eastAsia" w:ascii="宋体" w:hAnsi="宋体"/>
          <w:kern w:val="0"/>
          <w:sz w:val="22"/>
          <w:szCs w:val="22"/>
          <w:highlight w:val="none"/>
        </w:rPr>
        <w:t xml:space="preserve"> 年    月    日</w:t>
      </w:r>
    </w:p>
    <w:p>
      <w:pPr>
        <w:pStyle w:val="4"/>
        <w:numPr>
          <w:ilvl w:val="1"/>
          <w:numId w:val="0"/>
        </w:numPr>
        <w:spacing w:before="0" w:after="0" w:line="360" w:lineRule="exact"/>
        <w:ind w:leftChars="0"/>
        <w:rPr>
          <w:rFonts w:hint="eastAsia" w:ascii="宋体" w:hAnsi="宋体" w:cs="宋体"/>
          <w:caps/>
          <w:sz w:val="22"/>
          <w:szCs w:val="22"/>
          <w:highlight w:val="none"/>
        </w:rPr>
      </w:pPr>
      <w:r>
        <w:rPr>
          <w:rFonts w:ascii="宋体" w:hAnsi="宋体"/>
          <w:sz w:val="22"/>
          <w:szCs w:val="22"/>
          <w:highlight w:val="none"/>
        </w:rPr>
        <w:br w:type="page"/>
      </w:r>
      <w:bookmarkStart w:id="12" w:name="_Toc69207144"/>
      <w:bookmarkStart w:id="13" w:name="_Toc102044704"/>
      <w:bookmarkStart w:id="14" w:name="_Toc45633646"/>
      <w:r>
        <w:rPr>
          <w:rFonts w:hint="eastAsia" w:ascii="宋体" w:hAnsi="宋体" w:cs="宋体"/>
          <w:caps/>
          <w:sz w:val="22"/>
          <w:szCs w:val="22"/>
          <w:highlight w:val="none"/>
        </w:rPr>
        <w:t>合同附件</w:t>
      </w:r>
      <w:r>
        <w:rPr>
          <w:rFonts w:ascii="宋体" w:hAnsi="宋体" w:cs="宋体"/>
          <w:caps/>
          <w:sz w:val="22"/>
          <w:szCs w:val="22"/>
          <w:highlight w:val="none"/>
        </w:rPr>
        <w:t>1</w:t>
      </w:r>
      <w:r>
        <w:rPr>
          <w:rFonts w:hint="eastAsia" w:ascii="宋体" w:hAnsi="宋体" w:cs="宋体"/>
          <w:caps/>
          <w:sz w:val="22"/>
          <w:szCs w:val="22"/>
          <w:highlight w:val="none"/>
        </w:rPr>
        <w:t>：考核办法</w:t>
      </w:r>
      <w:bookmarkEnd w:id="12"/>
      <w:bookmarkEnd w:id="13"/>
      <w:bookmarkEnd w:id="14"/>
    </w:p>
    <w:p>
      <w:pPr>
        <w:spacing w:line="360" w:lineRule="exact"/>
        <w:ind w:firstLine="320"/>
        <w:jc w:val="center"/>
        <w:rPr>
          <w:rFonts w:ascii="宋体" w:hAnsi="宋体"/>
          <w:bCs/>
          <w:sz w:val="22"/>
          <w:szCs w:val="22"/>
          <w:highlight w:val="none"/>
        </w:rPr>
      </w:pPr>
      <w:r>
        <w:rPr>
          <w:rFonts w:hint="eastAsia" w:ascii="宋体" w:hAnsi="宋体"/>
          <w:bCs/>
          <w:sz w:val="22"/>
          <w:szCs w:val="22"/>
          <w:highlight w:val="none"/>
        </w:rPr>
        <w:t>满意度调查表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956"/>
        <w:gridCol w:w="770"/>
        <w:gridCol w:w="863"/>
        <w:gridCol w:w="671"/>
        <w:gridCol w:w="192"/>
        <w:gridCol w:w="517"/>
        <w:gridCol w:w="346"/>
        <w:gridCol w:w="863"/>
        <w:gridCol w:w="863"/>
        <w:gridCol w:w="863"/>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疗休养</w:t>
            </w:r>
            <w:r>
              <w:rPr>
                <w:rFonts w:ascii="宋体" w:hAnsi="宋体" w:cs="新宋体"/>
                <w:sz w:val="22"/>
                <w:szCs w:val="22"/>
                <w:highlight w:val="none"/>
              </w:rPr>
              <w:t>服务单位</w:t>
            </w:r>
          </w:p>
        </w:tc>
        <w:tc>
          <w:tcPr>
            <w:tcW w:w="6910" w:type="dxa"/>
            <w:gridSpan w:val="11"/>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疗养地点</w:t>
            </w:r>
          </w:p>
        </w:tc>
        <w:tc>
          <w:tcPr>
            <w:tcW w:w="3260" w:type="dxa"/>
            <w:gridSpan w:val="4"/>
            <w:noWrap w:val="0"/>
            <w:vAlign w:val="center"/>
          </w:tcPr>
          <w:p>
            <w:pPr>
              <w:spacing w:after="0" w:line="360" w:lineRule="exact"/>
              <w:ind w:firstLine="570"/>
              <w:jc w:val="center"/>
              <w:rPr>
                <w:rFonts w:hint="eastAsia" w:ascii="宋体" w:hAnsi="宋体" w:cs="新宋体"/>
                <w:sz w:val="22"/>
                <w:szCs w:val="22"/>
                <w:highlight w:val="none"/>
              </w:rPr>
            </w:pPr>
          </w:p>
        </w:tc>
        <w:tc>
          <w:tcPr>
            <w:tcW w:w="709" w:type="dxa"/>
            <w:gridSpan w:val="2"/>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人数</w:t>
            </w:r>
          </w:p>
        </w:tc>
        <w:tc>
          <w:tcPr>
            <w:tcW w:w="2941" w:type="dxa"/>
            <w:gridSpan w:val="5"/>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疗养时间</w:t>
            </w:r>
          </w:p>
        </w:tc>
        <w:tc>
          <w:tcPr>
            <w:tcW w:w="6910" w:type="dxa"/>
            <w:gridSpan w:val="11"/>
            <w:noWrap w:val="0"/>
            <w:vAlign w:val="center"/>
          </w:tcPr>
          <w:p>
            <w:pPr>
              <w:spacing w:after="0" w:line="360" w:lineRule="exact"/>
              <w:ind w:firstLine="570"/>
              <w:jc w:val="center"/>
              <w:rPr>
                <w:rFonts w:hint="eastAsia" w:ascii="宋体" w:hAnsi="宋体" w:cs="新宋体"/>
                <w:sz w:val="22"/>
                <w:szCs w:val="22"/>
                <w:highlight w:val="none"/>
              </w:rPr>
            </w:pPr>
            <w:r>
              <w:rPr>
                <w:rFonts w:hint="eastAsia" w:ascii="宋体" w:hAnsi="宋体" w:cs="新宋体"/>
                <w:sz w:val="22"/>
                <w:szCs w:val="22"/>
                <w:highlight w:val="none"/>
              </w:rPr>
              <w:t>_____ 年___ 月  ____日至 ___ 月  ____日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1" w:type="dxa"/>
            <w:vMerge w:val="restart"/>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评分</w:t>
            </w:r>
            <w:r>
              <w:rPr>
                <w:rFonts w:ascii="宋体" w:hAnsi="宋体" w:cs="新宋体"/>
                <w:sz w:val="22"/>
                <w:szCs w:val="22"/>
                <w:highlight w:val="none"/>
              </w:rPr>
              <w:t>项目及分值（</w:t>
            </w:r>
            <w:r>
              <w:rPr>
                <w:rFonts w:hint="eastAsia" w:ascii="宋体" w:hAnsi="宋体" w:cs="新宋体"/>
                <w:sz w:val="22"/>
                <w:szCs w:val="22"/>
                <w:highlight w:val="none"/>
              </w:rPr>
              <w:t>100分</w:t>
            </w:r>
            <w:r>
              <w:rPr>
                <w:rFonts w:ascii="宋体" w:hAnsi="宋体" w:cs="新宋体"/>
                <w:sz w:val="22"/>
                <w:szCs w:val="22"/>
                <w:highlight w:val="none"/>
              </w:rPr>
              <w:t>）</w:t>
            </w:r>
          </w:p>
        </w:tc>
        <w:tc>
          <w:tcPr>
            <w:tcW w:w="6910" w:type="dxa"/>
            <w:gridSpan w:val="11"/>
            <w:noWrap w:val="0"/>
            <w:vAlign w:val="center"/>
          </w:tcPr>
          <w:p>
            <w:pPr>
              <w:spacing w:after="0" w:line="360" w:lineRule="exact"/>
              <w:ind w:firstLine="570"/>
              <w:jc w:val="center"/>
              <w:rPr>
                <w:rFonts w:hint="eastAsia" w:ascii="宋体" w:hAnsi="宋体" w:cs="新宋体"/>
                <w:sz w:val="22"/>
                <w:szCs w:val="22"/>
                <w:highlight w:val="none"/>
              </w:rPr>
            </w:pPr>
            <w:r>
              <w:rPr>
                <w:rFonts w:hint="eastAsia" w:ascii="宋体" w:hAnsi="宋体" w:cs="新宋体"/>
                <w:sz w:val="22"/>
                <w:szCs w:val="22"/>
                <w:highlight w:val="none"/>
              </w:rPr>
              <w:t>满意度</w:t>
            </w:r>
            <w:r>
              <w:rPr>
                <w:rFonts w:ascii="宋体" w:hAnsi="宋体" w:cs="新宋体"/>
                <w:sz w:val="22"/>
                <w:szCs w:val="22"/>
                <w:highlight w:val="none"/>
              </w:rPr>
              <w:t>评价（</w:t>
            </w:r>
            <w:r>
              <w:rPr>
                <w:rFonts w:hint="eastAsia" w:ascii="宋体" w:hAnsi="宋体" w:cs="新宋体"/>
                <w:sz w:val="22"/>
                <w:szCs w:val="22"/>
                <w:highlight w:val="none"/>
              </w:rPr>
              <w:t>请您</w:t>
            </w:r>
            <w:r>
              <w:rPr>
                <w:rFonts w:ascii="宋体" w:hAnsi="宋体" w:cs="新宋体"/>
                <w:sz w:val="22"/>
                <w:szCs w:val="22"/>
                <w:highlight w:val="none"/>
              </w:rPr>
              <w:t>在</w:t>
            </w:r>
            <w:r>
              <w:rPr>
                <w:rFonts w:hint="eastAsia" w:ascii="宋体" w:hAnsi="宋体" w:cs="新宋体"/>
                <w:sz w:val="22"/>
                <w:szCs w:val="22"/>
                <w:highlight w:val="none"/>
              </w:rPr>
              <w:t>以下</w:t>
            </w:r>
            <w:r>
              <w:rPr>
                <w:rFonts w:ascii="宋体" w:hAnsi="宋体" w:cs="新宋体"/>
                <w:sz w:val="22"/>
                <w:szCs w:val="22"/>
                <w:highlight w:val="none"/>
              </w:rPr>
              <w:t>的选项后空格内评分）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1" w:type="dxa"/>
            <w:vMerge w:val="continue"/>
            <w:noWrap w:val="0"/>
            <w:vAlign w:val="center"/>
          </w:tcPr>
          <w:p>
            <w:pPr>
              <w:spacing w:after="0" w:line="360" w:lineRule="exact"/>
              <w:jc w:val="center"/>
              <w:rPr>
                <w:rFonts w:hint="eastAsia" w:ascii="宋体" w:hAnsi="宋体" w:cs="新宋体"/>
                <w:sz w:val="22"/>
                <w:szCs w:val="22"/>
                <w:highlight w:val="none"/>
              </w:rPr>
            </w:pPr>
          </w:p>
        </w:tc>
        <w:tc>
          <w:tcPr>
            <w:tcW w:w="1726" w:type="dxa"/>
            <w:gridSpan w:val="2"/>
            <w:noWrap w:val="0"/>
            <w:vAlign w:val="center"/>
          </w:tcPr>
          <w:p>
            <w:pPr>
              <w:spacing w:after="0" w:line="360" w:lineRule="exact"/>
              <w:ind w:firstLine="570"/>
              <w:jc w:val="center"/>
              <w:rPr>
                <w:rFonts w:hint="eastAsia" w:ascii="宋体" w:hAnsi="宋体" w:cs="新宋体"/>
                <w:sz w:val="22"/>
                <w:szCs w:val="22"/>
                <w:highlight w:val="none"/>
              </w:rPr>
            </w:pPr>
            <w:r>
              <w:rPr>
                <w:rFonts w:hint="eastAsia" w:ascii="宋体" w:hAnsi="宋体" w:cs="新宋体"/>
                <w:sz w:val="22"/>
                <w:szCs w:val="22"/>
                <w:highlight w:val="none"/>
              </w:rPr>
              <w:t>好</w:t>
            </w:r>
          </w:p>
        </w:tc>
        <w:tc>
          <w:tcPr>
            <w:tcW w:w="1726" w:type="dxa"/>
            <w:gridSpan w:val="3"/>
            <w:noWrap w:val="0"/>
            <w:vAlign w:val="center"/>
          </w:tcPr>
          <w:p>
            <w:pPr>
              <w:spacing w:after="0" w:line="360" w:lineRule="exact"/>
              <w:ind w:firstLine="570"/>
              <w:jc w:val="center"/>
              <w:rPr>
                <w:rFonts w:hint="eastAsia" w:ascii="宋体" w:hAnsi="宋体" w:cs="新宋体"/>
                <w:sz w:val="22"/>
                <w:szCs w:val="22"/>
                <w:highlight w:val="none"/>
              </w:rPr>
            </w:pPr>
            <w:r>
              <w:rPr>
                <w:rFonts w:hint="eastAsia" w:ascii="宋体" w:hAnsi="宋体" w:cs="新宋体"/>
                <w:sz w:val="22"/>
                <w:szCs w:val="22"/>
                <w:highlight w:val="none"/>
              </w:rPr>
              <w:t>较好</w:t>
            </w:r>
          </w:p>
        </w:tc>
        <w:tc>
          <w:tcPr>
            <w:tcW w:w="1726" w:type="dxa"/>
            <w:gridSpan w:val="3"/>
            <w:noWrap w:val="0"/>
            <w:vAlign w:val="center"/>
          </w:tcPr>
          <w:p>
            <w:pPr>
              <w:spacing w:after="0" w:line="360" w:lineRule="exact"/>
              <w:ind w:firstLine="570"/>
              <w:jc w:val="center"/>
              <w:rPr>
                <w:rFonts w:hint="eastAsia" w:ascii="宋体" w:hAnsi="宋体" w:cs="新宋体"/>
                <w:sz w:val="22"/>
                <w:szCs w:val="22"/>
                <w:highlight w:val="none"/>
              </w:rPr>
            </w:pPr>
            <w:r>
              <w:rPr>
                <w:rFonts w:hint="eastAsia" w:ascii="宋体" w:hAnsi="宋体" w:cs="新宋体"/>
                <w:sz w:val="22"/>
                <w:szCs w:val="22"/>
                <w:highlight w:val="none"/>
              </w:rPr>
              <w:t>一般</w:t>
            </w:r>
          </w:p>
        </w:tc>
        <w:tc>
          <w:tcPr>
            <w:tcW w:w="1732" w:type="dxa"/>
            <w:gridSpan w:val="3"/>
            <w:noWrap w:val="0"/>
            <w:vAlign w:val="center"/>
          </w:tcPr>
          <w:p>
            <w:pPr>
              <w:spacing w:after="0" w:line="360" w:lineRule="exact"/>
              <w:ind w:firstLine="570"/>
              <w:jc w:val="center"/>
              <w:rPr>
                <w:rFonts w:hint="eastAsia" w:ascii="宋体" w:hAnsi="宋体" w:cs="新宋体"/>
                <w:sz w:val="22"/>
                <w:szCs w:val="22"/>
                <w:highlight w:val="none"/>
              </w:rPr>
            </w:pPr>
            <w:r>
              <w:rPr>
                <w:rFonts w:hint="eastAsia" w:ascii="宋体" w:hAnsi="宋体" w:cs="新宋体"/>
                <w:sz w:val="22"/>
                <w:szCs w:val="22"/>
                <w:highlight w:val="none"/>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住宿条件</w:t>
            </w:r>
            <w:r>
              <w:rPr>
                <w:rFonts w:ascii="宋体" w:hAnsi="宋体" w:cs="新宋体"/>
                <w:sz w:val="22"/>
                <w:szCs w:val="22"/>
                <w:highlight w:val="none"/>
              </w:rPr>
              <w:t>（</w:t>
            </w:r>
            <w:r>
              <w:rPr>
                <w:rFonts w:hint="eastAsia" w:ascii="宋体" w:hAnsi="宋体" w:cs="新宋体"/>
                <w:sz w:val="22"/>
                <w:szCs w:val="22"/>
                <w:highlight w:val="none"/>
              </w:rPr>
              <w:t>20分</w:t>
            </w:r>
            <w:r>
              <w:rPr>
                <w:rFonts w:ascii="宋体" w:hAnsi="宋体" w:cs="新宋体"/>
                <w:sz w:val="22"/>
                <w:szCs w:val="22"/>
                <w:highlight w:val="none"/>
              </w:rPr>
              <w:t>）</w:t>
            </w:r>
          </w:p>
        </w:tc>
        <w:tc>
          <w:tcPr>
            <w:tcW w:w="956"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20-18</w:t>
            </w:r>
          </w:p>
        </w:tc>
        <w:tc>
          <w:tcPr>
            <w:tcW w:w="770"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17-16</w:t>
            </w:r>
          </w:p>
        </w:tc>
        <w:tc>
          <w:tcPr>
            <w:tcW w:w="863" w:type="dxa"/>
            <w:gridSpan w:val="2"/>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gridSpan w:val="2"/>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15-12</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ascii="宋体" w:hAnsi="宋体" w:cs="新宋体"/>
                <w:sz w:val="22"/>
                <w:szCs w:val="22"/>
                <w:highlight w:val="none"/>
              </w:rPr>
              <w:t>&lt;</w:t>
            </w:r>
            <w:r>
              <w:rPr>
                <w:rFonts w:hint="eastAsia" w:ascii="宋体" w:hAnsi="宋体" w:cs="新宋体"/>
                <w:sz w:val="22"/>
                <w:szCs w:val="22"/>
                <w:highlight w:val="none"/>
              </w:rPr>
              <w:t>12</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餐饮状况（20分）</w:t>
            </w:r>
          </w:p>
        </w:tc>
        <w:tc>
          <w:tcPr>
            <w:tcW w:w="956"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20-18</w:t>
            </w:r>
          </w:p>
        </w:tc>
        <w:tc>
          <w:tcPr>
            <w:tcW w:w="770"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17-16</w:t>
            </w:r>
          </w:p>
        </w:tc>
        <w:tc>
          <w:tcPr>
            <w:tcW w:w="863" w:type="dxa"/>
            <w:gridSpan w:val="2"/>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gridSpan w:val="2"/>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15-12</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ascii="宋体" w:hAnsi="宋体" w:cs="新宋体"/>
                <w:sz w:val="22"/>
                <w:szCs w:val="22"/>
                <w:highlight w:val="none"/>
              </w:rPr>
              <w:t>&lt;</w:t>
            </w:r>
            <w:r>
              <w:rPr>
                <w:rFonts w:hint="eastAsia" w:ascii="宋体" w:hAnsi="宋体" w:cs="新宋体"/>
                <w:sz w:val="22"/>
                <w:szCs w:val="22"/>
                <w:highlight w:val="none"/>
              </w:rPr>
              <w:t>12</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jc w:val="center"/>
        </w:trPr>
        <w:tc>
          <w:tcPr>
            <w:tcW w:w="2211" w:type="dxa"/>
            <w:noWrap w:val="0"/>
            <w:vAlign w:val="center"/>
          </w:tcPr>
          <w:p>
            <w:pPr>
              <w:spacing w:after="0" w:line="360" w:lineRule="exact"/>
              <w:jc w:val="center"/>
              <w:rPr>
                <w:rFonts w:ascii="宋体" w:hAnsi="宋体" w:cs="新宋体"/>
                <w:sz w:val="22"/>
                <w:szCs w:val="22"/>
                <w:highlight w:val="none"/>
              </w:rPr>
            </w:pPr>
            <w:r>
              <w:rPr>
                <w:rFonts w:hint="eastAsia" w:ascii="宋体" w:hAnsi="宋体" w:cs="新宋体"/>
                <w:sz w:val="22"/>
                <w:szCs w:val="22"/>
                <w:highlight w:val="none"/>
              </w:rPr>
              <w:t>行程景点</w:t>
            </w:r>
            <w:r>
              <w:rPr>
                <w:rFonts w:ascii="宋体" w:hAnsi="宋体" w:cs="新宋体"/>
                <w:sz w:val="22"/>
                <w:szCs w:val="22"/>
                <w:highlight w:val="none"/>
              </w:rPr>
              <w:t>安排</w:t>
            </w:r>
          </w:p>
          <w:p>
            <w:pPr>
              <w:spacing w:after="0" w:line="360" w:lineRule="exact"/>
              <w:jc w:val="center"/>
              <w:rPr>
                <w:rFonts w:hint="eastAsia" w:ascii="宋体" w:hAnsi="宋体" w:cs="新宋体"/>
                <w:sz w:val="22"/>
                <w:szCs w:val="22"/>
                <w:highlight w:val="none"/>
              </w:rPr>
            </w:pPr>
            <w:r>
              <w:rPr>
                <w:rFonts w:ascii="宋体" w:hAnsi="宋体" w:cs="新宋体"/>
                <w:sz w:val="22"/>
                <w:szCs w:val="22"/>
                <w:highlight w:val="none"/>
              </w:rPr>
              <w:t>（</w:t>
            </w:r>
            <w:r>
              <w:rPr>
                <w:rFonts w:hint="eastAsia" w:ascii="宋体" w:hAnsi="宋体" w:cs="新宋体"/>
                <w:sz w:val="22"/>
                <w:szCs w:val="22"/>
                <w:highlight w:val="none"/>
              </w:rPr>
              <w:t>30分</w:t>
            </w:r>
            <w:r>
              <w:rPr>
                <w:rFonts w:ascii="宋体" w:hAnsi="宋体" w:cs="新宋体"/>
                <w:sz w:val="22"/>
                <w:szCs w:val="22"/>
                <w:highlight w:val="none"/>
              </w:rPr>
              <w:t>）</w:t>
            </w:r>
          </w:p>
        </w:tc>
        <w:tc>
          <w:tcPr>
            <w:tcW w:w="956"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30-25</w:t>
            </w:r>
          </w:p>
        </w:tc>
        <w:tc>
          <w:tcPr>
            <w:tcW w:w="770"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24-20</w:t>
            </w:r>
          </w:p>
        </w:tc>
        <w:tc>
          <w:tcPr>
            <w:tcW w:w="863" w:type="dxa"/>
            <w:gridSpan w:val="2"/>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gridSpan w:val="2"/>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19-15</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&lt;15</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车辆</w:t>
            </w:r>
            <w:r>
              <w:rPr>
                <w:rFonts w:ascii="宋体" w:hAnsi="宋体" w:cs="新宋体"/>
                <w:sz w:val="22"/>
                <w:szCs w:val="22"/>
                <w:highlight w:val="none"/>
              </w:rPr>
              <w:t>状况和司机服务（</w:t>
            </w:r>
            <w:r>
              <w:rPr>
                <w:rFonts w:hint="eastAsia" w:ascii="宋体" w:hAnsi="宋体" w:cs="新宋体"/>
                <w:sz w:val="22"/>
                <w:szCs w:val="22"/>
                <w:highlight w:val="none"/>
              </w:rPr>
              <w:t>10分</w:t>
            </w:r>
            <w:r>
              <w:rPr>
                <w:rFonts w:ascii="宋体" w:hAnsi="宋体" w:cs="新宋体"/>
                <w:sz w:val="22"/>
                <w:szCs w:val="22"/>
                <w:highlight w:val="none"/>
              </w:rPr>
              <w:t>）</w:t>
            </w:r>
          </w:p>
        </w:tc>
        <w:tc>
          <w:tcPr>
            <w:tcW w:w="956"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10-9</w:t>
            </w:r>
          </w:p>
        </w:tc>
        <w:tc>
          <w:tcPr>
            <w:tcW w:w="770"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8-7</w:t>
            </w:r>
          </w:p>
        </w:tc>
        <w:tc>
          <w:tcPr>
            <w:tcW w:w="863" w:type="dxa"/>
            <w:gridSpan w:val="2"/>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gridSpan w:val="2"/>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6-5</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&lt;5</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导游</w:t>
            </w:r>
            <w:r>
              <w:rPr>
                <w:rFonts w:ascii="宋体" w:hAnsi="宋体" w:cs="新宋体"/>
                <w:sz w:val="22"/>
                <w:szCs w:val="22"/>
                <w:highlight w:val="none"/>
              </w:rPr>
              <w:t>服务（</w:t>
            </w:r>
            <w:r>
              <w:rPr>
                <w:rFonts w:hint="eastAsia" w:ascii="宋体" w:hAnsi="宋体" w:cs="新宋体"/>
                <w:sz w:val="22"/>
                <w:szCs w:val="22"/>
                <w:highlight w:val="none"/>
              </w:rPr>
              <w:t>10分</w:t>
            </w:r>
            <w:r>
              <w:rPr>
                <w:rFonts w:ascii="宋体" w:hAnsi="宋体" w:cs="新宋体"/>
                <w:sz w:val="22"/>
                <w:szCs w:val="22"/>
                <w:highlight w:val="none"/>
              </w:rPr>
              <w:t>）</w:t>
            </w:r>
          </w:p>
        </w:tc>
        <w:tc>
          <w:tcPr>
            <w:tcW w:w="956"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10-9</w:t>
            </w:r>
          </w:p>
        </w:tc>
        <w:tc>
          <w:tcPr>
            <w:tcW w:w="770"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8-7</w:t>
            </w:r>
          </w:p>
        </w:tc>
        <w:tc>
          <w:tcPr>
            <w:tcW w:w="863" w:type="dxa"/>
            <w:gridSpan w:val="2"/>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gridSpan w:val="2"/>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6-5</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&lt;5</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安全</w:t>
            </w:r>
            <w:r>
              <w:rPr>
                <w:rFonts w:ascii="宋体" w:hAnsi="宋体" w:cs="新宋体"/>
                <w:sz w:val="22"/>
                <w:szCs w:val="22"/>
                <w:highlight w:val="none"/>
              </w:rPr>
              <w:t>措施（</w:t>
            </w:r>
            <w:r>
              <w:rPr>
                <w:rFonts w:hint="eastAsia" w:ascii="宋体" w:hAnsi="宋体" w:cs="新宋体"/>
                <w:sz w:val="22"/>
                <w:szCs w:val="22"/>
                <w:highlight w:val="none"/>
              </w:rPr>
              <w:t>10分</w:t>
            </w:r>
            <w:r>
              <w:rPr>
                <w:rFonts w:ascii="宋体" w:hAnsi="宋体" w:cs="新宋体"/>
                <w:sz w:val="22"/>
                <w:szCs w:val="22"/>
                <w:highlight w:val="none"/>
              </w:rPr>
              <w:t>）</w:t>
            </w:r>
          </w:p>
        </w:tc>
        <w:tc>
          <w:tcPr>
            <w:tcW w:w="956"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10-9</w:t>
            </w:r>
          </w:p>
        </w:tc>
        <w:tc>
          <w:tcPr>
            <w:tcW w:w="770"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8-7</w:t>
            </w:r>
          </w:p>
        </w:tc>
        <w:tc>
          <w:tcPr>
            <w:tcW w:w="863" w:type="dxa"/>
            <w:gridSpan w:val="2"/>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gridSpan w:val="2"/>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6-5</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&lt;5</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合计</w:t>
            </w:r>
            <w:r>
              <w:rPr>
                <w:rFonts w:ascii="宋体" w:hAnsi="宋体" w:cs="新宋体"/>
                <w:sz w:val="22"/>
                <w:szCs w:val="22"/>
                <w:highlight w:val="none"/>
              </w:rPr>
              <w:t>得分</w:t>
            </w:r>
          </w:p>
        </w:tc>
        <w:tc>
          <w:tcPr>
            <w:tcW w:w="6904" w:type="dxa"/>
            <w:gridSpan w:val="10"/>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1" w:type="dxa"/>
            <w:gridSpan w:val="12"/>
            <w:noWrap w:val="0"/>
            <w:vAlign w:val="center"/>
          </w:tcPr>
          <w:p>
            <w:pPr>
              <w:spacing w:after="0" w:line="360" w:lineRule="exact"/>
              <w:jc w:val="left"/>
              <w:rPr>
                <w:rFonts w:ascii="宋体" w:hAnsi="宋体" w:cs="新宋体"/>
                <w:sz w:val="22"/>
                <w:szCs w:val="22"/>
                <w:highlight w:val="none"/>
              </w:rPr>
            </w:pPr>
            <w:r>
              <w:rPr>
                <w:rFonts w:hint="eastAsia" w:ascii="宋体" w:hAnsi="宋体" w:cs="新宋体"/>
                <w:sz w:val="22"/>
                <w:szCs w:val="22"/>
                <w:highlight w:val="none"/>
              </w:rPr>
              <w:t>对本次疗休养的整体评价及建议：</w:t>
            </w:r>
          </w:p>
          <w:p>
            <w:pPr>
              <w:spacing w:after="0" w:line="360" w:lineRule="exact"/>
              <w:jc w:val="center"/>
              <w:rPr>
                <w:rFonts w:ascii="宋体" w:hAnsi="宋体" w:cs="新宋体"/>
                <w:sz w:val="22"/>
                <w:szCs w:val="22"/>
                <w:highlight w:val="none"/>
              </w:rPr>
            </w:pPr>
          </w:p>
          <w:p>
            <w:pPr>
              <w:spacing w:after="0" w:line="360" w:lineRule="exact"/>
              <w:jc w:val="center"/>
              <w:rPr>
                <w:rFonts w:ascii="宋体" w:hAnsi="宋体" w:cs="新宋体"/>
                <w:sz w:val="22"/>
                <w:szCs w:val="22"/>
                <w:highlight w:val="none"/>
              </w:rPr>
            </w:pPr>
          </w:p>
          <w:p>
            <w:pPr>
              <w:spacing w:after="0" w:line="360" w:lineRule="exact"/>
              <w:jc w:val="center"/>
              <w:rPr>
                <w:rFonts w:ascii="宋体" w:hAnsi="宋体" w:cs="新宋体"/>
                <w:sz w:val="22"/>
                <w:szCs w:val="22"/>
                <w:highlight w:val="none"/>
              </w:rPr>
            </w:pPr>
          </w:p>
          <w:p>
            <w:pPr>
              <w:spacing w:after="0" w:line="360" w:lineRule="exact"/>
              <w:jc w:val="center"/>
              <w:rPr>
                <w:rFonts w:ascii="宋体" w:hAnsi="宋体" w:cs="新宋体"/>
                <w:sz w:val="22"/>
                <w:szCs w:val="22"/>
                <w:highlight w:val="none"/>
              </w:rPr>
            </w:pPr>
            <w:r>
              <w:rPr>
                <w:rFonts w:hint="eastAsia" w:ascii="宋体" w:hAnsi="宋体" w:cs="新宋体"/>
                <w:sz w:val="22"/>
                <w:szCs w:val="22"/>
                <w:highlight w:val="none"/>
              </w:rPr>
              <w:t>签名</w:t>
            </w:r>
            <w:r>
              <w:rPr>
                <w:rFonts w:ascii="宋体" w:hAnsi="宋体" w:cs="新宋体"/>
                <w:sz w:val="22"/>
                <w:szCs w:val="22"/>
                <w:highlight w:val="none"/>
              </w:rPr>
              <w:t>：</w:t>
            </w:r>
            <w:r>
              <w:rPr>
                <w:rFonts w:hint="eastAsia" w:ascii="宋体" w:hAnsi="宋体" w:cs="新宋体"/>
                <w:sz w:val="22"/>
                <w:szCs w:val="22"/>
                <w:highlight w:val="none"/>
              </w:rPr>
              <w:t xml:space="preserve"> </w:t>
            </w:r>
            <w:r>
              <w:rPr>
                <w:rFonts w:ascii="宋体" w:hAnsi="宋体" w:cs="新宋体"/>
                <w:sz w:val="22"/>
                <w:szCs w:val="22"/>
                <w:highlight w:val="none"/>
              </w:rPr>
              <w:t xml:space="preserve">      </w:t>
            </w:r>
            <w:r>
              <w:rPr>
                <w:rFonts w:hint="eastAsia" w:ascii="宋体" w:hAnsi="宋体" w:cs="新宋体"/>
                <w:sz w:val="22"/>
                <w:szCs w:val="22"/>
                <w:highlight w:val="none"/>
              </w:rPr>
              <w:t xml:space="preserve">   联系</w:t>
            </w:r>
            <w:r>
              <w:rPr>
                <w:rFonts w:ascii="宋体" w:hAnsi="宋体" w:cs="新宋体"/>
                <w:sz w:val="22"/>
                <w:szCs w:val="22"/>
                <w:highlight w:val="none"/>
              </w:rPr>
              <w:t>电话</w:t>
            </w:r>
          </w:p>
          <w:p>
            <w:pPr>
              <w:spacing w:after="0" w:line="360" w:lineRule="exact"/>
              <w:jc w:val="right"/>
              <w:rPr>
                <w:rFonts w:hint="eastAsia" w:ascii="宋体" w:hAnsi="宋体" w:cs="新宋体"/>
                <w:sz w:val="22"/>
                <w:szCs w:val="22"/>
                <w:highlight w:val="none"/>
              </w:rPr>
            </w:pPr>
            <w:r>
              <w:rPr>
                <w:rFonts w:hint="eastAsia" w:ascii="宋体" w:hAnsi="宋体" w:cs="新宋体"/>
                <w:sz w:val="22"/>
                <w:szCs w:val="22"/>
                <w:highlight w:val="none"/>
              </w:rPr>
              <w:t xml:space="preserve">年  </w:t>
            </w:r>
            <w:r>
              <w:rPr>
                <w:rFonts w:ascii="宋体" w:hAnsi="宋体" w:cs="新宋体"/>
                <w:sz w:val="22"/>
                <w:szCs w:val="22"/>
                <w:highlight w:val="none"/>
              </w:rPr>
              <w:t xml:space="preserve">  </w:t>
            </w:r>
            <w:r>
              <w:rPr>
                <w:rFonts w:hint="eastAsia" w:ascii="宋体" w:hAnsi="宋体" w:cs="新宋体"/>
                <w:sz w:val="22"/>
                <w:szCs w:val="22"/>
                <w:highlight w:val="none"/>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1" w:type="dxa"/>
            <w:gridSpan w:val="12"/>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备注</w:t>
            </w:r>
            <w:r>
              <w:rPr>
                <w:rFonts w:ascii="宋体" w:hAnsi="宋体" w:cs="新宋体"/>
                <w:sz w:val="22"/>
                <w:szCs w:val="22"/>
                <w:highlight w:val="none"/>
              </w:rPr>
              <w:t>：</w:t>
            </w:r>
            <w:r>
              <w:rPr>
                <w:rFonts w:hint="eastAsia" w:ascii="宋体" w:hAnsi="宋体" w:cs="新宋体"/>
                <w:sz w:val="22"/>
                <w:szCs w:val="22"/>
                <w:highlight w:val="none"/>
              </w:rPr>
              <w:t>此</w:t>
            </w:r>
            <w:r>
              <w:rPr>
                <w:rFonts w:ascii="宋体" w:hAnsi="宋体" w:cs="新宋体"/>
                <w:sz w:val="22"/>
                <w:szCs w:val="22"/>
                <w:highlight w:val="none"/>
              </w:rPr>
              <w:t>表作为对疗休养服务单位的评价依据，每批次疗休养完成后组织测评。得分85</w:t>
            </w:r>
            <w:r>
              <w:rPr>
                <w:rFonts w:hint="eastAsia" w:ascii="宋体" w:hAnsi="宋体" w:cs="新宋体"/>
                <w:sz w:val="22"/>
                <w:szCs w:val="22"/>
                <w:highlight w:val="none"/>
              </w:rPr>
              <w:t>分</w:t>
            </w:r>
            <w:r>
              <w:rPr>
                <w:rFonts w:ascii="宋体" w:hAnsi="宋体" w:cs="新宋体"/>
                <w:sz w:val="22"/>
                <w:szCs w:val="22"/>
                <w:highlight w:val="none"/>
              </w:rPr>
              <w:t>（</w:t>
            </w:r>
            <w:r>
              <w:rPr>
                <w:rFonts w:hint="eastAsia" w:ascii="宋体" w:hAnsi="宋体" w:cs="新宋体"/>
                <w:sz w:val="22"/>
                <w:szCs w:val="22"/>
                <w:highlight w:val="none"/>
              </w:rPr>
              <w:t>含</w:t>
            </w:r>
            <w:r>
              <w:rPr>
                <w:rFonts w:ascii="宋体" w:hAnsi="宋体" w:cs="新宋体"/>
                <w:sz w:val="22"/>
                <w:szCs w:val="22"/>
                <w:highlight w:val="none"/>
              </w:rPr>
              <w:t>）</w:t>
            </w:r>
            <w:r>
              <w:rPr>
                <w:rFonts w:hint="eastAsia" w:ascii="宋体" w:hAnsi="宋体" w:cs="新宋体"/>
                <w:sz w:val="22"/>
                <w:szCs w:val="22"/>
                <w:highlight w:val="none"/>
              </w:rPr>
              <w:t>以上</w:t>
            </w:r>
            <w:r>
              <w:rPr>
                <w:rFonts w:ascii="宋体" w:hAnsi="宋体" w:cs="新宋体"/>
                <w:sz w:val="22"/>
                <w:szCs w:val="22"/>
                <w:highlight w:val="none"/>
              </w:rPr>
              <w:t>为满意，70</w:t>
            </w:r>
            <w:r>
              <w:rPr>
                <w:rFonts w:hint="eastAsia" w:ascii="宋体" w:hAnsi="宋体" w:cs="新宋体"/>
                <w:sz w:val="22"/>
                <w:szCs w:val="22"/>
                <w:highlight w:val="none"/>
              </w:rPr>
              <w:t>分</w:t>
            </w:r>
            <w:r>
              <w:rPr>
                <w:rFonts w:ascii="宋体" w:hAnsi="宋体" w:cs="新宋体"/>
                <w:sz w:val="22"/>
                <w:szCs w:val="22"/>
                <w:highlight w:val="none"/>
              </w:rPr>
              <w:t>（</w:t>
            </w:r>
            <w:r>
              <w:rPr>
                <w:rFonts w:hint="eastAsia" w:ascii="宋体" w:hAnsi="宋体" w:cs="新宋体"/>
                <w:sz w:val="22"/>
                <w:szCs w:val="22"/>
                <w:highlight w:val="none"/>
              </w:rPr>
              <w:t>含</w:t>
            </w:r>
            <w:r>
              <w:rPr>
                <w:rFonts w:ascii="宋体" w:hAnsi="宋体" w:cs="新宋体"/>
                <w:sz w:val="22"/>
                <w:szCs w:val="22"/>
                <w:highlight w:val="none"/>
              </w:rPr>
              <w:t>）</w:t>
            </w:r>
            <w:r>
              <w:rPr>
                <w:rFonts w:hint="eastAsia" w:ascii="宋体" w:hAnsi="宋体" w:cs="新宋体"/>
                <w:sz w:val="22"/>
                <w:szCs w:val="22"/>
                <w:highlight w:val="none"/>
              </w:rPr>
              <w:t>-</w:t>
            </w:r>
            <w:r>
              <w:rPr>
                <w:rFonts w:ascii="宋体" w:hAnsi="宋体" w:cs="新宋体"/>
                <w:sz w:val="22"/>
                <w:szCs w:val="22"/>
                <w:highlight w:val="none"/>
              </w:rPr>
              <w:t>85</w:t>
            </w:r>
            <w:r>
              <w:rPr>
                <w:rFonts w:hint="eastAsia" w:ascii="宋体" w:hAnsi="宋体" w:cs="新宋体"/>
                <w:sz w:val="22"/>
                <w:szCs w:val="22"/>
                <w:highlight w:val="none"/>
              </w:rPr>
              <w:t>分</w:t>
            </w:r>
            <w:r>
              <w:rPr>
                <w:rFonts w:ascii="宋体" w:hAnsi="宋体" w:cs="新宋体"/>
                <w:sz w:val="22"/>
                <w:szCs w:val="22"/>
                <w:highlight w:val="none"/>
              </w:rPr>
              <w:t>为合格，70</w:t>
            </w:r>
            <w:r>
              <w:rPr>
                <w:rFonts w:hint="eastAsia" w:ascii="宋体" w:hAnsi="宋体" w:cs="新宋体"/>
                <w:sz w:val="22"/>
                <w:szCs w:val="22"/>
                <w:highlight w:val="none"/>
              </w:rPr>
              <w:t>分以</w:t>
            </w:r>
            <w:r>
              <w:rPr>
                <w:rFonts w:ascii="宋体" w:hAnsi="宋体" w:cs="新宋体"/>
                <w:sz w:val="22"/>
                <w:szCs w:val="22"/>
                <w:highlight w:val="none"/>
              </w:rPr>
              <w:t>下为不合格。合同期</w:t>
            </w:r>
            <w:r>
              <w:rPr>
                <w:rFonts w:hint="eastAsia" w:ascii="宋体" w:hAnsi="宋体" w:cs="新宋体"/>
                <w:sz w:val="22"/>
                <w:szCs w:val="22"/>
                <w:highlight w:val="none"/>
              </w:rPr>
              <w:t>内</w:t>
            </w:r>
            <w:r>
              <w:rPr>
                <w:rFonts w:ascii="宋体" w:hAnsi="宋体" w:cs="新宋体"/>
                <w:sz w:val="22"/>
                <w:szCs w:val="22"/>
                <w:highlight w:val="none"/>
              </w:rPr>
              <w:t>不合格数量达到</w:t>
            </w:r>
            <w:r>
              <w:rPr>
                <w:rFonts w:hint="eastAsia" w:ascii="宋体" w:hAnsi="宋体" w:cs="新宋体"/>
                <w:sz w:val="22"/>
                <w:szCs w:val="22"/>
                <w:highlight w:val="none"/>
              </w:rPr>
              <w:t>3次</w:t>
            </w:r>
            <w:r>
              <w:rPr>
                <w:rFonts w:ascii="宋体" w:hAnsi="宋体" w:cs="新宋体"/>
                <w:sz w:val="22"/>
                <w:szCs w:val="22"/>
                <w:highlight w:val="none"/>
              </w:rPr>
              <w:t>及以上，采购人有权解除合同。</w:t>
            </w:r>
          </w:p>
        </w:tc>
      </w:tr>
    </w:tbl>
    <w:p>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pPr>
        <w:tabs>
          <w:tab w:val="left" w:pos="4286"/>
        </w:tabs>
        <w:spacing w:line="400" w:lineRule="exact"/>
        <w:jc w:val="center"/>
        <w:outlineLvl w:val="0"/>
        <w:rPr>
          <w:rFonts w:hint="eastAsia" w:ascii="宋体" w:hAnsi="宋体" w:eastAsia="宋体" w:cs="宋体"/>
          <w:b/>
          <w:color w:val="auto"/>
          <w:sz w:val="32"/>
          <w:highlight w:val="none"/>
        </w:rPr>
      </w:pPr>
      <w:bookmarkStart w:id="15" w:name="_Toc10595"/>
      <w:r>
        <w:rPr>
          <w:rFonts w:hint="eastAsia" w:ascii="宋体" w:hAnsi="宋体" w:eastAsia="宋体" w:cs="宋体"/>
          <w:b/>
          <w:color w:val="auto"/>
          <w:sz w:val="32"/>
          <w:highlight w:val="none"/>
        </w:rPr>
        <w:t>第四部分</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附件</w:t>
      </w:r>
      <w:bookmarkEnd w:id="15"/>
    </w:p>
    <w:p>
      <w:pPr>
        <w:snapToGrid w:val="0"/>
        <w:spacing w:beforeLines="50" w:after="50"/>
        <w:jc w:val="center"/>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一、报价文件部分格式</w:t>
      </w:r>
    </w:p>
    <w:p>
      <w:pPr>
        <w:snapToGrid w:val="0"/>
        <w:spacing w:before="50" w:afterLines="50"/>
        <w:jc w:val="left"/>
        <w:outlineLvl w:val="9"/>
        <w:rPr>
          <w:rFonts w:hint="eastAsia" w:ascii="宋体" w:hAnsi="宋体" w:eastAsia="宋体" w:cs="宋体"/>
          <w:b/>
          <w:color w:val="auto"/>
          <w:sz w:val="24"/>
          <w:highlight w:val="none"/>
        </w:rPr>
      </w:pPr>
    </w:p>
    <w:p>
      <w:pPr>
        <w:snapToGrid w:val="0"/>
        <w:spacing w:before="50" w:afterLines="50"/>
        <w:jc w:val="left"/>
        <w:outlineLvl w:val="9"/>
        <w:rPr>
          <w:rFonts w:hint="eastAsia" w:ascii="宋体" w:hAnsi="宋体" w:eastAsia="宋体" w:cs="宋体"/>
          <w:b/>
          <w:color w:val="auto"/>
          <w:sz w:val="24"/>
          <w:highlight w:val="none"/>
        </w:rPr>
      </w:pPr>
    </w:p>
    <w:p>
      <w:pPr>
        <w:snapToGrid w:val="0"/>
        <w:spacing w:before="50" w:afterLines="50"/>
        <w:jc w:val="left"/>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highlight w:val="none"/>
        </w:rPr>
        <w:t>投标报价文件封面格式：</w:t>
      </w:r>
    </w:p>
    <w:p>
      <w:pPr>
        <w:pStyle w:val="14"/>
        <w:ind w:left="0" w:leftChars="0" w:right="1470"/>
        <w:outlineLvl w:val="9"/>
        <w:rPr>
          <w:rFonts w:hint="eastAsia" w:ascii="宋体" w:hAnsi="宋体" w:eastAsia="宋体" w:cs="宋体"/>
          <w:b/>
          <w:color w:val="auto"/>
          <w:sz w:val="24"/>
          <w:szCs w:val="24"/>
          <w:highlight w:val="none"/>
        </w:rPr>
      </w:pPr>
    </w:p>
    <w:p>
      <w:pPr>
        <w:snapToGrid w:val="0"/>
        <w:spacing w:line="400" w:lineRule="exact"/>
        <w:jc w:val="center"/>
        <w:outlineLvl w:val="9"/>
        <w:rPr>
          <w:rFonts w:hint="eastAsia" w:ascii="宋体" w:hAnsi="宋体" w:eastAsia="宋体" w:cs="宋体"/>
          <w:b/>
          <w:bCs/>
          <w:color w:val="auto"/>
          <w:sz w:val="24"/>
          <w:szCs w:val="20"/>
          <w:highlight w:val="none"/>
        </w:rPr>
      </w:pPr>
    </w:p>
    <w:p>
      <w:pPr>
        <w:snapToGrid w:val="0"/>
        <w:spacing w:line="400" w:lineRule="exact"/>
        <w:jc w:val="center"/>
        <w:outlineLvl w:val="9"/>
        <w:rPr>
          <w:rFonts w:hint="eastAsia" w:ascii="宋体" w:hAnsi="宋体" w:eastAsia="宋体" w:cs="宋体"/>
          <w:bCs/>
          <w:color w:val="auto"/>
          <w:sz w:val="24"/>
          <w:szCs w:val="20"/>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4" name="文本框 4"/>
                <wp:cNvGraphicFramePr/>
                <a:graphic xmlns:a="http://schemas.openxmlformats.org/drawingml/2006/main">
                  <a:graphicData uri="http://schemas.microsoft.com/office/word/2010/wordprocessingShape">
                    <wps:wsp>
                      <wps:cNvSpPr txBox="1">
                        <a:spLocks noRot="1"/>
                      </wps:cNvSpPr>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Lines="50" w:after="50"/>
                              <w:ind w:left="-850" w:leftChars="-405"/>
                              <w:rPr>
                                <w:rFonts w:ascii="宋体" w:hAnsi="宋体"/>
                                <w:sz w:val="24"/>
                                <w:szCs w:val="20"/>
                              </w:rPr>
                            </w:pPr>
                          </w:p>
                          <w:p>
                            <w:pPr>
                              <w:pStyle w:val="30"/>
                              <w:ind w:hanging="480"/>
                            </w:pPr>
                          </w:p>
                          <w:p>
                            <w:pPr>
                              <w:snapToGrid w:val="0"/>
                              <w:spacing w:beforeLines="50" w:after="50"/>
                              <w:jc w:val="center"/>
                              <w:rPr>
                                <w:rFonts w:ascii="宋体" w:hAnsi="宋体"/>
                                <w:bCs/>
                                <w:sz w:val="24"/>
                                <w:szCs w:val="20"/>
                              </w:rPr>
                            </w:pPr>
                            <w:r>
                              <w:rPr>
                                <w:rFonts w:hint="eastAsia" w:ascii="宋体" w:hAnsi="宋体"/>
                                <w:bCs/>
                                <w:sz w:val="24"/>
                                <w:szCs w:val="20"/>
                              </w:rPr>
                              <w:t>投标报价文件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lang w:eastAsia="zh-CN"/>
                              </w:rPr>
                              <w:t>标项名称</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投标人名称（电子签章）：</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xbxContent>
                      </wps:txbx>
                      <wps:bodyPr upright="1"/>
                    </wps:wsp>
                  </a:graphicData>
                </a:graphic>
              </wp:anchor>
            </w:drawing>
          </mc:Choice>
          <mc:Fallback>
            <w:pict>
              <v:shape id="_x0000_s1026" o:spid="_x0000_s1026" o:spt="202" type="#_x0000_t202" style="position:absolute;left:0pt;margin-left:30.7pt;margin-top:16pt;height:263.35pt;width:399.75pt;mso-wrap-distance-bottom:0pt;mso-wrap-distance-top:0pt;z-index:251661312;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zosQ3&#10;2QAAAAkBAAAPAAAAAAAAAAEAIAAAACIAAABkcnMvZG93bnJldi54bWxQSwECFAAUAAAACACHTuJA&#10;qi066yACAABoBAAADgAAAAAAAAABACAAAAAoAQAAZHJzL2Uyb0RvYy54bWxQSwUGAAAAAAYABgBZ&#10;AQAAugUAAAAA&#10;">
                <v:fill on="t" focussize="0,0"/>
                <v:stroke color="#000000" joinstyle="miter"/>
                <v:imagedata o:title=""/>
                <o:lock v:ext="edit" rotation="t" aspectratio="f"/>
                <v:textbox>
                  <w:txbxContent>
                    <w:p>
                      <w:pPr>
                        <w:snapToGrid w:val="0"/>
                        <w:spacing w:beforeLines="50" w:after="50"/>
                        <w:ind w:left="-850" w:leftChars="-405"/>
                        <w:rPr>
                          <w:rFonts w:ascii="宋体" w:hAnsi="宋体"/>
                          <w:sz w:val="24"/>
                          <w:szCs w:val="20"/>
                        </w:rPr>
                      </w:pPr>
                    </w:p>
                    <w:p>
                      <w:pPr>
                        <w:pStyle w:val="30"/>
                        <w:ind w:hanging="480"/>
                      </w:pPr>
                    </w:p>
                    <w:p>
                      <w:pPr>
                        <w:snapToGrid w:val="0"/>
                        <w:spacing w:beforeLines="50" w:after="50"/>
                        <w:jc w:val="center"/>
                        <w:rPr>
                          <w:rFonts w:ascii="宋体" w:hAnsi="宋体"/>
                          <w:bCs/>
                          <w:sz w:val="24"/>
                          <w:szCs w:val="20"/>
                        </w:rPr>
                      </w:pPr>
                      <w:r>
                        <w:rPr>
                          <w:rFonts w:hint="eastAsia" w:ascii="宋体" w:hAnsi="宋体"/>
                          <w:bCs/>
                          <w:sz w:val="24"/>
                          <w:szCs w:val="20"/>
                        </w:rPr>
                        <w:t>投标报价文件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lang w:eastAsia="zh-CN"/>
                        </w:rPr>
                        <w:t>标项名称</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投标人名称（电子签章）：</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xbxContent>
                </v:textbox>
                <w10:wrap type="topAndBottom"/>
              </v:shape>
            </w:pict>
          </mc:Fallback>
        </mc:AlternateContent>
      </w:r>
    </w:p>
    <w:p>
      <w:pPr>
        <w:snapToGrid w:val="0"/>
        <w:spacing w:line="400" w:lineRule="exact"/>
        <w:jc w:val="both"/>
        <w:outlineLvl w:val="9"/>
        <w:rPr>
          <w:rFonts w:hint="eastAsia" w:ascii="宋体" w:hAnsi="宋体" w:eastAsia="宋体" w:cs="宋体"/>
          <w:b/>
          <w:color w:val="auto"/>
          <w:sz w:val="24"/>
          <w:highlight w:val="none"/>
        </w:rPr>
      </w:pPr>
      <w:r>
        <w:rPr>
          <w:rFonts w:hint="eastAsia" w:ascii="宋体" w:hAnsi="宋体" w:eastAsia="宋体" w:cs="宋体"/>
          <w:bCs/>
          <w:color w:val="auto"/>
          <w:sz w:val="24"/>
          <w:szCs w:val="20"/>
          <w:highlight w:val="none"/>
        </w:rPr>
        <w:br w:type="page"/>
      </w:r>
    </w:p>
    <w:p>
      <w:pPr>
        <w:spacing w:line="40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w:t>
      </w:r>
    </w:p>
    <w:p>
      <w:pPr>
        <w:spacing w:line="400" w:lineRule="exact"/>
        <w:jc w:val="center"/>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开标一览表</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标项1</w:t>
      </w:r>
      <w:r>
        <w:rPr>
          <w:rFonts w:hint="eastAsia" w:ascii="宋体" w:hAnsi="宋体" w:eastAsia="宋体" w:cs="宋体"/>
          <w:b/>
          <w:color w:val="auto"/>
          <w:sz w:val="24"/>
          <w:szCs w:val="24"/>
          <w:highlight w:val="none"/>
          <w:lang w:eastAsia="zh-CN"/>
        </w:rPr>
        <w:t>）</w:t>
      </w:r>
    </w:p>
    <w:p>
      <w:pPr>
        <w:spacing w:line="360" w:lineRule="exact"/>
        <w:outlineLvl w:val="9"/>
        <w:rPr>
          <w:rFonts w:hint="eastAsia" w:ascii="宋体" w:hAnsi="宋体" w:eastAsia="宋体" w:cs="宋体"/>
          <w:color w:val="auto"/>
          <w:sz w:val="22"/>
          <w:highlight w:val="none"/>
        </w:rPr>
      </w:pPr>
    </w:p>
    <w:p>
      <w:pPr>
        <w:spacing w:line="400" w:lineRule="exact"/>
        <w:jc w:val="righ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单位：人民币（元）</w:t>
      </w:r>
    </w:p>
    <w:tbl>
      <w:tblPr>
        <w:tblStyle w:val="31"/>
        <w:tblW w:w="9901"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573"/>
        <w:gridCol w:w="3637"/>
        <w:gridCol w:w="2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疗休养</w:t>
            </w:r>
            <w:r>
              <w:rPr>
                <w:rFonts w:hint="eastAsia" w:ascii="宋体" w:hAnsi="宋体" w:cs="宋体"/>
                <w:b/>
                <w:color w:val="auto"/>
                <w:sz w:val="22"/>
                <w:szCs w:val="22"/>
                <w:highlight w:val="none"/>
                <w:lang w:eastAsia="zh-CN"/>
              </w:rPr>
              <w:t>路线</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投标</w:t>
            </w:r>
            <w:r>
              <w:rPr>
                <w:rFonts w:hint="eastAsia" w:ascii="宋体" w:hAnsi="宋体" w:eastAsia="宋体" w:cs="宋体"/>
                <w:b/>
                <w:color w:val="auto"/>
                <w:sz w:val="22"/>
                <w:szCs w:val="22"/>
                <w:highlight w:val="none"/>
              </w:rPr>
              <w:t>报价（单位：元/人）</w:t>
            </w:r>
          </w:p>
        </w:tc>
        <w:tc>
          <w:tcPr>
            <w:tcW w:w="2875"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lang w:eastAsia="zh-CN"/>
              </w:rPr>
            </w:pPr>
            <w:r>
              <w:rPr>
                <w:rFonts w:hint="eastAsia" w:ascii="宋体" w:hAnsi="宋体" w:cs="宋体"/>
                <w:sz w:val="22"/>
                <w:highlight w:val="none"/>
              </w:rPr>
              <w:t>温州市域线</w:t>
            </w:r>
            <w:r>
              <w:rPr>
                <w:rFonts w:hint="eastAsia" w:ascii="宋体" w:hAnsi="宋体" w:cs="宋体"/>
                <w:sz w:val="22"/>
                <w:highlight w:val="none"/>
                <w:lang w:eastAsia="zh-CN"/>
              </w:rPr>
              <w:t>、</w:t>
            </w:r>
            <w:r>
              <w:rPr>
                <w:rFonts w:hint="eastAsia" w:ascii="宋体" w:hAnsi="宋体" w:cs="宋体"/>
                <w:bCs/>
                <w:kern w:val="0"/>
                <w:sz w:val="22"/>
                <w:highlight w:val="none"/>
              </w:rPr>
              <w:t>浙江省内</w:t>
            </w:r>
            <w:r>
              <w:rPr>
                <w:rFonts w:hint="eastAsia" w:ascii="宋体" w:hAnsi="宋体" w:cs="宋体"/>
                <w:sz w:val="22"/>
                <w:highlight w:val="none"/>
              </w:rPr>
              <w:t>疗休养合作城市</w:t>
            </w:r>
            <w:r>
              <w:rPr>
                <w:rFonts w:hint="eastAsia" w:ascii="宋体" w:hAnsi="宋体" w:cs="宋体"/>
                <w:sz w:val="22"/>
                <w:highlight w:val="none"/>
                <w:lang w:eastAsia="zh-CN"/>
              </w:rPr>
              <w:t>、</w:t>
            </w:r>
            <w:r>
              <w:rPr>
                <w:rFonts w:hint="eastAsia" w:ascii="宋体" w:hAnsi="宋体" w:cs="宋体"/>
                <w:sz w:val="22"/>
                <w:highlight w:val="none"/>
              </w:rPr>
              <w:t>周边省市</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大写：人民币叁仟元整每人</w:t>
            </w:r>
          </w:p>
          <w:p>
            <w:pPr>
              <w:spacing w:after="0"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小写：￥3000元/人</w:t>
            </w:r>
          </w:p>
        </w:tc>
        <w:tc>
          <w:tcPr>
            <w:tcW w:w="2875"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left"/>
              <w:outlineLvl w:val="9"/>
              <w:rPr>
                <w:rFonts w:hint="eastAsia" w:ascii="宋体" w:hAnsi="宋体" w:cs="宋体"/>
                <w:sz w:val="22"/>
                <w:highlight w:val="none"/>
                <w:lang w:eastAsia="zh-CN"/>
              </w:rPr>
            </w:pPr>
            <w:r>
              <w:rPr>
                <w:rFonts w:hint="eastAsia" w:ascii="宋体" w:hAnsi="宋体" w:cs="宋体"/>
                <w:sz w:val="22"/>
                <w:highlight w:val="none"/>
              </w:rPr>
              <w:t>温州市域5日</w:t>
            </w:r>
            <w:r>
              <w:rPr>
                <w:rFonts w:hint="eastAsia" w:ascii="宋体" w:hAnsi="宋体" w:cs="宋体"/>
                <w:sz w:val="22"/>
                <w:highlight w:val="none"/>
                <w:lang w:eastAsia="zh-CN"/>
              </w:rPr>
              <w:t>；</w:t>
            </w:r>
          </w:p>
          <w:p>
            <w:pPr>
              <w:spacing w:after="0" w:line="240" w:lineRule="auto"/>
              <w:jc w:val="left"/>
              <w:outlineLvl w:val="9"/>
              <w:rPr>
                <w:rFonts w:hint="eastAsia" w:ascii="宋体" w:hAnsi="宋体" w:eastAsia="宋体" w:cs="宋体"/>
                <w:bCs/>
                <w:color w:val="auto"/>
                <w:sz w:val="22"/>
                <w:szCs w:val="22"/>
                <w:highlight w:val="none"/>
                <w:lang w:eastAsia="zh-CN"/>
              </w:rPr>
            </w:pPr>
            <w:r>
              <w:rPr>
                <w:rFonts w:hint="eastAsia" w:ascii="宋体" w:hAnsi="宋体" w:cs="宋体"/>
                <w:sz w:val="22"/>
                <w:highlight w:val="none"/>
              </w:rPr>
              <w:t>丽水、金华</w:t>
            </w:r>
            <w:r>
              <w:rPr>
                <w:rFonts w:hint="eastAsia" w:ascii="宋体" w:hAnsi="宋体" w:cs="宋体"/>
                <w:sz w:val="22"/>
                <w:highlight w:val="none"/>
                <w:lang w:eastAsia="zh-CN"/>
              </w:rPr>
              <w:t>、</w:t>
            </w:r>
            <w:r>
              <w:rPr>
                <w:rFonts w:hint="eastAsia" w:ascii="宋体" w:hAnsi="宋体" w:cs="宋体"/>
                <w:sz w:val="22"/>
                <w:highlight w:val="none"/>
              </w:rPr>
              <w:t>杭州、衢州市动车5日</w:t>
            </w:r>
            <w:r>
              <w:rPr>
                <w:rFonts w:hint="eastAsia" w:ascii="宋体" w:hAnsi="宋体" w:cs="宋体"/>
                <w:sz w:val="22"/>
                <w:highlight w:val="none"/>
                <w:lang w:eastAsia="zh-CN"/>
              </w:rPr>
              <w:t>；</w:t>
            </w:r>
            <w:r>
              <w:rPr>
                <w:rFonts w:hint="eastAsia" w:ascii="宋体" w:hAnsi="宋体" w:cs="宋体"/>
                <w:sz w:val="22"/>
                <w:highlight w:val="none"/>
                <w:lang w:val="en-US" w:eastAsia="zh-CN"/>
              </w:rPr>
              <w:t>安徽动车5日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cs="宋体"/>
                <w:sz w:val="22"/>
                <w:highlight w:val="none"/>
              </w:rPr>
            </w:pPr>
            <w:r>
              <w:rPr>
                <w:rFonts w:hint="eastAsia" w:ascii="宋体" w:hAnsi="宋体" w:cs="宋体"/>
                <w:sz w:val="22"/>
                <w:highlight w:val="none"/>
              </w:rPr>
              <w:t>对口援建城市</w:t>
            </w:r>
          </w:p>
          <w:p>
            <w:pPr>
              <w:spacing w:after="0" w:line="240" w:lineRule="auto"/>
              <w:jc w:val="center"/>
              <w:outlineLvl w:val="9"/>
              <w:rPr>
                <w:rFonts w:hint="eastAsia" w:ascii="宋体" w:hAnsi="宋体" w:eastAsia="宋体" w:cs="宋体"/>
                <w:bCs/>
                <w:color w:val="auto"/>
                <w:sz w:val="22"/>
                <w:szCs w:val="22"/>
                <w:highlight w:val="none"/>
                <w:lang w:eastAsia="zh-CN"/>
              </w:rPr>
            </w:pPr>
            <w:r>
              <w:rPr>
                <w:rFonts w:hint="eastAsia" w:ascii="宋体" w:hAnsi="宋体" w:cs="宋体"/>
                <w:sz w:val="22"/>
                <w:highlight w:val="none"/>
                <w:lang w:eastAsia="zh-CN"/>
              </w:rPr>
              <w:t>（</w:t>
            </w:r>
            <w:r>
              <w:rPr>
                <w:rFonts w:hint="eastAsia" w:ascii="宋体" w:hAnsi="宋体" w:cs="宋体"/>
                <w:sz w:val="22"/>
                <w:highlight w:val="none"/>
              </w:rPr>
              <w:t>重庆双飞6日</w:t>
            </w:r>
            <w:r>
              <w:rPr>
                <w:rFonts w:hint="eastAsia" w:ascii="宋体" w:hAnsi="宋体" w:cs="宋体"/>
                <w:sz w:val="22"/>
                <w:highlight w:val="none"/>
                <w:lang w:eastAsia="zh-CN"/>
              </w:rPr>
              <w:t>）</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大写：人民币</w:t>
            </w:r>
            <w:r>
              <w:rPr>
                <w:rFonts w:hint="eastAsia" w:ascii="宋体" w:hAnsi="宋体" w:cs="宋体"/>
                <w:bCs/>
                <w:color w:val="auto"/>
                <w:sz w:val="22"/>
                <w:szCs w:val="22"/>
                <w:highlight w:val="none"/>
                <w:lang w:val="en-US" w:eastAsia="zh-CN"/>
              </w:rPr>
              <w:t>伍仟叁佰</w:t>
            </w:r>
            <w:r>
              <w:rPr>
                <w:rFonts w:hint="eastAsia" w:ascii="宋体" w:hAnsi="宋体" w:eastAsia="宋体" w:cs="宋体"/>
                <w:bCs/>
                <w:color w:val="auto"/>
                <w:sz w:val="22"/>
                <w:szCs w:val="22"/>
                <w:highlight w:val="none"/>
              </w:rPr>
              <w:t>元整每人</w:t>
            </w:r>
          </w:p>
          <w:p>
            <w:pPr>
              <w:spacing w:after="0" w:line="360" w:lineRule="auto"/>
              <w:outlineLvl w:val="9"/>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小写：￥</w:t>
            </w:r>
            <w:r>
              <w:rPr>
                <w:rFonts w:hint="eastAsia" w:ascii="宋体" w:hAnsi="宋体" w:eastAsia="宋体" w:cs="宋体"/>
                <w:bCs/>
                <w:color w:val="auto"/>
                <w:sz w:val="22"/>
                <w:szCs w:val="22"/>
                <w:highlight w:val="none"/>
                <w:lang w:val="en-US" w:eastAsia="zh-CN"/>
              </w:rPr>
              <w:t>5</w:t>
            </w:r>
            <w:r>
              <w:rPr>
                <w:rFonts w:hint="eastAsia" w:ascii="宋体" w:hAnsi="宋体" w:cs="宋体"/>
                <w:bCs/>
                <w:color w:val="auto"/>
                <w:sz w:val="22"/>
                <w:szCs w:val="22"/>
                <w:highlight w:val="none"/>
                <w:lang w:val="en-US" w:eastAsia="zh-CN"/>
              </w:rPr>
              <w:t>3</w:t>
            </w:r>
            <w:r>
              <w:rPr>
                <w:rFonts w:hint="eastAsia" w:ascii="宋体" w:hAnsi="宋体" w:eastAsia="宋体" w:cs="宋体"/>
                <w:bCs/>
                <w:color w:val="auto"/>
                <w:sz w:val="22"/>
                <w:szCs w:val="22"/>
                <w:highlight w:val="none"/>
              </w:rPr>
              <w:t>00元/人</w:t>
            </w:r>
          </w:p>
        </w:tc>
        <w:tc>
          <w:tcPr>
            <w:tcW w:w="2875"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3</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cs="宋体"/>
                <w:sz w:val="22"/>
                <w:highlight w:val="none"/>
              </w:rPr>
            </w:pPr>
            <w:r>
              <w:rPr>
                <w:rFonts w:hint="eastAsia" w:ascii="宋体" w:hAnsi="宋体" w:cs="宋体"/>
                <w:sz w:val="22"/>
                <w:highlight w:val="none"/>
              </w:rPr>
              <w:t>对口援建城市</w:t>
            </w:r>
          </w:p>
          <w:p>
            <w:pPr>
              <w:spacing w:after="0" w:line="240" w:lineRule="auto"/>
              <w:jc w:val="center"/>
              <w:outlineLvl w:val="9"/>
              <w:rPr>
                <w:rFonts w:hint="eastAsia" w:ascii="宋体" w:hAnsi="宋体" w:eastAsia="宋体" w:cs="宋体"/>
                <w:bCs/>
                <w:color w:val="auto"/>
                <w:sz w:val="22"/>
                <w:szCs w:val="22"/>
                <w:highlight w:val="none"/>
              </w:rPr>
            </w:pPr>
            <w:r>
              <w:rPr>
                <w:rFonts w:hint="eastAsia" w:ascii="宋体" w:hAnsi="宋体" w:cs="宋体"/>
                <w:sz w:val="22"/>
                <w:highlight w:val="none"/>
                <w:lang w:eastAsia="zh-CN"/>
              </w:rPr>
              <w:t>（</w:t>
            </w:r>
            <w:r>
              <w:rPr>
                <w:rFonts w:hint="eastAsia" w:ascii="宋体" w:hAnsi="宋体" w:cs="宋体"/>
                <w:kern w:val="0"/>
                <w:sz w:val="22"/>
                <w:highlight w:val="none"/>
              </w:rPr>
              <w:t>青海</w:t>
            </w:r>
            <w:r>
              <w:rPr>
                <w:rFonts w:hint="eastAsia" w:ascii="宋体" w:hAnsi="宋体" w:cs="宋体"/>
                <w:kern w:val="0"/>
                <w:sz w:val="22"/>
                <w:highlight w:val="none"/>
                <w:lang w:val="zh-CN"/>
              </w:rPr>
              <w:t>双飞</w:t>
            </w:r>
            <w:r>
              <w:rPr>
                <w:rFonts w:hint="eastAsia" w:ascii="宋体" w:hAnsi="宋体" w:cs="宋体"/>
                <w:kern w:val="0"/>
                <w:sz w:val="22"/>
                <w:highlight w:val="none"/>
              </w:rPr>
              <w:t>6</w:t>
            </w:r>
            <w:r>
              <w:rPr>
                <w:rFonts w:hint="eastAsia" w:ascii="宋体" w:hAnsi="宋体" w:cs="宋体"/>
                <w:kern w:val="0"/>
                <w:sz w:val="22"/>
                <w:highlight w:val="none"/>
                <w:lang w:val="zh-CN"/>
              </w:rPr>
              <w:t>日</w:t>
            </w:r>
            <w:r>
              <w:rPr>
                <w:rFonts w:hint="eastAsia" w:ascii="宋体" w:hAnsi="宋体" w:cs="宋体"/>
                <w:sz w:val="22"/>
                <w:highlight w:val="none"/>
                <w:lang w:eastAsia="zh-CN"/>
              </w:rPr>
              <w:t>）</w:t>
            </w:r>
          </w:p>
        </w:tc>
        <w:tc>
          <w:tcPr>
            <w:tcW w:w="3637"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小写：人民币</w:t>
            </w:r>
            <w:r>
              <w:rPr>
                <w:rFonts w:hint="eastAsia" w:ascii="宋体" w:hAnsi="宋体" w:cs="宋体"/>
                <w:bCs/>
                <w:color w:val="auto"/>
                <w:sz w:val="22"/>
                <w:szCs w:val="22"/>
                <w:highlight w:val="none"/>
                <w:lang w:val="en-US" w:eastAsia="zh-CN"/>
              </w:rPr>
              <w:t>陆仟肆佰</w:t>
            </w:r>
            <w:r>
              <w:rPr>
                <w:rFonts w:hint="eastAsia" w:ascii="宋体" w:hAnsi="宋体" w:eastAsia="宋体" w:cs="宋体"/>
                <w:bCs/>
                <w:color w:val="auto"/>
                <w:sz w:val="22"/>
                <w:szCs w:val="22"/>
                <w:highlight w:val="none"/>
              </w:rPr>
              <w:t>元整每人</w:t>
            </w:r>
          </w:p>
          <w:p>
            <w:pPr>
              <w:spacing w:after="0" w:line="360" w:lineRule="auto"/>
              <w:outlineLvl w:val="9"/>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小写：￥</w:t>
            </w:r>
            <w:r>
              <w:rPr>
                <w:rFonts w:hint="eastAsia" w:ascii="宋体" w:hAnsi="宋体" w:cs="宋体"/>
                <w:bCs/>
                <w:color w:val="auto"/>
                <w:sz w:val="22"/>
                <w:szCs w:val="22"/>
                <w:highlight w:val="none"/>
                <w:lang w:val="en-US" w:eastAsia="zh-CN"/>
              </w:rPr>
              <w:t>6400</w:t>
            </w:r>
            <w:r>
              <w:rPr>
                <w:rFonts w:hint="eastAsia" w:ascii="宋体" w:hAnsi="宋体" w:eastAsia="宋体" w:cs="宋体"/>
                <w:bCs/>
                <w:color w:val="auto"/>
                <w:sz w:val="22"/>
                <w:szCs w:val="22"/>
                <w:highlight w:val="none"/>
              </w:rPr>
              <w:t>元/人</w:t>
            </w:r>
          </w:p>
        </w:tc>
        <w:tc>
          <w:tcPr>
            <w:tcW w:w="2875"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rPr>
            </w:pPr>
          </w:p>
        </w:tc>
      </w:tr>
    </w:tbl>
    <w:p>
      <w:pPr>
        <w:pStyle w:val="16"/>
        <w:keepNext w:val="0"/>
        <w:keepLines w:val="0"/>
        <w:pageBreakBefore w:val="0"/>
        <w:kinsoku/>
        <w:wordWrap/>
        <w:overflowPunct/>
        <w:topLinePunct w:val="0"/>
        <w:autoSpaceDE/>
        <w:autoSpaceDN/>
        <w:bidi w:val="0"/>
        <w:adjustRightInd/>
        <w:snapToGrid w:val="0"/>
        <w:spacing w:line="360" w:lineRule="auto"/>
        <w:ind w:left="0" w:leftChars="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w:t>
      </w:r>
    </w:p>
    <w:p>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rPr>
        <w:t>投标人的报价为含税单人总价，即在承包本次职工疗休养所需的一切人员工资、车、住宿、门票、餐费、交通、保险、导游、税费、</w:t>
      </w:r>
      <w:r>
        <w:rPr>
          <w:rFonts w:hint="eastAsia" w:ascii="宋体" w:hAnsi="宋体" w:eastAsia="宋体" w:cs="宋体"/>
          <w:b/>
          <w:bCs/>
          <w:color w:val="auto"/>
          <w:sz w:val="22"/>
          <w:szCs w:val="22"/>
          <w:highlight w:val="none"/>
          <w:lang w:val="en-US" w:eastAsia="zh-CN"/>
        </w:rPr>
        <w:t>验收、</w:t>
      </w:r>
      <w:r>
        <w:rPr>
          <w:rFonts w:hint="eastAsia" w:ascii="宋体" w:hAnsi="宋体" w:eastAsia="宋体" w:cs="宋体"/>
          <w:b/>
          <w:bCs/>
          <w:color w:val="auto"/>
          <w:sz w:val="22"/>
          <w:szCs w:val="22"/>
          <w:highlight w:val="none"/>
        </w:rPr>
        <w:t>利润等完成合同所需的一切本身和不可或缺的所有工作开支、政策性文件规定及合同包含的所有风险、责任等各项全部费用。</w:t>
      </w:r>
    </w:p>
    <w:p>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42"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不提供开标一览表的投标文件将被视为未实质性响应招标文件。</w:t>
      </w:r>
    </w:p>
    <w:p>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442"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客户端填写的报价与以pdf格式上传文件中的报价不一致的，应以Pdf格式上传文件中的报价为准。</w:t>
      </w:r>
    </w:p>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宋体" w:hAnsi="宋体" w:eastAsia="宋体" w:cs="宋体"/>
          <w:color w:val="auto"/>
          <w:kern w:val="0"/>
          <w:sz w:val="22"/>
          <w:highlight w:val="none"/>
        </w:rPr>
      </w:pPr>
    </w:p>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pacing w:line="400" w:lineRule="exact"/>
        <w:jc w:val="left"/>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page"/>
      </w:r>
    </w:p>
    <w:p>
      <w:pPr>
        <w:spacing w:line="400" w:lineRule="exact"/>
        <w:jc w:val="center"/>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开标一览表</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标项2</w:t>
      </w:r>
      <w:r>
        <w:rPr>
          <w:rFonts w:hint="eastAsia" w:ascii="宋体" w:hAnsi="宋体" w:eastAsia="宋体" w:cs="宋体"/>
          <w:b/>
          <w:color w:val="auto"/>
          <w:sz w:val="24"/>
          <w:szCs w:val="24"/>
          <w:highlight w:val="none"/>
          <w:lang w:eastAsia="zh-CN"/>
        </w:rPr>
        <w:t>）</w:t>
      </w:r>
    </w:p>
    <w:p>
      <w:pPr>
        <w:spacing w:line="360" w:lineRule="exact"/>
        <w:outlineLvl w:val="9"/>
        <w:rPr>
          <w:rFonts w:hint="eastAsia" w:ascii="宋体" w:hAnsi="宋体" w:eastAsia="宋体" w:cs="宋体"/>
          <w:color w:val="auto"/>
          <w:sz w:val="22"/>
          <w:highlight w:val="none"/>
        </w:rPr>
      </w:pPr>
    </w:p>
    <w:p>
      <w:pPr>
        <w:spacing w:line="400" w:lineRule="exact"/>
        <w:jc w:val="righ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单位：人民币（元）</w:t>
      </w:r>
    </w:p>
    <w:tbl>
      <w:tblPr>
        <w:tblStyle w:val="31"/>
        <w:tblW w:w="9901"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648"/>
        <w:gridCol w:w="3262"/>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疗休养线路</w:t>
            </w:r>
          </w:p>
        </w:tc>
        <w:tc>
          <w:tcPr>
            <w:tcW w:w="3262"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投标</w:t>
            </w:r>
            <w:r>
              <w:rPr>
                <w:rFonts w:hint="eastAsia" w:ascii="宋体" w:hAnsi="宋体" w:eastAsia="宋体" w:cs="宋体"/>
                <w:b/>
                <w:color w:val="auto"/>
                <w:sz w:val="22"/>
                <w:szCs w:val="22"/>
                <w:highlight w:val="none"/>
              </w:rPr>
              <w:t>报价（单位：元/人）</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rPr>
            </w:pPr>
            <w:r>
              <w:rPr>
                <w:rFonts w:hint="eastAsia" w:ascii="宋体" w:hAnsi="宋体" w:cs="宋体"/>
                <w:sz w:val="22"/>
                <w:highlight w:val="none"/>
              </w:rPr>
              <w:t>温州市域线</w:t>
            </w:r>
            <w:r>
              <w:rPr>
                <w:rFonts w:hint="eastAsia" w:ascii="宋体" w:hAnsi="宋体" w:cs="宋体"/>
                <w:sz w:val="22"/>
                <w:highlight w:val="none"/>
                <w:lang w:eastAsia="zh-CN"/>
              </w:rPr>
              <w:t>、</w:t>
            </w:r>
            <w:r>
              <w:rPr>
                <w:rFonts w:hint="eastAsia" w:ascii="宋体" w:hAnsi="宋体" w:cs="宋体"/>
                <w:bCs/>
                <w:kern w:val="0"/>
                <w:sz w:val="22"/>
                <w:highlight w:val="none"/>
              </w:rPr>
              <w:t>浙江省内</w:t>
            </w:r>
            <w:r>
              <w:rPr>
                <w:rFonts w:hint="eastAsia" w:ascii="宋体" w:hAnsi="宋体" w:cs="宋体"/>
                <w:sz w:val="22"/>
                <w:highlight w:val="none"/>
              </w:rPr>
              <w:t>疗休养合作城市</w:t>
            </w:r>
            <w:r>
              <w:rPr>
                <w:rFonts w:hint="eastAsia" w:ascii="宋体" w:hAnsi="宋体" w:cs="宋体"/>
                <w:sz w:val="22"/>
                <w:highlight w:val="none"/>
                <w:lang w:eastAsia="zh-CN"/>
              </w:rPr>
              <w:t>、</w:t>
            </w:r>
            <w:r>
              <w:rPr>
                <w:rFonts w:hint="eastAsia" w:ascii="宋体" w:hAnsi="宋体" w:cs="宋体"/>
                <w:sz w:val="22"/>
                <w:highlight w:val="none"/>
              </w:rPr>
              <w:t>周边省市</w:t>
            </w:r>
          </w:p>
        </w:tc>
        <w:tc>
          <w:tcPr>
            <w:tcW w:w="3262"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大写：人民币叁仟元整每人</w:t>
            </w:r>
          </w:p>
          <w:p>
            <w:pPr>
              <w:spacing w:after="0"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小写：￥3000元/人</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left"/>
              <w:outlineLvl w:val="9"/>
              <w:rPr>
                <w:rFonts w:hint="eastAsia" w:ascii="宋体" w:hAnsi="宋体" w:cs="宋体"/>
                <w:sz w:val="22"/>
                <w:highlight w:val="none"/>
                <w:lang w:eastAsia="zh-CN"/>
              </w:rPr>
            </w:pPr>
            <w:r>
              <w:rPr>
                <w:rFonts w:hint="eastAsia" w:ascii="宋体" w:hAnsi="宋体" w:cs="宋体"/>
                <w:sz w:val="22"/>
                <w:highlight w:val="none"/>
              </w:rPr>
              <w:t>温州市域5日</w:t>
            </w:r>
            <w:r>
              <w:rPr>
                <w:rFonts w:hint="eastAsia" w:ascii="宋体" w:hAnsi="宋体" w:cs="宋体"/>
                <w:sz w:val="22"/>
                <w:highlight w:val="none"/>
                <w:lang w:eastAsia="zh-CN"/>
              </w:rPr>
              <w:t>；</w:t>
            </w:r>
          </w:p>
          <w:p>
            <w:pPr>
              <w:spacing w:after="0" w:line="240" w:lineRule="auto"/>
              <w:jc w:val="left"/>
              <w:outlineLvl w:val="9"/>
              <w:rPr>
                <w:rFonts w:hint="eastAsia" w:ascii="宋体" w:hAnsi="宋体" w:cs="宋体"/>
                <w:sz w:val="22"/>
                <w:highlight w:val="none"/>
                <w:lang w:eastAsia="zh-CN"/>
              </w:rPr>
            </w:pPr>
            <w:r>
              <w:rPr>
                <w:rFonts w:hint="eastAsia" w:ascii="宋体" w:hAnsi="宋体" w:cs="宋体"/>
                <w:sz w:val="22"/>
                <w:highlight w:val="none"/>
              </w:rPr>
              <w:t>台州、绍兴</w:t>
            </w:r>
            <w:r>
              <w:rPr>
                <w:rFonts w:hint="eastAsia" w:ascii="宋体" w:hAnsi="宋体" w:cs="宋体"/>
                <w:sz w:val="22"/>
                <w:highlight w:val="none"/>
                <w:lang w:eastAsia="zh-CN"/>
              </w:rPr>
              <w:t>、</w:t>
            </w:r>
            <w:r>
              <w:rPr>
                <w:rFonts w:hint="eastAsia" w:ascii="宋体" w:hAnsi="宋体" w:cs="宋体"/>
                <w:sz w:val="22"/>
                <w:highlight w:val="none"/>
              </w:rPr>
              <w:t>湖州市动车5日</w:t>
            </w:r>
            <w:r>
              <w:rPr>
                <w:rFonts w:hint="eastAsia" w:ascii="宋体" w:hAnsi="宋体" w:cs="宋体"/>
                <w:sz w:val="22"/>
                <w:highlight w:val="none"/>
                <w:lang w:eastAsia="zh-CN"/>
              </w:rPr>
              <w:t>；</w:t>
            </w:r>
          </w:p>
          <w:p>
            <w:pPr>
              <w:spacing w:after="0" w:line="240" w:lineRule="auto"/>
              <w:jc w:val="left"/>
              <w:outlineLvl w:val="9"/>
              <w:rPr>
                <w:rFonts w:hint="eastAsia" w:ascii="宋体" w:hAnsi="宋体" w:eastAsia="宋体" w:cs="宋体"/>
                <w:bCs/>
                <w:color w:val="auto"/>
                <w:sz w:val="22"/>
                <w:szCs w:val="22"/>
                <w:highlight w:val="none"/>
                <w:lang w:eastAsia="zh-CN"/>
              </w:rPr>
            </w:pPr>
            <w:r>
              <w:rPr>
                <w:rFonts w:hint="eastAsia" w:ascii="宋体" w:hAnsi="宋体" w:cs="宋体"/>
                <w:sz w:val="22"/>
                <w:highlight w:val="none"/>
              </w:rPr>
              <w:t>江苏动车5日</w:t>
            </w:r>
            <w:r>
              <w:rPr>
                <w:rFonts w:hint="eastAsia" w:ascii="宋体" w:hAnsi="宋体" w:cs="宋体"/>
                <w:sz w:val="22"/>
                <w:highlight w:val="none"/>
                <w:lang w:eastAsia="zh-CN"/>
              </w:rPr>
              <w:t>、</w:t>
            </w:r>
            <w:r>
              <w:rPr>
                <w:rFonts w:hint="eastAsia" w:ascii="宋体" w:hAnsi="宋体" w:cs="宋体"/>
                <w:sz w:val="22"/>
                <w:highlight w:val="none"/>
              </w:rPr>
              <w:t>江西动车5日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cs="宋体"/>
                <w:sz w:val="22"/>
                <w:highlight w:val="none"/>
              </w:rPr>
            </w:pPr>
            <w:r>
              <w:rPr>
                <w:rFonts w:hint="eastAsia" w:ascii="宋体" w:hAnsi="宋体" w:cs="宋体"/>
                <w:sz w:val="22"/>
                <w:highlight w:val="none"/>
              </w:rPr>
              <w:t>对口援建城市</w:t>
            </w:r>
          </w:p>
          <w:p>
            <w:pPr>
              <w:spacing w:after="0" w:line="240" w:lineRule="auto"/>
              <w:jc w:val="center"/>
              <w:outlineLvl w:val="9"/>
              <w:rPr>
                <w:rFonts w:hint="eastAsia" w:ascii="宋体" w:hAnsi="宋体" w:eastAsia="宋体" w:cs="宋体"/>
                <w:color w:val="auto"/>
                <w:sz w:val="22"/>
                <w:szCs w:val="22"/>
                <w:highlight w:val="none"/>
              </w:rPr>
            </w:pPr>
            <w:r>
              <w:rPr>
                <w:rFonts w:hint="eastAsia" w:ascii="宋体" w:hAnsi="宋体" w:cs="宋体"/>
                <w:sz w:val="22"/>
                <w:highlight w:val="none"/>
                <w:lang w:eastAsia="zh-CN"/>
              </w:rPr>
              <w:t>（</w:t>
            </w:r>
            <w:r>
              <w:rPr>
                <w:rFonts w:hint="eastAsia" w:ascii="宋体" w:hAnsi="宋体" w:cs="宋体"/>
                <w:sz w:val="22"/>
                <w:highlight w:val="none"/>
              </w:rPr>
              <w:t>新疆三飞8日</w:t>
            </w:r>
            <w:r>
              <w:rPr>
                <w:rFonts w:hint="eastAsia" w:ascii="宋体" w:hAnsi="宋体" w:cs="宋体"/>
                <w:sz w:val="22"/>
                <w:highlight w:val="none"/>
                <w:lang w:eastAsia="zh-CN"/>
              </w:rPr>
              <w:t>）</w:t>
            </w:r>
          </w:p>
        </w:tc>
        <w:tc>
          <w:tcPr>
            <w:tcW w:w="3262"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大写：人民币</w:t>
            </w:r>
            <w:r>
              <w:rPr>
                <w:rFonts w:hint="eastAsia" w:ascii="宋体" w:hAnsi="宋体" w:cs="宋体"/>
                <w:bCs/>
                <w:color w:val="auto"/>
                <w:sz w:val="22"/>
                <w:szCs w:val="22"/>
                <w:highlight w:val="none"/>
                <w:lang w:val="en-US" w:eastAsia="zh-CN"/>
              </w:rPr>
              <w:t>玖仟叁佰</w:t>
            </w:r>
            <w:r>
              <w:rPr>
                <w:rFonts w:hint="eastAsia" w:ascii="宋体" w:hAnsi="宋体" w:eastAsia="宋体" w:cs="宋体"/>
                <w:bCs/>
                <w:color w:val="auto"/>
                <w:sz w:val="22"/>
                <w:szCs w:val="22"/>
                <w:highlight w:val="none"/>
              </w:rPr>
              <w:t>元整每人</w:t>
            </w:r>
          </w:p>
          <w:p>
            <w:pPr>
              <w:spacing w:after="0"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小写：￥</w:t>
            </w:r>
            <w:r>
              <w:rPr>
                <w:rFonts w:hint="eastAsia" w:ascii="宋体" w:hAnsi="宋体" w:cs="宋体"/>
                <w:bCs/>
                <w:color w:val="auto"/>
                <w:sz w:val="22"/>
                <w:szCs w:val="22"/>
                <w:highlight w:val="none"/>
                <w:lang w:val="en-US" w:eastAsia="zh-CN"/>
              </w:rPr>
              <w:t>9300</w:t>
            </w:r>
            <w:r>
              <w:rPr>
                <w:rFonts w:hint="eastAsia" w:ascii="宋体" w:hAnsi="宋体" w:eastAsia="宋体" w:cs="宋体"/>
                <w:bCs/>
                <w:color w:val="auto"/>
                <w:sz w:val="22"/>
                <w:szCs w:val="22"/>
                <w:highlight w:val="none"/>
              </w:rPr>
              <w:t>元/人</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rPr>
            </w:pPr>
          </w:p>
        </w:tc>
      </w:tr>
    </w:tbl>
    <w:p>
      <w:pPr>
        <w:pStyle w:val="16"/>
        <w:keepNext w:val="0"/>
        <w:keepLines w:val="0"/>
        <w:pageBreakBefore w:val="0"/>
        <w:kinsoku/>
        <w:wordWrap/>
        <w:overflowPunct/>
        <w:topLinePunct w:val="0"/>
        <w:autoSpaceDE/>
        <w:autoSpaceDN/>
        <w:bidi w:val="0"/>
        <w:adjustRightInd/>
        <w:snapToGrid w:val="0"/>
        <w:spacing w:line="360" w:lineRule="auto"/>
        <w:ind w:left="0" w:leftChars="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w:t>
      </w:r>
    </w:p>
    <w:p>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rPr>
        <w:t>投标人的报价为含税单人总价，即在承包本次职工疗休养所需的一切人员工资、车、住宿、门票、餐费、交通、保险、导游、税费、</w:t>
      </w:r>
      <w:r>
        <w:rPr>
          <w:rFonts w:hint="eastAsia" w:ascii="宋体" w:hAnsi="宋体" w:eastAsia="宋体" w:cs="宋体"/>
          <w:b/>
          <w:bCs/>
          <w:color w:val="auto"/>
          <w:sz w:val="22"/>
          <w:szCs w:val="22"/>
          <w:highlight w:val="none"/>
          <w:lang w:val="en-US" w:eastAsia="zh-CN"/>
        </w:rPr>
        <w:t>验收、</w:t>
      </w:r>
      <w:r>
        <w:rPr>
          <w:rFonts w:hint="eastAsia" w:ascii="宋体" w:hAnsi="宋体" w:eastAsia="宋体" w:cs="宋体"/>
          <w:b/>
          <w:bCs/>
          <w:color w:val="auto"/>
          <w:sz w:val="22"/>
          <w:szCs w:val="22"/>
          <w:highlight w:val="none"/>
        </w:rPr>
        <w:t>利润等完成合同所需的一切本身和不可或缺的所有工作开支、政策性文件规定及合同包含的所有风险、责任等各项全部费用。</w:t>
      </w:r>
    </w:p>
    <w:p>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42"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不提供开标一览表的投标文件将被视为未实质性响应招标文件。</w:t>
      </w:r>
    </w:p>
    <w:p>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442"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客户端填写的报价与以pdf格式上传文件中的报价不一致的，应以Pdf格式上传文件中的报价为准。</w:t>
      </w:r>
    </w:p>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宋体" w:hAnsi="宋体" w:eastAsia="宋体" w:cs="宋体"/>
          <w:color w:val="auto"/>
          <w:kern w:val="0"/>
          <w:sz w:val="22"/>
          <w:highlight w:val="none"/>
        </w:rPr>
      </w:pPr>
    </w:p>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jc w:val="center"/>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开标一览表</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标项</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w:t>
      </w:r>
    </w:p>
    <w:p>
      <w:pPr>
        <w:spacing w:line="360" w:lineRule="exact"/>
        <w:outlineLvl w:val="9"/>
        <w:rPr>
          <w:rFonts w:hint="eastAsia" w:ascii="宋体" w:hAnsi="宋体" w:eastAsia="宋体" w:cs="宋体"/>
          <w:color w:val="auto"/>
          <w:sz w:val="22"/>
          <w:highlight w:val="none"/>
        </w:rPr>
      </w:pPr>
    </w:p>
    <w:p>
      <w:pPr>
        <w:spacing w:line="400" w:lineRule="exact"/>
        <w:jc w:val="righ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单位：人民币（元）</w:t>
      </w:r>
    </w:p>
    <w:tbl>
      <w:tblPr>
        <w:tblStyle w:val="31"/>
        <w:tblW w:w="9901"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610"/>
        <w:gridCol w:w="3338"/>
        <w:gridCol w:w="3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疗休养线路</w:t>
            </w:r>
          </w:p>
        </w:tc>
        <w:tc>
          <w:tcPr>
            <w:tcW w:w="3338"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投标</w:t>
            </w:r>
            <w:r>
              <w:rPr>
                <w:rFonts w:hint="eastAsia" w:ascii="宋体" w:hAnsi="宋体" w:eastAsia="宋体" w:cs="宋体"/>
                <w:b/>
                <w:color w:val="auto"/>
                <w:sz w:val="22"/>
                <w:szCs w:val="22"/>
                <w:highlight w:val="none"/>
              </w:rPr>
              <w:t>报价（单位：元/人）</w:t>
            </w:r>
          </w:p>
        </w:tc>
        <w:tc>
          <w:tcPr>
            <w:tcW w:w="3137"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rPr>
            </w:pPr>
            <w:r>
              <w:rPr>
                <w:rFonts w:hint="eastAsia" w:ascii="宋体" w:hAnsi="宋体" w:cs="宋体"/>
                <w:sz w:val="22"/>
                <w:highlight w:val="none"/>
              </w:rPr>
              <w:t>温州市域线</w:t>
            </w:r>
            <w:r>
              <w:rPr>
                <w:rFonts w:hint="eastAsia" w:ascii="宋体" w:hAnsi="宋体" w:cs="宋体"/>
                <w:sz w:val="22"/>
                <w:highlight w:val="none"/>
                <w:lang w:eastAsia="zh-CN"/>
              </w:rPr>
              <w:t>、</w:t>
            </w:r>
            <w:r>
              <w:rPr>
                <w:rFonts w:hint="eastAsia" w:ascii="宋体" w:hAnsi="宋体" w:cs="宋体"/>
                <w:bCs/>
                <w:kern w:val="0"/>
                <w:sz w:val="22"/>
                <w:highlight w:val="none"/>
              </w:rPr>
              <w:t>浙江省内</w:t>
            </w:r>
            <w:r>
              <w:rPr>
                <w:rFonts w:hint="eastAsia" w:ascii="宋体" w:hAnsi="宋体" w:cs="宋体"/>
                <w:sz w:val="22"/>
                <w:highlight w:val="none"/>
              </w:rPr>
              <w:t>疗休养合作城市</w:t>
            </w:r>
            <w:r>
              <w:rPr>
                <w:rFonts w:hint="eastAsia" w:ascii="宋体" w:hAnsi="宋体" w:cs="宋体"/>
                <w:sz w:val="22"/>
                <w:highlight w:val="none"/>
                <w:lang w:eastAsia="zh-CN"/>
              </w:rPr>
              <w:t>、</w:t>
            </w:r>
            <w:r>
              <w:rPr>
                <w:rFonts w:hint="eastAsia" w:ascii="宋体" w:hAnsi="宋体" w:cs="宋体"/>
                <w:sz w:val="22"/>
                <w:highlight w:val="none"/>
              </w:rPr>
              <w:t>周边省市</w:t>
            </w:r>
          </w:p>
        </w:tc>
        <w:tc>
          <w:tcPr>
            <w:tcW w:w="3338"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大写：人民币叁仟元整每人</w:t>
            </w:r>
          </w:p>
          <w:p>
            <w:pPr>
              <w:spacing w:after="0"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小写：￥3000元/人</w:t>
            </w:r>
          </w:p>
        </w:tc>
        <w:tc>
          <w:tcPr>
            <w:tcW w:w="3137"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left"/>
              <w:outlineLvl w:val="9"/>
              <w:rPr>
                <w:rFonts w:hint="eastAsia" w:ascii="宋体" w:hAnsi="宋体" w:cs="宋体"/>
                <w:sz w:val="22"/>
                <w:highlight w:val="none"/>
                <w:lang w:eastAsia="zh-CN"/>
              </w:rPr>
            </w:pPr>
            <w:r>
              <w:rPr>
                <w:rFonts w:hint="eastAsia" w:ascii="宋体" w:hAnsi="宋体" w:cs="宋体"/>
                <w:sz w:val="22"/>
                <w:highlight w:val="none"/>
              </w:rPr>
              <w:t>温州市域5日</w:t>
            </w:r>
            <w:r>
              <w:rPr>
                <w:rFonts w:hint="eastAsia" w:ascii="宋体" w:hAnsi="宋体" w:cs="宋体"/>
                <w:sz w:val="22"/>
                <w:highlight w:val="none"/>
                <w:lang w:eastAsia="zh-CN"/>
              </w:rPr>
              <w:t>；</w:t>
            </w:r>
          </w:p>
          <w:p>
            <w:pPr>
              <w:spacing w:after="0" w:line="240" w:lineRule="auto"/>
              <w:jc w:val="left"/>
              <w:outlineLvl w:val="9"/>
              <w:rPr>
                <w:rFonts w:hint="eastAsia" w:ascii="宋体" w:hAnsi="宋体" w:cs="宋体"/>
                <w:sz w:val="22"/>
                <w:highlight w:val="none"/>
                <w:lang w:eastAsia="zh-CN"/>
              </w:rPr>
            </w:pPr>
            <w:r>
              <w:rPr>
                <w:rFonts w:hint="eastAsia" w:ascii="宋体" w:hAnsi="宋体" w:cs="宋体"/>
                <w:sz w:val="22"/>
                <w:highlight w:val="none"/>
              </w:rPr>
              <w:t>宁波、舟山</w:t>
            </w:r>
            <w:r>
              <w:rPr>
                <w:rFonts w:hint="eastAsia" w:ascii="宋体" w:hAnsi="宋体" w:cs="宋体"/>
                <w:sz w:val="22"/>
                <w:highlight w:val="none"/>
                <w:lang w:eastAsia="zh-CN"/>
              </w:rPr>
              <w:t>、</w:t>
            </w:r>
            <w:r>
              <w:rPr>
                <w:rFonts w:hint="eastAsia" w:ascii="宋体" w:hAnsi="宋体" w:cs="宋体"/>
                <w:sz w:val="22"/>
                <w:highlight w:val="none"/>
              </w:rPr>
              <w:t>嘉兴市动车5日</w:t>
            </w:r>
            <w:r>
              <w:rPr>
                <w:rFonts w:hint="eastAsia" w:ascii="宋体" w:hAnsi="宋体" w:cs="宋体"/>
                <w:sz w:val="22"/>
                <w:highlight w:val="none"/>
                <w:lang w:eastAsia="zh-CN"/>
              </w:rPr>
              <w:t>；</w:t>
            </w:r>
          </w:p>
          <w:p>
            <w:pPr>
              <w:spacing w:after="0" w:line="240" w:lineRule="auto"/>
              <w:jc w:val="left"/>
              <w:outlineLvl w:val="9"/>
              <w:rPr>
                <w:rFonts w:hint="eastAsia" w:ascii="宋体" w:hAnsi="宋体" w:eastAsia="宋体" w:cs="宋体"/>
                <w:bCs/>
                <w:color w:val="auto"/>
                <w:sz w:val="22"/>
                <w:szCs w:val="22"/>
                <w:highlight w:val="none"/>
              </w:rPr>
            </w:pPr>
            <w:r>
              <w:rPr>
                <w:rFonts w:hint="eastAsia" w:ascii="宋体" w:hAnsi="宋体" w:cs="宋体"/>
                <w:sz w:val="22"/>
                <w:highlight w:val="none"/>
              </w:rPr>
              <w:t>上海动车5日</w:t>
            </w:r>
            <w:r>
              <w:rPr>
                <w:rFonts w:hint="eastAsia" w:ascii="宋体" w:hAnsi="宋体" w:cs="宋体"/>
                <w:sz w:val="22"/>
                <w:highlight w:val="none"/>
                <w:lang w:eastAsia="zh-CN"/>
              </w:rPr>
              <w:t>、</w:t>
            </w:r>
            <w:r>
              <w:rPr>
                <w:rFonts w:hint="eastAsia" w:ascii="宋体" w:hAnsi="宋体" w:cs="宋体"/>
                <w:sz w:val="22"/>
                <w:highlight w:val="none"/>
              </w:rPr>
              <w:t>福建动车5日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cs="宋体"/>
                <w:sz w:val="22"/>
                <w:highlight w:val="none"/>
              </w:rPr>
            </w:pPr>
            <w:r>
              <w:rPr>
                <w:rFonts w:hint="eastAsia" w:ascii="宋体" w:hAnsi="宋体" w:cs="宋体"/>
                <w:sz w:val="22"/>
                <w:highlight w:val="none"/>
              </w:rPr>
              <w:t>对口援建城市</w:t>
            </w:r>
          </w:p>
          <w:p>
            <w:pPr>
              <w:spacing w:after="0" w:line="240" w:lineRule="auto"/>
              <w:jc w:val="center"/>
              <w:outlineLvl w:val="9"/>
              <w:rPr>
                <w:rFonts w:hint="eastAsia" w:ascii="宋体" w:hAnsi="宋体" w:eastAsia="宋体" w:cs="宋体"/>
                <w:color w:val="auto"/>
                <w:sz w:val="22"/>
                <w:szCs w:val="22"/>
                <w:highlight w:val="none"/>
              </w:rPr>
            </w:pPr>
            <w:r>
              <w:rPr>
                <w:rFonts w:hint="eastAsia" w:ascii="宋体" w:hAnsi="宋体" w:cs="宋体"/>
                <w:sz w:val="22"/>
                <w:highlight w:val="none"/>
                <w:lang w:eastAsia="zh-CN"/>
              </w:rPr>
              <w:t>（</w:t>
            </w:r>
            <w:r>
              <w:rPr>
                <w:rFonts w:hint="eastAsia" w:ascii="宋体" w:hAnsi="宋体" w:cs="宋体"/>
                <w:sz w:val="22"/>
                <w:highlight w:val="none"/>
              </w:rPr>
              <w:t>四川双飞6日</w:t>
            </w:r>
            <w:r>
              <w:rPr>
                <w:rFonts w:hint="eastAsia" w:ascii="宋体" w:hAnsi="宋体" w:cs="宋体"/>
                <w:sz w:val="22"/>
                <w:highlight w:val="none"/>
                <w:lang w:eastAsia="zh-CN"/>
              </w:rPr>
              <w:t>）</w:t>
            </w:r>
          </w:p>
        </w:tc>
        <w:tc>
          <w:tcPr>
            <w:tcW w:w="3338"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大写：人民币</w:t>
            </w:r>
            <w:r>
              <w:rPr>
                <w:rFonts w:hint="eastAsia" w:ascii="宋体" w:hAnsi="宋体" w:cs="宋体"/>
                <w:bCs/>
                <w:color w:val="auto"/>
                <w:sz w:val="22"/>
                <w:szCs w:val="22"/>
                <w:highlight w:val="none"/>
                <w:lang w:val="en-US" w:eastAsia="zh-CN"/>
              </w:rPr>
              <w:t>伍仟玖佰</w:t>
            </w:r>
            <w:r>
              <w:rPr>
                <w:rFonts w:hint="eastAsia" w:ascii="宋体" w:hAnsi="宋体" w:eastAsia="宋体" w:cs="宋体"/>
                <w:bCs/>
                <w:color w:val="auto"/>
                <w:sz w:val="22"/>
                <w:szCs w:val="22"/>
                <w:highlight w:val="none"/>
              </w:rPr>
              <w:t>元整每人</w:t>
            </w:r>
          </w:p>
          <w:p>
            <w:pPr>
              <w:spacing w:after="0"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小写：￥</w:t>
            </w:r>
            <w:r>
              <w:rPr>
                <w:rFonts w:hint="eastAsia" w:ascii="宋体" w:hAnsi="宋体" w:cs="宋体"/>
                <w:bCs/>
                <w:color w:val="auto"/>
                <w:sz w:val="22"/>
                <w:szCs w:val="22"/>
                <w:highlight w:val="none"/>
                <w:lang w:val="en-US" w:eastAsia="zh-CN"/>
              </w:rPr>
              <w:t>5900</w:t>
            </w:r>
            <w:r>
              <w:rPr>
                <w:rFonts w:hint="eastAsia" w:ascii="宋体" w:hAnsi="宋体" w:eastAsia="宋体" w:cs="宋体"/>
                <w:bCs/>
                <w:color w:val="auto"/>
                <w:sz w:val="22"/>
                <w:szCs w:val="22"/>
                <w:highlight w:val="none"/>
              </w:rPr>
              <w:t>元/人</w:t>
            </w:r>
          </w:p>
        </w:tc>
        <w:tc>
          <w:tcPr>
            <w:tcW w:w="3137"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3</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cs="宋体"/>
                <w:sz w:val="22"/>
                <w:highlight w:val="none"/>
              </w:rPr>
            </w:pPr>
            <w:r>
              <w:rPr>
                <w:rFonts w:hint="eastAsia" w:ascii="宋体" w:hAnsi="宋体" w:cs="宋体"/>
                <w:sz w:val="22"/>
                <w:highlight w:val="none"/>
              </w:rPr>
              <w:t>对口援建城市</w:t>
            </w:r>
          </w:p>
          <w:p>
            <w:pPr>
              <w:spacing w:after="0" w:line="240" w:lineRule="auto"/>
              <w:jc w:val="center"/>
              <w:outlineLvl w:val="9"/>
              <w:rPr>
                <w:rFonts w:hint="eastAsia" w:ascii="宋体" w:hAnsi="宋体" w:eastAsia="宋体" w:cs="宋体"/>
                <w:color w:val="auto"/>
                <w:sz w:val="22"/>
                <w:szCs w:val="22"/>
                <w:highlight w:val="none"/>
                <w:lang w:eastAsia="zh-CN"/>
              </w:rPr>
            </w:pPr>
            <w:r>
              <w:rPr>
                <w:rFonts w:hint="eastAsia" w:ascii="宋体" w:hAnsi="宋体" w:cs="宋体"/>
                <w:sz w:val="22"/>
                <w:highlight w:val="none"/>
                <w:lang w:eastAsia="zh-CN"/>
              </w:rPr>
              <w:t>（</w:t>
            </w:r>
            <w:r>
              <w:rPr>
                <w:rFonts w:hint="eastAsia" w:ascii="宋体" w:hAnsi="宋体" w:cs="宋体"/>
                <w:kern w:val="0"/>
                <w:sz w:val="22"/>
                <w:highlight w:val="none"/>
              </w:rPr>
              <w:t>湖北</w:t>
            </w:r>
            <w:r>
              <w:rPr>
                <w:rFonts w:hint="eastAsia" w:ascii="宋体" w:hAnsi="宋体" w:cs="宋体"/>
                <w:kern w:val="0"/>
                <w:sz w:val="22"/>
                <w:highlight w:val="none"/>
                <w:lang w:val="zh-CN"/>
              </w:rPr>
              <w:t>双飞</w:t>
            </w:r>
            <w:r>
              <w:rPr>
                <w:rFonts w:hint="eastAsia" w:ascii="宋体" w:hAnsi="宋体" w:cs="宋体"/>
                <w:kern w:val="0"/>
                <w:sz w:val="22"/>
                <w:highlight w:val="none"/>
              </w:rPr>
              <w:t>6</w:t>
            </w:r>
            <w:r>
              <w:rPr>
                <w:rFonts w:hint="eastAsia" w:ascii="宋体" w:hAnsi="宋体" w:cs="宋体"/>
                <w:kern w:val="0"/>
                <w:sz w:val="22"/>
                <w:highlight w:val="none"/>
                <w:lang w:val="zh-CN"/>
              </w:rPr>
              <w:t>日</w:t>
            </w:r>
            <w:r>
              <w:rPr>
                <w:rFonts w:hint="eastAsia" w:ascii="宋体" w:hAnsi="宋体" w:cs="宋体"/>
                <w:sz w:val="22"/>
                <w:highlight w:val="none"/>
                <w:lang w:eastAsia="zh-CN"/>
              </w:rPr>
              <w:t>）</w:t>
            </w:r>
          </w:p>
        </w:tc>
        <w:tc>
          <w:tcPr>
            <w:tcW w:w="3338"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小写：人民币</w:t>
            </w:r>
            <w:r>
              <w:rPr>
                <w:rFonts w:hint="eastAsia" w:ascii="宋体" w:hAnsi="宋体" w:cs="宋体"/>
                <w:bCs/>
                <w:color w:val="auto"/>
                <w:sz w:val="22"/>
                <w:szCs w:val="22"/>
                <w:highlight w:val="none"/>
                <w:lang w:val="en-US" w:eastAsia="zh-CN"/>
              </w:rPr>
              <w:t>肆仟柒佰</w:t>
            </w:r>
            <w:r>
              <w:rPr>
                <w:rFonts w:hint="eastAsia" w:ascii="宋体" w:hAnsi="宋体" w:eastAsia="宋体" w:cs="宋体"/>
                <w:bCs/>
                <w:color w:val="auto"/>
                <w:sz w:val="22"/>
                <w:szCs w:val="22"/>
                <w:highlight w:val="none"/>
              </w:rPr>
              <w:t>元整每人</w:t>
            </w:r>
          </w:p>
          <w:p>
            <w:pPr>
              <w:spacing w:after="0"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小写：￥</w:t>
            </w:r>
            <w:r>
              <w:rPr>
                <w:rFonts w:hint="eastAsia" w:ascii="宋体" w:hAnsi="宋体" w:cs="宋体"/>
                <w:bCs/>
                <w:color w:val="auto"/>
                <w:sz w:val="22"/>
                <w:szCs w:val="22"/>
                <w:highlight w:val="none"/>
                <w:lang w:val="en-US" w:eastAsia="zh-CN"/>
              </w:rPr>
              <w:t>4700</w:t>
            </w:r>
            <w:r>
              <w:rPr>
                <w:rFonts w:hint="eastAsia" w:ascii="宋体" w:hAnsi="宋体" w:eastAsia="宋体" w:cs="宋体"/>
                <w:bCs/>
                <w:color w:val="auto"/>
                <w:sz w:val="22"/>
                <w:szCs w:val="22"/>
                <w:highlight w:val="none"/>
              </w:rPr>
              <w:t>元/人</w:t>
            </w:r>
          </w:p>
        </w:tc>
        <w:tc>
          <w:tcPr>
            <w:tcW w:w="3137"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4</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color w:val="auto"/>
                <w:sz w:val="22"/>
                <w:szCs w:val="22"/>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auto"/>
              <w:outlineLvl w:val="9"/>
              <w:rPr>
                <w:rFonts w:hint="eastAsia" w:ascii="宋体" w:hAnsi="宋体" w:eastAsia="宋体" w:cs="宋体"/>
                <w:bCs/>
                <w:color w:val="auto"/>
                <w:sz w:val="22"/>
                <w:szCs w:val="22"/>
                <w:highlight w:val="none"/>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jc w:val="center"/>
              <w:outlineLvl w:val="9"/>
              <w:rPr>
                <w:rFonts w:hint="eastAsia" w:ascii="宋体" w:hAnsi="宋体" w:eastAsia="宋体" w:cs="宋体"/>
                <w:bCs/>
                <w:color w:val="auto"/>
                <w:sz w:val="22"/>
                <w:szCs w:val="22"/>
                <w:highlight w:val="none"/>
              </w:rPr>
            </w:pPr>
          </w:p>
        </w:tc>
      </w:tr>
    </w:tbl>
    <w:p>
      <w:pPr>
        <w:pStyle w:val="16"/>
        <w:keepNext w:val="0"/>
        <w:keepLines w:val="0"/>
        <w:pageBreakBefore w:val="0"/>
        <w:kinsoku/>
        <w:wordWrap/>
        <w:overflowPunct/>
        <w:topLinePunct w:val="0"/>
        <w:autoSpaceDE/>
        <w:autoSpaceDN/>
        <w:bidi w:val="0"/>
        <w:adjustRightInd/>
        <w:snapToGrid w:val="0"/>
        <w:spacing w:line="360" w:lineRule="auto"/>
        <w:ind w:left="0" w:leftChars="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w:t>
      </w:r>
    </w:p>
    <w:p>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rPr>
        <w:t>投标人的报价为含税单人总价，即在承包本次职工疗休养所需的一切人员工资、车、住宿、门票、餐费、交通、保险、导游、税费、</w:t>
      </w:r>
      <w:r>
        <w:rPr>
          <w:rFonts w:hint="eastAsia" w:ascii="宋体" w:hAnsi="宋体" w:eastAsia="宋体" w:cs="宋体"/>
          <w:b/>
          <w:bCs/>
          <w:color w:val="auto"/>
          <w:sz w:val="22"/>
          <w:szCs w:val="22"/>
          <w:highlight w:val="none"/>
          <w:lang w:val="en-US" w:eastAsia="zh-CN"/>
        </w:rPr>
        <w:t>验收、</w:t>
      </w:r>
      <w:r>
        <w:rPr>
          <w:rFonts w:hint="eastAsia" w:ascii="宋体" w:hAnsi="宋体" w:eastAsia="宋体" w:cs="宋体"/>
          <w:b/>
          <w:bCs/>
          <w:color w:val="auto"/>
          <w:sz w:val="22"/>
          <w:szCs w:val="22"/>
          <w:highlight w:val="none"/>
        </w:rPr>
        <w:t>利润等完成合同所需的一切本身和不可或缺的所有工作开支、政策性文件规定及合同包含的所有风险、责任等各项全部费用。</w:t>
      </w:r>
    </w:p>
    <w:p>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42"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不提供开标一览表的投标文件将被视为未实质性响应招标文件。</w:t>
      </w:r>
    </w:p>
    <w:p>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442"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客户端填写的报价与以pdf格式上传文件中的报价不一致的，应以Pdf格式上传文件中的报价为准。</w:t>
      </w:r>
    </w:p>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宋体" w:hAnsi="宋体" w:eastAsia="宋体" w:cs="宋体"/>
          <w:color w:val="auto"/>
          <w:kern w:val="0"/>
          <w:sz w:val="22"/>
          <w:highlight w:val="none"/>
        </w:rPr>
      </w:pPr>
    </w:p>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pStyle w:val="2"/>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2"/>
        <w:rPr>
          <w:rFonts w:hint="eastAsia"/>
          <w:highlight w:val="none"/>
        </w:rPr>
      </w:pPr>
    </w:p>
    <w:p>
      <w:pPr>
        <w:pStyle w:val="2"/>
        <w:rPr>
          <w:rFonts w:hint="eastAsia"/>
          <w:highlight w:val="none"/>
        </w:rPr>
      </w:pPr>
    </w:p>
    <w:p>
      <w:pPr>
        <w:spacing w:line="40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附件2</w:t>
      </w:r>
    </w:p>
    <w:p>
      <w:pPr>
        <w:spacing w:line="400" w:lineRule="exact"/>
        <w:jc w:val="center"/>
        <w:outlineLvl w:val="9"/>
        <w:rPr>
          <w:rFonts w:hint="eastAsia" w:ascii="宋体" w:hAnsi="宋体" w:eastAsia="宋体" w:cs="宋体"/>
          <w:b/>
          <w:color w:val="auto"/>
          <w:kern w:val="0"/>
          <w:sz w:val="28"/>
          <w:szCs w:val="36"/>
          <w:highlight w:val="none"/>
        </w:rPr>
      </w:pPr>
      <w:r>
        <w:rPr>
          <w:rFonts w:hint="eastAsia" w:ascii="宋体" w:hAnsi="宋体" w:eastAsia="宋体" w:cs="宋体"/>
          <w:b/>
          <w:color w:val="auto"/>
          <w:kern w:val="0"/>
          <w:sz w:val="28"/>
          <w:szCs w:val="36"/>
          <w:highlight w:val="none"/>
        </w:rPr>
        <w:t>报价明细表</w:t>
      </w:r>
    </w:p>
    <w:p>
      <w:pPr>
        <w:pStyle w:val="15"/>
        <w:snapToGrid w:val="0"/>
        <w:spacing w:after="0" w:line="288" w:lineRule="auto"/>
        <w:jc w:val="both"/>
        <w:outlineLvl w:val="9"/>
        <w:rPr>
          <w:rFonts w:hint="eastAsia" w:ascii="宋体" w:hAnsi="宋体" w:eastAsia="宋体" w:cs="宋体"/>
          <w:b/>
          <w:color w:val="auto"/>
          <w:sz w:val="22"/>
          <w:szCs w:val="22"/>
          <w:highlight w:val="none"/>
        </w:rPr>
      </w:pPr>
    </w:p>
    <w:p>
      <w:pPr>
        <w:pStyle w:val="15"/>
        <w:snapToGrid w:val="0"/>
        <w:spacing w:after="0" w:line="288" w:lineRule="auto"/>
        <w:jc w:val="both"/>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标项名称</w:t>
      </w:r>
      <w:r>
        <w:rPr>
          <w:rFonts w:hint="eastAsia" w:ascii="宋体" w:hAnsi="宋体" w:eastAsia="宋体" w:cs="宋体"/>
          <w:b/>
          <w:color w:val="auto"/>
          <w:sz w:val="22"/>
          <w:szCs w:val="22"/>
          <w:highlight w:val="none"/>
        </w:rPr>
        <w:t xml:space="preserve">：                            项目编号：         </w:t>
      </w:r>
    </w:p>
    <w:p>
      <w:pPr>
        <w:pStyle w:val="15"/>
        <w:snapToGrid w:val="0"/>
        <w:spacing w:after="0" w:line="288" w:lineRule="auto"/>
        <w:ind w:firstLine="1144" w:firstLineChars="550"/>
        <w:jc w:val="right"/>
        <w:outlineLvl w:val="9"/>
        <w:rPr>
          <w:rFonts w:hint="eastAsia" w:ascii="宋体" w:hAnsi="宋体" w:eastAsia="宋体" w:cs="宋体"/>
          <w:color w:val="auto"/>
          <w:sz w:val="22"/>
          <w:highlight w:val="none"/>
        </w:rPr>
      </w:pPr>
      <w:r>
        <w:rPr>
          <w:rFonts w:hint="eastAsia" w:ascii="宋体" w:hAnsi="宋体" w:eastAsia="宋体" w:cs="宋体"/>
          <w:color w:val="auto"/>
          <w:spacing w:val="-6"/>
          <w:sz w:val="22"/>
          <w:szCs w:val="22"/>
          <w:highlight w:val="none"/>
        </w:rPr>
        <w:t>金额单位：人民币（元）</w:t>
      </w:r>
      <w:r>
        <w:rPr>
          <w:rFonts w:hint="eastAsia" w:ascii="宋体" w:hAnsi="宋体" w:eastAsia="宋体" w:cs="宋体"/>
          <w:color w:val="auto"/>
          <w:sz w:val="22"/>
          <w:highlight w:val="none"/>
        </w:rPr>
        <w:t xml:space="preserve"> </w:t>
      </w:r>
    </w:p>
    <w:tbl>
      <w:tblPr>
        <w:tblStyle w:val="31"/>
        <w:tblW w:w="96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8"/>
        <w:gridCol w:w="1393"/>
        <w:gridCol w:w="1748"/>
        <w:gridCol w:w="1250"/>
        <w:gridCol w:w="1570"/>
        <w:gridCol w:w="1383"/>
        <w:gridCol w:w="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35" w:type="dxa"/>
            <w:gridSpan w:val="7"/>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eastAsia" w:ascii="宋体" w:hAnsi="宋体" w:eastAsia="宋体" w:cs="宋体"/>
                <w:b/>
                <w:bCs/>
                <w:color w:val="auto"/>
                <w:kern w:val="0"/>
                <w:sz w:val="22"/>
                <w:highlight w:val="none"/>
              </w:rPr>
            </w:pPr>
            <w:r>
              <w:rPr>
                <w:rFonts w:hint="eastAsia" w:ascii="宋体" w:hAnsi="宋体" w:eastAsia="宋体" w:cs="宋体"/>
                <w:b/>
                <w:bCs/>
                <w:color w:val="auto"/>
                <w:sz w:val="22"/>
                <w:highlight w:val="none"/>
              </w:rPr>
              <w:t>线路：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pacing w:val="20"/>
                <w:sz w:val="22"/>
                <w:highlight w:val="none"/>
              </w:rPr>
            </w:pPr>
            <w:r>
              <w:rPr>
                <w:rFonts w:hint="eastAsia" w:ascii="宋体" w:hAnsi="宋体" w:eastAsia="宋体" w:cs="宋体"/>
                <w:b/>
                <w:bCs/>
                <w:color w:val="auto"/>
                <w:sz w:val="22"/>
                <w:highlight w:val="none"/>
              </w:rPr>
              <w:t>序号</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pacing w:val="20"/>
                <w:sz w:val="22"/>
                <w:highlight w:val="none"/>
              </w:rPr>
            </w:pPr>
            <w:r>
              <w:rPr>
                <w:rFonts w:hint="eastAsia" w:ascii="宋体" w:hAnsi="宋体" w:eastAsia="宋体" w:cs="宋体"/>
                <w:b/>
                <w:bCs/>
                <w:color w:val="auto"/>
                <w:sz w:val="22"/>
                <w:highlight w:val="none"/>
              </w:rPr>
              <w:t>费用名称</w:t>
            </w:r>
          </w:p>
        </w:tc>
        <w:tc>
          <w:tcPr>
            <w:tcW w:w="174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数量</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单位</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pacing w:val="20"/>
                <w:sz w:val="22"/>
                <w:highlight w:val="none"/>
              </w:rPr>
            </w:pPr>
            <w:r>
              <w:rPr>
                <w:rFonts w:hint="eastAsia" w:ascii="宋体" w:hAnsi="宋体" w:eastAsia="宋体" w:cs="宋体"/>
                <w:b/>
                <w:bCs/>
                <w:color w:val="auto"/>
                <w:sz w:val="22"/>
                <w:highlight w:val="none"/>
              </w:rPr>
              <w:t>单价（元）</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outlineLvl w:val="9"/>
              <w:rPr>
                <w:rFonts w:hint="eastAsia" w:ascii="宋体" w:hAnsi="宋体" w:eastAsia="宋体" w:cs="宋体"/>
                <w:b/>
                <w:bCs/>
                <w:color w:val="auto"/>
                <w:spacing w:val="20"/>
                <w:sz w:val="22"/>
                <w:highlight w:val="none"/>
              </w:rPr>
            </w:pPr>
            <w:r>
              <w:rPr>
                <w:rFonts w:hint="eastAsia" w:ascii="宋体" w:hAnsi="宋体" w:eastAsia="宋体" w:cs="宋体"/>
                <w:b/>
                <w:bCs/>
                <w:color w:val="auto"/>
                <w:sz w:val="22"/>
                <w:highlight w:val="none"/>
              </w:rPr>
              <w:t>金额（元）</w:t>
            </w:r>
          </w:p>
        </w:tc>
        <w:tc>
          <w:tcPr>
            <w:tcW w:w="98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outlineLvl w:val="9"/>
              <w:rPr>
                <w:rFonts w:hint="eastAsia" w:ascii="宋体" w:hAnsi="宋体" w:eastAsia="宋体" w:cs="宋体"/>
                <w:b/>
                <w:bCs/>
                <w:color w:val="auto"/>
                <w:spacing w:val="20"/>
                <w:sz w:val="22"/>
                <w:highlight w:val="none"/>
              </w:rPr>
            </w:pPr>
            <w:r>
              <w:rPr>
                <w:rFonts w:hint="eastAsia" w:ascii="宋体" w:hAnsi="宋体" w:eastAsia="宋体" w:cs="宋体"/>
                <w:b/>
                <w:bCs/>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outlineLvl w:val="9"/>
              <w:rPr>
                <w:rFonts w:hint="eastAsia" w:ascii="宋体" w:hAnsi="宋体" w:eastAsia="宋体" w:cs="宋体"/>
                <w:b/>
                <w:bCs/>
                <w:color w:val="auto"/>
                <w:sz w:val="22"/>
                <w:highlight w:val="no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outlineLvl w:val="9"/>
              <w:rPr>
                <w:rFonts w:hint="eastAsia" w:ascii="宋体" w:hAnsi="宋体" w:eastAsia="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outlineLvl w:val="9"/>
              <w:rPr>
                <w:rFonts w:hint="eastAsia" w:ascii="宋体" w:hAnsi="宋体" w:eastAsia="宋体" w:cs="宋体"/>
                <w:b/>
                <w:bCs/>
                <w:color w:val="auto"/>
                <w:sz w:val="22"/>
                <w:highlight w:val="no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outlineLvl w:val="9"/>
              <w:rPr>
                <w:rFonts w:hint="eastAsia" w:ascii="宋体" w:hAnsi="宋体" w:eastAsia="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3</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center"/>
              <w:outlineLvl w:val="9"/>
              <w:rPr>
                <w:rFonts w:hint="eastAsia" w:ascii="宋体" w:hAnsi="宋体" w:eastAsia="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35"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line="400" w:lineRule="exact"/>
              <w:jc w:val="left"/>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合计</w:t>
            </w:r>
            <w:r>
              <w:rPr>
                <w:rFonts w:hint="eastAsia" w:ascii="宋体" w:hAnsi="宋体" w:eastAsia="宋体" w:cs="宋体"/>
                <w:b/>
                <w:bCs/>
                <w:color w:val="auto"/>
                <w:kern w:val="0"/>
                <w:sz w:val="22"/>
                <w:highlight w:val="none"/>
              </w:rPr>
              <w:t>单价</w:t>
            </w:r>
            <w:r>
              <w:rPr>
                <w:rFonts w:hint="eastAsia" w:ascii="宋体" w:hAnsi="宋体" w:eastAsia="宋体" w:cs="宋体"/>
                <w:b/>
                <w:bCs/>
                <w:color w:val="auto"/>
                <w:sz w:val="22"/>
                <w:highlight w:val="none"/>
              </w:rPr>
              <w:t>报价：小写：</w:t>
            </w:r>
          </w:p>
          <w:p>
            <w:pPr>
              <w:tabs>
                <w:tab w:val="left" w:pos="1418"/>
              </w:tabs>
              <w:snapToGrid w:val="0"/>
              <w:spacing w:line="400" w:lineRule="exact"/>
              <w:ind w:firstLine="1546" w:firstLineChars="700"/>
              <w:jc w:val="left"/>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大写：</w:t>
            </w:r>
          </w:p>
        </w:tc>
      </w:tr>
    </w:tbl>
    <w:p>
      <w:pPr>
        <w:spacing w:line="320" w:lineRule="exact"/>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备注：</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outlineLvl w:val="9"/>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1、“报价明细表”内“</w:t>
      </w:r>
      <w:r>
        <w:rPr>
          <w:rFonts w:hint="eastAsia" w:ascii="宋体" w:hAnsi="宋体" w:eastAsia="宋体" w:cs="宋体"/>
          <w:b/>
          <w:bCs/>
          <w:color w:val="auto"/>
          <w:sz w:val="22"/>
          <w:highlight w:val="none"/>
        </w:rPr>
        <w:t>合计</w:t>
      </w:r>
      <w:r>
        <w:rPr>
          <w:rFonts w:hint="eastAsia" w:ascii="宋体" w:hAnsi="宋体" w:eastAsia="宋体" w:cs="宋体"/>
          <w:b/>
          <w:bCs/>
          <w:color w:val="auto"/>
          <w:kern w:val="0"/>
          <w:sz w:val="22"/>
          <w:highlight w:val="none"/>
        </w:rPr>
        <w:t>单价</w:t>
      </w:r>
      <w:r>
        <w:rPr>
          <w:rFonts w:hint="eastAsia" w:ascii="宋体" w:hAnsi="宋体" w:eastAsia="宋体" w:cs="宋体"/>
          <w:b/>
          <w:bCs/>
          <w:color w:val="auto"/>
          <w:sz w:val="22"/>
          <w:highlight w:val="none"/>
        </w:rPr>
        <w:t>报价</w:t>
      </w:r>
      <w:r>
        <w:rPr>
          <w:rFonts w:hint="eastAsia" w:ascii="宋体" w:hAnsi="宋体" w:eastAsia="宋体" w:cs="宋体"/>
          <w:b/>
          <w:bCs/>
          <w:color w:val="auto"/>
          <w:kern w:val="2"/>
          <w:sz w:val="22"/>
          <w:szCs w:val="22"/>
          <w:highlight w:val="none"/>
          <w:lang w:val="en-US" w:eastAsia="zh-CN" w:bidi="ar-SA"/>
        </w:rPr>
        <w:t>”应与附件1“开标一览表”中“投标报价”相一致。</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outlineLvl w:val="9"/>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2、如果含在服务价格中则填“含”，如无此项内容则填“无”，不留空白。此表投标人可根据实际需求自行编制。每一项目只允许有一个报价，任何有选择的报价将不予接受。</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outlineLvl w:val="9"/>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3、</w:t>
      </w:r>
      <w:r>
        <w:rPr>
          <w:rFonts w:hint="eastAsia" w:ascii="宋体" w:hAnsi="宋体" w:eastAsia="宋体" w:cs="宋体"/>
          <w:b/>
          <w:bCs/>
          <w:color w:val="auto"/>
          <w:kern w:val="2"/>
          <w:sz w:val="22"/>
          <w:szCs w:val="22"/>
          <w:highlight w:val="none"/>
          <w:u w:val="single"/>
          <w:lang w:val="en-US" w:eastAsia="zh-CN" w:bidi="ar-SA"/>
        </w:rPr>
        <w:t>▲不提供报价明细表将视为没有实质性响应招标文件。</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outlineLvl w:val="9"/>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4、在中标或者成交公告的内容中增加本表，请各投标人认真填写，确保报价数据的真实性、完整性和合理性。</w:t>
      </w:r>
    </w:p>
    <w:p>
      <w:pPr>
        <w:spacing w:line="320" w:lineRule="exact"/>
        <w:outlineLvl w:val="9"/>
        <w:rPr>
          <w:rFonts w:hint="eastAsia" w:ascii="宋体" w:hAnsi="宋体" w:eastAsia="宋体" w:cs="宋体"/>
          <w:color w:val="auto"/>
          <w:szCs w:val="21"/>
          <w:highlight w:val="none"/>
        </w:rPr>
      </w:pPr>
    </w:p>
    <w:p>
      <w:pPr>
        <w:widowControl/>
        <w:spacing w:line="360" w:lineRule="exact"/>
        <w:outlineLvl w:val="9"/>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360" w:lineRule="exact"/>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360" w:lineRule="exact"/>
        <w:jc w:val="left"/>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napToGrid w:val="0"/>
        <w:spacing w:beforeLines="50" w:after="50"/>
        <w:jc w:val="center"/>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二、资格文件部分封面格式</w:t>
      </w:r>
    </w:p>
    <w:p>
      <w:pPr>
        <w:snapToGrid w:val="0"/>
        <w:spacing w:beforeLines="50" w:after="50"/>
        <w:jc w:val="center"/>
        <w:outlineLvl w:val="9"/>
        <w:rPr>
          <w:rFonts w:hint="eastAsia" w:ascii="宋体" w:hAnsi="宋体" w:eastAsia="宋体" w:cs="宋体"/>
          <w:b/>
          <w:bCs/>
          <w:color w:val="auto"/>
          <w:sz w:val="24"/>
          <w:highlight w:val="none"/>
        </w:rPr>
      </w:pPr>
    </w:p>
    <w:p>
      <w:pPr>
        <w:pStyle w:val="14"/>
        <w:ind w:left="0" w:leftChars="0" w:right="1470"/>
        <w:outlineLvl w:val="9"/>
        <w:rPr>
          <w:rFonts w:hint="eastAsia" w:ascii="宋体" w:hAnsi="宋体" w:eastAsia="宋体" w:cs="宋体"/>
          <w:b/>
          <w:color w:val="auto"/>
          <w:sz w:val="24"/>
          <w:szCs w:val="24"/>
          <w:highlight w:val="none"/>
        </w:rPr>
      </w:pPr>
    </w:p>
    <w:p>
      <w:pPr>
        <w:snapToGrid w:val="0"/>
        <w:spacing w:line="400" w:lineRule="exact"/>
        <w:jc w:val="center"/>
        <w:outlineLvl w:val="9"/>
        <w:rPr>
          <w:rFonts w:hint="eastAsia" w:ascii="宋体" w:hAnsi="宋体" w:eastAsia="宋体" w:cs="宋体"/>
          <w:b/>
          <w:bCs/>
          <w:color w:val="auto"/>
          <w:sz w:val="24"/>
          <w:szCs w:val="20"/>
          <w:highlight w:val="none"/>
        </w:rPr>
      </w:pPr>
    </w:p>
    <w:p>
      <w:pPr>
        <w:snapToGrid w:val="0"/>
        <w:spacing w:line="400" w:lineRule="exact"/>
        <w:jc w:val="center"/>
        <w:outlineLvl w:val="9"/>
        <w:rPr>
          <w:rFonts w:hint="eastAsia" w:ascii="宋体" w:hAnsi="宋体" w:eastAsia="宋体" w:cs="宋体"/>
          <w:bCs/>
          <w:color w:val="auto"/>
          <w:sz w:val="24"/>
          <w:szCs w:val="20"/>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10" name="文本框 10"/>
                <wp:cNvGraphicFramePr/>
                <a:graphic xmlns:a="http://schemas.openxmlformats.org/drawingml/2006/main">
                  <a:graphicData uri="http://schemas.microsoft.com/office/word/2010/wordprocessingShape">
                    <wps:wsp>
                      <wps:cNvSpPr txBox="1">
                        <a:spLocks noRot="1"/>
                      </wps:cNvSpPr>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资格文件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lang w:eastAsia="zh-CN"/>
                              </w:rPr>
                              <w:t>标项名称</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xbxContent>
                      </wps:txbx>
                      <wps:bodyPr upright="1"/>
                    </wps:wsp>
                  </a:graphicData>
                </a:graphic>
              </wp:anchor>
            </w:drawing>
          </mc:Choice>
          <mc:Fallback>
            <w:pict>
              <v:shape id="_x0000_s1026" o:spid="_x0000_s1026" o:spt="202" type="#_x0000_t202" style="position:absolute;left:0pt;margin-left:30.7pt;margin-top:16pt;height:263.35pt;width:399.75pt;mso-wrap-distance-bottom:0pt;mso-wrap-distance-top:0pt;z-index:251659264;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zosQ3&#10;2QAAAAkBAAAPAAAAAAAAAAEAIAAAACIAAABkcnMvZG93bnJldi54bWxQSwECFAAUAAAACACHTuJA&#10;cC66vyACAABqBAAADgAAAAAAAAABACAAAAAoAQAAZHJzL2Uyb0RvYy54bWxQSwUGAAAAAAYABgBZ&#10;AQAAugUAAAAA&#10;">
                <v:fill on="t" focussize="0,0"/>
                <v:stroke color="#000000" joinstyle="miter"/>
                <v:imagedata o:title=""/>
                <o:lock v:ext="edit" rotation="t" aspectratio="f"/>
                <v:textbo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资格文件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lang w:eastAsia="zh-CN"/>
                        </w:rPr>
                        <w:t>标项名称</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xbxContent>
                </v:textbox>
                <w10:wrap type="topAndBottom"/>
              </v:shape>
            </w:pict>
          </mc:Fallback>
        </mc:AlternateContent>
      </w:r>
    </w:p>
    <w:p>
      <w:pP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附件3</w:t>
      </w:r>
      <w:r>
        <w:rPr>
          <w:rFonts w:hint="eastAsia" w:ascii="宋体" w:hAnsi="宋体" w:eastAsia="宋体" w:cs="宋体"/>
          <w:b/>
          <w:color w:val="auto"/>
          <w:sz w:val="24"/>
          <w:szCs w:val="24"/>
          <w:highlight w:val="none"/>
        </w:rPr>
        <w:t xml:space="preserve">                                 资格文件</w:t>
      </w:r>
    </w:p>
    <w:p>
      <w:pPr>
        <w:spacing w:line="400" w:lineRule="exact"/>
        <w:outlineLvl w:val="9"/>
        <w:rPr>
          <w:rFonts w:hint="eastAsia" w:ascii="宋体" w:hAnsi="宋体" w:eastAsia="宋体" w:cs="宋体"/>
          <w:b/>
          <w:color w:val="auto"/>
          <w:sz w:val="24"/>
          <w:szCs w:val="24"/>
          <w:highlight w:val="none"/>
        </w:rPr>
      </w:pPr>
    </w:p>
    <w:p>
      <w:pPr>
        <w:spacing w:line="40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附件3</w:t>
      </w:r>
      <w:r>
        <w:rPr>
          <w:rFonts w:hint="eastAsia" w:ascii="宋体" w:hAnsi="宋体" w:eastAsia="宋体" w:cs="宋体"/>
          <w:b/>
          <w:color w:val="auto"/>
          <w:sz w:val="24"/>
          <w:szCs w:val="24"/>
          <w:highlight w:val="none"/>
        </w:rPr>
        <w:t>-1</w:t>
      </w:r>
    </w:p>
    <w:p>
      <w:pPr>
        <w:pStyle w:val="12"/>
        <w:outlineLvl w:val="9"/>
        <w:rPr>
          <w:rFonts w:hint="eastAsia" w:ascii="宋体" w:hAnsi="宋体" w:eastAsia="宋体" w:cs="宋体"/>
          <w:color w:val="auto"/>
          <w:highlight w:val="none"/>
        </w:rPr>
      </w:pPr>
    </w:p>
    <w:p>
      <w:pPr>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有效的法人或者其他组织的营业执照等证明文件，自然人的身份证明（五选一）</w:t>
      </w:r>
    </w:p>
    <w:p>
      <w:pPr>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2"/>
          <w:highlight w:val="none"/>
          <w:u w:val="single"/>
        </w:rPr>
        <w:t>（如为联合体投标，则联合体各方均须提供）</w:t>
      </w:r>
    </w:p>
    <w:p>
      <w:pPr>
        <w:spacing w:line="360" w:lineRule="auto"/>
        <w:outlineLvl w:val="9"/>
        <w:rPr>
          <w:rFonts w:hint="eastAsia" w:ascii="宋体" w:hAnsi="宋体" w:eastAsia="宋体" w:cs="宋体"/>
          <w:b/>
          <w:color w:val="auto"/>
          <w:sz w:val="24"/>
          <w:szCs w:val="24"/>
          <w:highlight w:val="none"/>
        </w:rPr>
      </w:pPr>
    </w:p>
    <w:p>
      <w:pPr>
        <w:spacing w:line="360" w:lineRule="auto"/>
        <w:outlineLvl w:val="9"/>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说明：</w:t>
      </w:r>
    </w:p>
    <w:p>
      <w:pPr>
        <w:pStyle w:val="22"/>
        <w:spacing w:line="360" w:lineRule="auto"/>
        <w:ind w:left="418" w:hanging="418"/>
        <w:outlineLvl w:val="9"/>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1.如投标人是企业（包括合伙企业），提供有效“企业法人营业执照”或“营业执照”；</w:t>
      </w:r>
    </w:p>
    <w:p>
      <w:pPr>
        <w:pStyle w:val="22"/>
        <w:spacing w:line="360" w:lineRule="auto"/>
        <w:ind w:left="418" w:hanging="418"/>
        <w:outlineLvl w:val="9"/>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2.如投标人是事业单位，提供有效的“事业单位法人证书”；</w:t>
      </w:r>
    </w:p>
    <w:p>
      <w:pPr>
        <w:pStyle w:val="22"/>
        <w:spacing w:line="360" w:lineRule="auto"/>
        <w:ind w:left="418" w:hanging="418"/>
        <w:outlineLvl w:val="9"/>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3.如投标人是非企业专业服务机构的，提供执业许可证等证明文件；</w:t>
      </w:r>
    </w:p>
    <w:p>
      <w:pPr>
        <w:pStyle w:val="22"/>
        <w:spacing w:line="360" w:lineRule="auto"/>
        <w:ind w:left="418" w:hanging="418"/>
        <w:outlineLvl w:val="9"/>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4.如投标人是个体工商户，提供有效的“个体工商户营业执照”；</w:t>
      </w:r>
    </w:p>
    <w:p>
      <w:pPr>
        <w:pStyle w:val="22"/>
        <w:spacing w:line="360" w:lineRule="auto"/>
        <w:ind w:left="418" w:hanging="418"/>
        <w:outlineLvl w:val="9"/>
        <w:rPr>
          <w:rFonts w:hint="eastAsia" w:ascii="宋体" w:hAnsi="宋体" w:eastAsia="宋体" w:cs="宋体"/>
          <w:color w:val="auto"/>
          <w:highlight w:val="none"/>
        </w:rPr>
      </w:pPr>
      <w:r>
        <w:rPr>
          <w:rFonts w:hint="eastAsia" w:ascii="宋体" w:hAnsi="宋体" w:eastAsia="宋体" w:cs="宋体"/>
          <w:b/>
          <w:color w:val="auto"/>
          <w:spacing w:val="-6"/>
          <w:sz w:val="22"/>
          <w:highlight w:val="none"/>
        </w:rPr>
        <w:t>5.如投标人是自然人，提供有效的自然人身份证明（居民身份证正反面或公安机关出具的临时居民身份证正反面或港澳台胞证或证照）。</w:t>
      </w:r>
    </w:p>
    <w:p>
      <w:pP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附件3</w:t>
      </w:r>
      <w:r>
        <w:rPr>
          <w:rFonts w:hint="eastAsia" w:ascii="宋体" w:hAnsi="宋体" w:eastAsia="宋体" w:cs="宋体"/>
          <w:b/>
          <w:color w:val="auto"/>
          <w:sz w:val="24"/>
          <w:szCs w:val="24"/>
          <w:highlight w:val="none"/>
        </w:rPr>
        <w:t>-2</w:t>
      </w:r>
    </w:p>
    <w:p>
      <w:pPr>
        <w:spacing w:beforeLines="100" w:afterLines="100"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关于符合《中华人民共和国政府采购法》第二十二条规定的承诺函</w:t>
      </w:r>
    </w:p>
    <w:p>
      <w:pPr>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2"/>
          <w:highlight w:val="none"/>
          <w:u w:val="single"/>
        </w:rPr>
        <w:t>（如为联合体投标，则联合体各方均须提供，并各自加盖公章）</w:t>
      </w:r>
    </w:p>
    <w:p>
      <w:pPr>
        <w:spacing w:beforeLines="100" w:afterLines="100" w:line="360" w:lineRule="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致：</w:t>
      </w:r>
      <w:r>
        <w:rPr>
          <w:rFonts w:hint="eastAsia" w:ascii="宋体" w:hAnsi="宋体" w:cs="宋体"/>
          <w:color w:val="auto"/>
          <w:sz w:val="22"/>
          <w:highlight w:val="none"/>
          <w:lang w:eastAsia="zh-CN"/>
        </w:rPr>
        <w:t>温州理工学院</w:t>
      </w:r>
      <w:r>
        <w:rPr>
          <w:rFonts w:hint="eastAsia" w:ascii="宋体" w:hAnsi="宋体" w:eastAsia="宋体" w:cs="宋体"/>
          <w:color w:val="auto"/>
          <w:sz w:val="22"/>
          <w:highlight w:val="none"/>
        </w:rPr>
        <w:t>、浙江乐诚工程咨询有限公司</w:t>
      </w:r>
      <w:r>
        <w:rPr>
          <w:rFonts w:hint="eastAsia" w:ascii="宋体" w:hAnsi="宋体" w:eastAsia="宋体" w:cs="宋体"/>
          <w:color w:val="auto"/>
          <w:spacing w:val="-6"/>
          <w:sz w:val="22"/>
          <w:highlight w:val="none"/>
        </w:rPr>
        <w:t>：</w:t>
      </w:r>
    </w:p>
    <w:p>
      <w:pPr>
        <w:spacing w:line="360" w:lineRule="auto"/>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我单位就</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eastAsia="zh-CN"/>
        </w:rPr>
        <w:t>标项名称</w:t>
      </w:r>
      <w:r>
        <w:rPr>
          <w:rFonts w:hint="eastAsia" w:ascii="宋体" w:hAnsi="宋体" w:eastAsia="宋体" w:cs="宋体"/>
          <w:color w:val="auto"/>
          <w:sz w:val="22"/>
          <w:highlight w:val="none"/>
          <w:u w:val="single"/>
        </w:rPr>
        <w:t>）           （项目编号）</w:t>
      </w:r>
      <w:r>
        <w:rPr>
          <w:rFonts w:hint="eastAsia" w:ascii="宋体" w:hAnsi="宋体" w:eastAsia="宋体" w:cs="宋体"/>
          <w:color w:val="auto"/>
          <w:sz w:val="22"/>
          <w:highlight w:val="none"/>
        </w:rPr>
        <w:t>项目承诺具备下列条件：</w:t>
      </w:r>
    </w:p>
    <w:p>
      <w:pPr>
        <w:pStyle w:val="26"/>
        <w:keepNext w:val="0"/>
        <w:keepLines w:val="0"/>
        <w:pageBreakBefore w:val="0"/>
        <w:kinsoku/>
        <w:wordWrap/>
        <w:overflowPunct/>
        <w:topLinePunct w:val="0"/>
        <w:autoSpaceDE/>
        <w:autoSpaceDN/>
        <w:bidi w:val="0"/>
        <w:spacing w:before="0" w:beforeAutospacing="0" w:after="0" w:afterAutospacing="0" w:line="360" w:lineRule="exact"/>
        <w:ind w:firstLine="440" w:firstLineChars="200"/>
        <w:textAlignment w:val="auto"/>
        <w:outlineLvl w:val="9"/>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（一）具有独立承担民事责任的能力；</w:t>
      </w:r>
    </w:p>
    <w:p>
      <w:pPr>
        <w:pStyle w:val="26"/>
        <w:keepNext w:val="0"/>
        <w:keepLines w:val="0"/>
        <w:pageBreakBefore w:val="0"/>
        <w:kinsoku/>
        <w:wordWrap/>
        <w:overflowPunct/>
        <w:topLinePunct w:val="0"/>
        <w:autoSpaceDE/>
        <w:autoSpaceDN/>
        <w:bidi w:val="0"/>
        <w:spacing w:before="0" w:beforeAutospacing="0" w:after="0" w:afterAutospacing="0" w:line="360" w:lineRule="exact"/>
        <w:ind w:firstLine="440" w:firstLineChars="200"/>
        <w:textAlignment w:val="auto"/>
        <w:outlineLvl w:val="9"/>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（二）具有良好的商业信誉和健全的财务会计制度；</w:t>
      </w:r>
    </w:p>
    <w:p>
      <w:pPr>
        <w:pStyle w:val="26"/>
        <w:keepNext w:val="0"/>
        <w:keepLines w:val="0"/>
        <w:pageBreakBefore w:val="0"/>
        <w:kinsoku/>
        <w:wordWrap/>
        <w:overflowPunct/>
        <w:topLinePunct w:val="0"/>
        <w:autoSpaceDE/>
        <w:autoSpaceDN/>
        <w:bidi w:val="0"/>
        <w:spacing w:before="0" w:beforeAutospacing="0" w:after="0" w:afterAutospacing="0" w:line="360" w:lineRule="exact"/>
        <w:ind w:firstLine="440" w:firstLineChars="200"/>
        <w:textAlignment w:val="auto"/>
        <w:outlineLvl w:val="9"/>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（三）具有履行合同所必需的设备和专业技术能力；</w:t>
      </w:r>
    </w:p>
    <w:p>
      <w:pPr>
        <w:pStyle w:val="26"/>
        <w:keepNext w:val="0"/>
        <w:keepLines w:val="0"/>
        <w:pageBreakBefore w:val="0"/>
        <w:kinsoku/>
        <w:wordWrap/>
        <w:overflowPunct/>
        <w:topLinePunct w:val="0"/>
        <w:autoSpaceDE/>
        <w:autoSpaceDN/>
        <w:bidi w:val="0"/>
        <w:spacing w:before="0" w:beforeAutospacing="0" w:after="0" w:afterAutospacing="0" w:line="360" w:lineRule="exact"/>
        <w:ind w:firstLine="440" w:firstLineChars="200"/>
        <w:textAlignment w:val="auto"/>
        <w:outlineLvl w:val="9"/>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（四）有依法缴纳税收和社会保障资金的良好记录；</w:t>
      </w:r>
    </w:p>
    <w:p>
      <w:pPr>
        <w:pStyle w:val="26"/>
        <w:keepNext w:val="0"/>
        <w:keepLines w:val="0"/>
        <w:pageBreakBefore w:val="0"/>
        <w:kinsoku/>
        <w:wordWrap/>
        <w:overflowPunct/>
        <w:topLinePunct w:val="0"/>
        <w:autoSpaceDE/>
        <w:autoSpaceDN/>
        <w:bidi w:val="0"/>
        <w:spacing w:before="0" w:beforeAutospacing="0" w:after="0" w:afterAutospacing="0" w:line="360" w:lineRule="exact"/>
        <w:ind w:firstLine="440" w:firstLineChars="200"/>
        <w:textAlignment w:val="auto"/>
        <w:outlineLvl w:val="9"/>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（五）参加政府采购活动前三年内，在经营活动中没有重大违法记录（重大违法记录是指供应商因违法经营受到刑事处罚或者责令停产停业、吊销许可证或者执照、较大数额罚款等行政处罚。）；</w:t>
      </w:r>
    </w:p>
    <w:p>
      <w:pPr>
        <w:pStyle w:val="26"/>
        <w:keepNext w:val="0"/>
        <w:keepLines w:val="0"/>
        <w:pageBreakBefore w:val="0"/>
        <w:kinsoku/>
        <w:wordWrap/>
        <w:overflowPunct/>
        <w:topLinePunct w:val="0"/>
        <w:autoSpaceDE/>
        <w:autoSpaceDN/>
        <w:bidi w:val="0"/>
        <w:spacing w:before="0" w:beforeAutospacing="0" w:after="0" w:afterAutospacing="0" w:line="360" w:lineRule="exact"/>
        <w:ind w:firstLine="440" w:firstLineChars="200"/>
        <w:textAlignment w:val="auto"/>
        <w:outlineLvl w:val="9"/>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六）未被“信用中国”（www.creditchina.gov.cn）、中国政府采购网（www.ccgp.gov.cn）列入失信被执行人、重大税收违法案件当事人名单、政府采购严重违法失信行为记录名单：以采购代理机构在开标当日查询记录为准。</w:t>
      </w:r>
    </w:p>
    <w:p>
      <w:pPr>
        <w:keepNext w:val="0"/>
        <w:keepLines w:val="0"/>
        <w:pageBreakBefore w:val="0"/>
        <w:kinsoku/>
        <w:wordWrap/>
        <w:overflowPunct/>
        <w:topLinePunct w:val="0"/>
        <w:autoSpaceDE/>
        <w:autoSpaceDN/>
        <w:bidi w:val="0"/>
        <w:adjustRightInd w:val="0"/>
        <w:snapToGrid w:val="0"/>
        <w:spacing w:line="360" w:lineRule="exact"/>
        <w:ind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（七）不存在以下情况：</w:t>
      </w:r>
    </w:p>
    <w:p>
      <w:pPr>
        <w:keepNext w:val="0"/>
        <w:keepLines w:val="0"/>
        <w:pageBreakBefore w:val="0"/>
        <w:kinsoku/>
        <w:wordWrap/>
        <w:overflowPunct/>
        <w:topLinePunct w:val="0"/>
        <w:autoSpaceDE/>
        <w:autoSpaceDN/>
        <w:bidi w:val="0"/>
        <w:adjustRightInd w:val="0"/>
        <w:snapToGrid w:val="0"/>
        <w:spacing w:line="360" w:lineRule="exact"/>
        <w:ind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1、单位负责人为同一人或者存在直接控股、管理关系的不同供应商参加同一合同项下的政府采购活动的；</w:t>
      </w:r>
    </w:p>
    <w:p>
      <w:pPr>
        <w:keepNext w:val="0"/>
        <w:keepLines w:val="0"/>
        <w:pageBreakBefore w:val="0"/>
        <w:kinsoku/>
        <w:wordWrap/>
        <w:overflowPunct/>
        <w:topLinePunct w:val="0"/>
        <w:autoSpaceDE/>
        <w:autoSpaceDN/>
        <w:bidi w:val="0"/>
        <w:adjustRightInd w:val="0"/>
        <w:snapToGrid w:val="0"/>
        <w:spacing w:line="360" w:lineRule="exact"/>
        <w:ind w:firstLine="440" w:firstLineChars="200"/>
        <w:jc w:val="left"/>
        <w:textAlignment w:val="auto"/>
        <w:outlineLvl w:val="9"/>
        <w:rPr>
          <w:rFonts w:hint="eastAsia" w:ascii="宋体" w:hAnsi="宋体" w:eastAsia="宋体" w:cs="宋体"/>
          <w:bCs/>
          <w:color w:val="auto"/>
          <w:kern w:val="2"/>
          <w:sz w:val="22"/>
          <w:highlight w:val="none"/>
        </w:rPr>
      </w:pPr>
      <w:r>
        <w:rPr>
          <w:rFonts w:hint="eastAsia" w:ascii="宋体" w:hAnsi="宋体" w:eastAsia="宋体" w:cs="宋体"/>
          <w:color w:val="auto"/>
          <w:sz w:val="22"/>
          <w:szCs w:val="22"/>
          <w:highlight w:val="none"/>
        </w:rPr>
        <w:t>2、为采购项目提供整体设计、规范编制或者项目管理、监理、检测等服务后再参加该采购项目的其他采购活动的。</w:t>
      </w:r>
    </w:p>
    <w:p>
      <w:pPr>
        <w:pStyle w:val="26"/>
        <w:keepNext w:val="0"/>
        <w:keepLines w:val="0"/>
        <w:pageBreakBefore w:val="0"/>
        <w:kinsoku/>
        <w:wordWrap/>
        <w:overflowPunct/>
        <w:topLinePunct w:val="0"/>
        <w:autoSpaceDE/>
        <w:autoSpaceDN/>
        <w:bidi w:val="0"/>
        <w:spacing w:before="0" w:beforeAutospacing="0" w:after="0" w:afterAutospacing="0" w:line="360" w:lineRule="exact"/>
        <w:ind w:firstLine="442" w:firstLineChars="200"/>
        <w:textAlignment w:val="auto"/>
        <w:outlineLvl w:val="9"/>
        <w:rPr>
          <w:rStyle w:val="74"/>
          <w:rFonts w:hint="eastAsia" w:ascii="宋体" w:hAnsi="宋体" w:eastAsia="宋体" w:cs="宋体"/>
          <w:color w:val="auto"/>
          <w:sz w:val="22"/>
          <w:highlight w:val="none"/>
        </w:rPr>
      </w:pPr>
      <w:r>
        <w:rPr>
          <w:rStyle w:val="74"/>
          <w:rFonts w:hint="eastAsia" w:ascii="宋体" w:hAnsi="宋体" w:eastAsia="宋体" w:cs="宋体"/>
          <w:b/>
          <w:bCs/>
          <w:color w:val="auto"/>
          <w:sz w:val="22"/>
          <w:highlight w:val="none"/>
        </w:rPr>
        <w:t>本公司对上述承诺的真实性负责。上述承诺如有虚假，将按“提供虚假材料谋取中标、成交”情形，由采购人取消我公司任何资格（投标/中标/签订合同），且由采购单位/采购代理机构报告至政府采购监管部门。</w:t>
      </w:r>
      <w:r>
        <w:rPr>
          <w:rStyle w:val="74"/>
          <w:rFonts w:hint="eastAsia" w:ascii="宋体" w:hAnsi="宋体" w:eastAsia="宋体" w:cs="宋体"/>
          <w:color w:val="auto"/>
          <w:sz w:val="22"/>
          <w:highlight w:val="none"/>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规定予以处理。</w:t>
      </w:r>
    </w:p>
    <w:p>
      <w:pPr>
        <w:pStyle w:val="26"/>
        <w:keepNext w:val="0"/>
        <w:keepLines w:val="0"/>
        <w:pageBreakBefore w:val="0"/>
        <w:kinsoku/>
        <w:wordWrap/>
        <w:overflowPunct/>
        <w:topLinePunct w:val="0"/>
        <w:autoSpaceDE/>
        <w:autoSpaceDN/>
        <w:bidi w:val="0"/>
        <w:spacing w:before="0" w:beforeAutospacing="0" w:after="0" w:afterAutospacing="0" w:line="360" w:lineRule="exact"/>
        <w:ind w:firstLine="440" w:firstLineChars="200"/>
        <w:textAlignment w:val="auto"/>
        <w:rPr>
          <w:rStyle w:val="74"/>
          <w:rFonts w:hint="eastAsia" w:ascii="宋体" w:hAnsi="宋体" w:eastAsia="宋体" w:cs="宋体"/>
          <w:color w:val="auto"/>
          <w:sz w:val="22"/>
          <w:highlight w:val="none"/>
        </w:rPr>
      </w:pPr>
      <w:r>
        <w:rPr>
          <w:rStyle w:val="74"/>
          <w:rFonts w:hint="eastAsia" w:ascii="宋体" w:hAnsi="宋体" w:eastAsia="宋体" w:cs="宋体"/>
          <w:color w:val="auto"/>
          <w:sz w:val="22"/>
          <w:highlight w:val="none"/>
        </w:rPr>
        <w:t>《中华人民共和国政府采购法实施条例》第十九条第一款规定的“</w:t>
      </w:r>
      <w:r>
        <w:rPr>
          <w:rFonts w:hint="eastAsia" w:ascii="宋体" w:hAnsi="宋体" w:eastAsia="宋体" w:cs="宋体"/>
          <w:color w:val="auto"/>
          <w:kern w:val="2"/>
          <w:sz w:val="22"/>
          <w:highlight w:val="none"/>
        </w:rPr>
        <w:t>较大数额罚款</w:t>
      </w:r>
      <w:r>
        <w:rPr>
          <w:rStyle w:val="74"/>
          <w:rFonts w:hint="eastAsia" w:ascii="宋体" w:hAnsi="宋体" w:eastAsia="宋体" w:cs="宋体"/>
          <w:color w:val="auto"/>
          <w:sz w:val="22"/>
          <w:highlight w:val="none"/>
        </w:rPr>
        <w:t>”认定为200万元以上的罚款，法律、行政法规以及国务院有关部门明确规定相关领域“</w:t>
      </w:r>
      <w:r>
        <w:rPr>
          <w:rFonts w:hint="eastAsia" w:ascii="宋体" w:hAnsi="宋体" w:eastAsia="宋体" w:cs="宋体"/>
          <w:color w:val="auto"/>
          <w:kern w:val="2"/>
          <w:sz w:val="22"/>
          <w:highlight w:val="none"/>
        </w:rPr>
        <w:t>较大数额罚款</w:t>
      </w:r>
      <w:r>
        <w:rPr>
          <w:rStyle w:val="74"/>
          <w:rFonts w:hint="eastAsia" w:ascii="宋体" w:hAnsi="宋体" w:eastAsia="宋体" w:cs="宋体"/>
          <w:color w:val="auto"/>
          <w:sz w:val="22"/>
          <w:highlight w:val="none"/>
        </w:rPr>
        <w:t>”标准高于200万元的，从其规定。</w:t>
      </w:r>
    </w:p>
    <w:p>
      <w:pPr>
        <w:pStyle w:val="26"/>
        <w:keepNext w:val="0"/>
        <w:keepLines w:val="0"/>
        <w:pageBreakBefore w:val="0"/>
        <w:kinsoku/>
        <w:wordWrap/>
        <w:overflowPunct/>
        <w:topLinePunct w:val="0"/>
        <w:autoSpaceDE/>
        <w:autoSpaceDN/>
        <w:bidi w:val="0"/>
        <w:spacing w:before="0" w:beforeAutospacing="0" w:after="0" w:afterAutospacing="0" w:line="360" w:lineRule="exact"/>
        <w:ind w:firstLine="440" w:firstLineChars="200"/>
        <w:textAlignment w:val="auto"/>
        <w:rPr>
          <w:rStyle w:val="74"/>
          <w:rFonts w:hint="eastAsia" w:ascii="宋体" w:hAnsi="宋体" w:eastAsia="宋体" w:cs="宋体"/>
          <w:color w:val="auto"/>
          <w:sz w:val="22"/>
          <w:highlight w:val="none"/>
        </w:rPr>
      </w:pPr>
      <w:r>
        <w:rPr>
          <w:rStyle w:val="74"/>
          <w:rFonts w:hint="eastAsia" w:ascii="宋体" w:hAnsi="宋体" w:eastAsia="宋体" w:cs="宋体"/>
          <w:color w:val="auto"/>
          <w:sz w:val="22"/>
          <w:highlight w:val="none"/>
        </w:rPr>
        <w:t>我单位已知晓前述法律规定，对此无任何异议。</w:t>
      </w:r>
    </w:p>
    <w:p>
      <w:pPr>
        <w:ind w:firstLine="442" w:firstLineChars="200"/>
        <w:rPr>
          <w:rStyle w:val="74"/>
          <w:rFonts w:hint="eastAsia" w:ascii="宋体" w:hAnsi="宋体" w:eastAsia="宋体" w:cs="宋体"/>
          <w:b/>
          <w:bCs/>
          <w:color w:val="auto"/>
          <w:sz w:val="22"/>
          <w:highlight w:val="none"/>
          <w:u w:val="single"/>
        </w:rPr>
      </w:pPr>
      <w:r>
        <w:rPr>
          <w:rStyle w:val="74"/>
          <w:rFonts w:hint="eastAsia" w:ascii="宋体" w:hAnsi="宋体" w:eastAsia="宋体" w:cs="宋体"/>
          <w:b/>
          <w:bCs/>
          <w:color w:val="auto"/>
          <w:sz w:val="22"/>
          <w:highlight w:val="none"/>
        </w:rPr>
        <w:t>注：</w:t>
      </w:r>
      <w:r>
        <w:rPr>
          <w:rStyle w:val="74"/>
          <w:rFonts w:hint="eastAsia" w:ascii="宋体" w:hAnsi="宋体" w:eastAsia="宋体" w:cs="宋体"/>
          <w:color w:val="auto"/>
          <w:sz w:val="22"/>
          <w:highlight w:val="none"/>
          <w:u w:val="single"/>
        </w:rPr>
        <w:t>▲</w:t>
      </w:r>
      <w:r>
        <w:rPr>
          <w:rStyle w:val="74"/>
          <w:rFonts w:hint="eastAsia" w:ascii="宋体" w:hAnsi="宋体" w:eastAsia="宋体" w:cs="宋体"/>
          <w:b/>
          <w:bCs/>
          <w:color w:val="auto"/>
          <w:sz w:val="22"/>
          <w:highlight w:val="none"/>
          <w:u w:val="single"/>
        </w:rPr>
        <w:t>本承诺函必须提供。</w:t>
      </w:r>
    </w:p>
    <w:p>
      <w:pPr>
        <w:spacing w:line="360" w:lineRule="auto"/>
        <w:ind w:left="4620" w:leftChars="2200"/>
        <w:rPr>
          <w:rFonts w:hint="eastAsia" w:ascii="宋体" w:hAnsi="宋体" w:eastAsia="宋体" w:cs="宋体"/>
          <w:color w:val="auto"/>
          <w:szCs w:val="21"/>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spacing w:line="360" w:lineRule="exact"/>
        <w:jc w:val="left"/>
        <w:rPr>
          <w:rFonts w:hint="eastAsia" w:ascii="宋体" w:hAnsi="宋体" w:eastAsia="宋体" w:cs="宋体"/>
          <w:color w:val="auto"/>
          <w:sz w:val="22"/>
          <w:highlight w:val="none"/>
        </w:rPr>
      </w:pPr>
      <w:r>
        <w:rPr>
          <w:rFonts w:hint="eastAsia" w:ascii="宋体" w:hAnsi="宋体" w:eastAsia="宋体" w:cs="宋体"/>
          <w:b/>
          <w:color w:val="auto"/>
          <w:sz w:val="24"/>
          <w:szCs w:val="24"/>
          <w:highlight w:val="none"/>
          <w:lang w:eastAsia="zh-CN"/>
        </w:rPr>
        <w:t>附件3</w:t>
      </w:r>
      <w:r>
        <w:rPr>
          <w:rFonts w:hint="eastAsia" w:ascii="宋体" w:hAnsi="宋体" w:eastAsia="宋体" w:cs="宋体"/>
          <w:b/>
          <w:color w:val="auto"/>
          <w:sz w:val="24"/>
          <w:szCs w:val="24"/>
          <w:highlight w:val="none"/>
        </w:rPr>
        <w:t>-3</w:t>
      </w:r>
    </w:p>
    <w:p>
      <w:pPr>
        <w:pStyle w:val="26"/>
        <w:spacing w:before="0" w:beforeAutospacing="0" w:after="0" w:afterAutospacing="0" w:line="400" w:lineRule="exact"/>
        <w:jc w:val="center"/>
        <w:rPr>
          <w:rFonts w:hint="eastAsia" w:ascii="宋体" w:hAnsi="宋体" w:eastAsia="宋体" w:cs="宋体"/>
          <w:b/>
          <w:bCs/>
          <w:color w:val="auto"/>
          <w:sz w:val="28"/>
          <w:szCs w:val="28"/>
          <w:highlight w:val="none"/>
          <w:shd w:val="clear" w:color="auto" w:fill="FFFFFF"/>
        </w:rPr>
      </w:pPr>
      <w:r>
        <w:rPr>
          <w:rFonts w:hint="eastAsia" w:ascii="宋体" w:hAnsi="宋体" w:eastAsia="宋体" w:cs="宋体"/>
          <w:b/>
          <w:bCs/>
          <w:color w:val="auto"/>
          <w:sz w:val="28"/>
          <w:szCs w:val="28"/>
          <w:highlight w:val="none"/>
          <w:shd w:val="clear" w:color="auto" w:fill="FFFFFF"/>
          <w:lang w:val="en-US" w:eastAsia="zh-CN"/>
        </w:rPr>
        <w:t>①</w:t>
      </w:r>
      <w:r>
        <w:rPr>
          <w:rFonts w:hint="eastAsia" w:ascii="宋体" w:hAnsi="宋体" w:eastAsia="宋体" w:cs="宋体"/>
          <w:b/>
          <w:bCs/>
          <w:color w:val="auto"/>
          <w:sz w:val="28"/>
          <w:szCs w:val="28"/>
          <w:highlight w:val="none"/>
          <w:shd w:val="clear" w:color="auto" w:fill="FFFFFF"/>
        </w:rPr>
        <w:t>中小企业声明函</w:t>
      </w:r>
      <w:r>
        <w:rPr>
          <w:rFonts w:hint="eastAsia" w:ascii="宋体" w:hAnsi="宋体" w:eastAsia="宋体" w:cs="宋体"/>
          <w:b/>
          <w:bCs/>
          <w:color w:val="auto"/>
          <w:sz w:val="28"/>
          <w:szCs w:val="28"/>
          <w:highlight w:val="none"/>
        </w:rPr>
        <w:t>（服务）</w:t>
      </w:r>
    </w:p>
    <w:p>
      <w:pPr>
        <w:pStyle w:val="26"/>
        <w:spacing w:before="0" w:beforeAutospacing="0" w:after="0" w:afterAutospacing="0" w:line="400" w:lineRule="exact"/>
        <w:jc w:val="center"/>
        <w:rPr>
          <w:rFonts w:hint="eastAsia" w:ascii="宋体" w:hAnsi="宋体" w:eastAsia="宋体" w:cs="宋体"/>
          <w:color w:val="auto"/>
          <w:sz w:val="28"/>
          <w:szCs w:val="28"/>
          <w:highlight w:val="none"/>
          <w:shd w:val="clear" w:color="auto" w:fill="FFFFFF"/>
        </w:rPr>
      </w:pPr>
    </w:p>
    <w:p>
      <w:pPr>
        <w:pStyle w:val="73"/>
        <w:spacing w:line="376" w:lineRule="exact"/>
        <w:ind w:firstLine="4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cs="宋体"/>
          <w:color w:val="auto"/>
          <w:sz w:val="24"/>
          <w:szCs w:val="24"/>
          <w:highlight w:val="none"/>
          <w:u w:val="single"/>
          <w:lang w:val="en-US" w:eastAsia="zh-CN"/>
        </w:rPr>
        <w:t>温州理工学院</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单位</w:t>
      </w:r>
      <w:r>
        <w:rPr>
          <w:rFonts w:hint="eastAsia" w:ascii="宋体" w:hAnsi="宋体" w:eastAsia="宋体" w:cs="宋体"/>
          <w:color w:val="auto"/>
          <w:sz w:val="24"/>
          <w:szCs w:val="24"/>
          <w:highlight w:val="none"/>
          <w:u w:val="single"/>
        </w:rPr>
        <w:t>名</w:t>
      </w:r>
      <w:r>
        <w:rPr>
          <w:rFonts w:hint="eastAsia" w:ascii="宋体" w:hAnsi="宋体" w:eastAsia="宋体" w:cs="宋体"/>
          <w:color w:val="auto"/>
          <w:sz w:val="24"/>
          <w:szCs w:val="24"/>
          <w:highlight w:val="none"/>
          <w:u w:val="single"/>
          <w:lang w:val="en-US" w:eastAsia="zh-CN" w:bidi="en-US"/>
        </w:rPr>
        <w:t>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标项名称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服务全部由符合政策要求的中小企业承接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相关企业（含联合体中的中小企业、签订分包意向协议的中小企业）的具体情况如</w:t>
      </w:r>
      <w:r>
        <w:rPr>
          <w:rFonts w:hint="eastAsia" w:ascii="宋体" w:hAnsi="宋体" w:eastAsia="宋体" w:cs="宋体"/>
          <w:color w:val="auto"/>
          <w:sz w:val="24"/>
          <w:szCs w:val="24"/>
          <w:highlight w:val="none"/>
          <w:lang w:eastAsia="zh-CN"/>
        </w:rPr>
        <w:t>下</w:t>
      </w:r>
      <w:r>
        <w:rPr>
          <w:rFonts w:hint="eastAsia" w:ascii="宋体" w:hAnsi="宋体" w:eastAsia="宋体" w:cs="宋体"/>
          <w:color w:val="auto"/>
          <w:sz w:val="24"/>
          <w:szCs w:val="24"/>
          <w:highlight w:val="none"/>
        </w:rPr>
        <w:t>：</w:t>
      </w:r>
    </w:p>
    <w:p>
      <w:pPr>
        <w:pStyle w:val="73"/>
        <w:numPr>
          <w:ilvl w:val="0"/>
          <w:numId w:val="7"/>
        </w:numPr>
        <w:tabs>
          <w:tab w:val="left" w:pos="879"/>
        </w:tabs>
        <w:spacing w:line="381"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lang w:val="en-US" w:eastAsia="zh-CN" w:bidi="en-US"/>
        </w:rPr>
        <w:t>；</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i/>
          <w:iCs/>
          <w:color w:val="auto"/>
          <w:sz w:val="24"/>
          <w:szCs w:val="24"/>
          <w:highlight w:val="none"/>
          <w:lang w:eastAsia="zh-CN"/>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Style w:val="38"/>
          <w:rFonts w:hint="eastAsia" w:ascii="宋体" w:hAnsi="宋体" w:eastAsia="宋体" w:cs="宋体"/>
          <w:color w:val="auto"/>
          <w:sz w:val="24"/>
          <w:szCs w:val="24"/>
          <w:highlight w:val="none"/>
        </w:rPr>
        <w:footnoteReference w:id="0"/>
      </w:r>
      <w:r>
        <w:rPr>
          <w:rFonts w:hint="eastAsia" w:ascii="宋体" w:hAnsi="宋体" w:eastAsia="宋体" w:cs="宋体"/>
          <w:color w:val="auto"/>
          <w:sz w:val="24"/>
          <w:szCs w:val="24"/>
          <w:highlight w:val="none"/>
          <w:lang w:val="en-US" w:eastAsia="zh-CN" w:bidi="en-US"/>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lang w:eastAsia="zh-CN"/>
        </w:rPr>
        <w:t>；</w:t>
      </w:r>
    </w:p>
    <w:p>
      <w:pPr>
        <w:pStyle w:val="73"/>
        <w:numPr>
          <w:ilvl w:val="0"/>
          <w:numId w:val="7"/>
        </w:numPr>
        <w:tabs>
          <w:tab w:val="left" w:pos="879"/>
        </w:tabs>
        <w:spacing w:line="381"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lang w:val="en-US" w:eastAsia="zh-CN" w:bidi="en-US"/>
        </w:rPr>
        <w:t>；</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i/>
          <w:iCs/>
          <w:color w:val="auto"/>
          <w:sz w:val="24"/>
          <w:szCs w:val="24"/>
          <w:highlight w:val="none"/>
          <w:lang w:eastAsia="zh-CN"/>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Style w:val="38"/>
          <w:rFonts w:hint="eastAsia" w:ascii="宋体" w:hAnsi="宋体" w:eastAsia="宋体" w:cs="宋体"/>
          <w:color w:val="auto"/>
          <w:sz w:val="24"/>
          <w:szCs w:val="24"/>
          <w:highlight w:val="none"/>
        </w:rPr>
        <w:footnoteReference w:id="1"/>
      </w:r>
      <w:r>
        <w:rPr>
          <w:rFonts w:hint="eastAsia" w:ascii="宋体" w:hAnsi="宋体" w:eastAsia="宋体" w:cs="宋体"/>
          <w:color w:val="auto"/>
          <w:sz w:val="24"/>
          <w:szCs w:val="24"/>
          <w:highlight w:val="none"/>
          <w:lang w:val="en-US" w:eastAsia="zh-CN" w:bidi="en-US"/>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lang w:eastAsia="zh-CN"/>
        </w:rPr>
        <w:t>；</w:t>
      </w:r>
    </w:p>
    <w:p>
      <w:pPr>
        <w:pStyle w:val="73"/>
        <w:tabs>
          <w:tab w:val="left" w:pos="662"/>
          <w:tab w:val="left" w:pos="908"/>
          <w:tab w:val="left" w:pos="2945"/>
        </w:tabs>
        <w:spacing w:line="370" w:lineRule="exact"/>
        <w:ind w:left="46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pPr>
        <w:pStyle w:val="73"/>
        <w:tabs>
          <w:tab w:val="left" w:pos="662"/>
          <w:tab w:val="left" w:pos="908"/>
          <w:tab w:val="left" w:pos="2945"/>
        </w:tabs>
        <w:spacing w:line="37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p>
    <w:p>
      <w:pPr>
        <w:pStyle w:val="73"/>
        <w:tabs>
          <w:tab w:val="left" w:pos="662"/>
          <w:tab w:val="left" w:pos="908"/>
          <w:tab w:val="left" w:pos="2945"/>
        </w:tabs>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pStyle w:val="73"/>
        <w:spacing w:line="372" w:lineRule="exact"/>
        <w:jc w:val="left"/>
        <w:rPr>
          <w:rFonts w:hint="eastAsia" w:ascii="宋体" w:hAnsi="宋体" w:eastAsia="宋体" w:cs="宋体"/>
          <w:color w:val="auto"/>
          <w:sz w:val="24"/>
          <w:szCs w:val="24"/>
          <w:highlight w:val="none"/>
        </w:rPr>
      </w:pPr>
    </w:p>
    <w:p>
      <w:pPr>
        <w:pStyle w:val="73"/>
        <w:spacing w:line="372" w:lineRule="exact"/>
        <w:ind w:firstLine="4468" w:firstLineChars="186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pStyle w:val="26"/>
        <w:spacing w:before="0" w:beforeAutospacing="0" w:after="0" w:afterAutospacing="0" w:line="360" w:lineRule="auto"/>
        <w:ind w:firstLine="480" w:firstLineChars="200"/>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shd w:val="clear" w:color="auto" w:fill="FFFFFF"/>
        </w:rPr>
        <w:t>　</w:t>
      </w:r>
    </w:p>
    <w:p>
      <w:pPr>
        <w:pStyle w:val="73"/>
        <w:keepNext w:val="0"/>
        <w:keepLines w:val="0"/>
        <w:pageBreakBefore w:val="0"/>
        <w:widowControl w:val="0"/>
        <w:tabs>
          <w:tab w:val="left" w:pos="662"/>
          <w:tab w:val="left" w:pos="908"/>
          <w:tab w:val="left" w:pos="2945"/>
        </w:tabs>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pPr>
        <w:pStyle w:val="73"/>
        <w:keepNext w:val="0"/>
        <w:keepLines w:val="0"/>
        <w:pageBreakBefore w:val="0"/>
        <w:widowControl w:val="0"/>
        <w:tabs>
          <w:tab w:val="left" w:pos="662"/>
          <w:tab w:val="left" w:pos="908"/>
          <w:tab w:val="left" w:pos="2945"/>
        </w:tabs>
        <w:kinsoku/>
        <w:wordWrap/>
        <w:overflowPunct/>
        <w:topLinePunct w:val="0"/>
        <w:autoSpaceDE/>
        <w:autoSpaceDN/>
        <w:bidi w:val="0"/>
        <w:adjustRightInd/>
        <w:snapToGrid/>
        <w:spacing w:line="360" w:lineRule="exact"/>
        <w:ind w:left="0" w:leftChars="0" w:firstLine="44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从业人员、营业收入、资产总额填报上一年度数据，无上一年度数据的新成立企业可不填报。（无上一年度数据的新成立企业需提供相关证明材料）</w:t>
      </w:r>
    </w:p>
    <w:p>
      <w:pPr>
        <w:pStyle w:val="73"/>
        <w:keepNext w:val="0"/>
        <w:keepLines w:val="0"/>
        <w:pageBreakBefore w:val="0"/>
        <w:widowControl w:val="0"/>
        <w:tabs>
          <w:tab w:val="left" w:pos="662"/>
          <w:tab w:val="left" w:pos="908"/>
          <w:tab w:val="left" w:pos="2945"/>
        </w:tabs>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中小企业声明函》填写不全的，视为未提供《中小企业声明函》（从业人员、营业收入、资产总额在中小企业划型标准规定中不涉及的除外），不享受中小企业扶持政策。如项目包含“多件”标的物的，需按标的物项数逐项填写。</w:t>
      </w:r>
    </w:p>
    <w:p>
      <w:pPr>
        <w:pStyle w:val="73"/>
        <w:keepNext w:val="0"/>
        <w:keepLines w:val="0"/>
        <w:pageBreakBefore w:val="0"/>
        <w:widowControl w:val="0"/>
        <w:tabs>
          <w:tab w:val="left" w:pos="662"/>
          <w:tab w:val="left" w:pos="908"/>
          <w:tab w:val="left" w:pos="2945"/>
        </w:tabs>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eastAsia="zh-CN"/>
        </w:rPr>
        <w:t>投标人</w:t>
      </w:r>
      <w:r>
        <w:rPr>
          <w:rFonts w:hint="eastAsia" w:ascii="宋体" w:hAnsi="宋体" w:eastAsia="宋体" w:cs="宋体"/>
          <w:b/>
          <w:bCs/>
          <w:color w:val="auto"/>
          <w:highlight w:val="none"/>
        </w:rPr>
        <w:t>提供的《中小企业声明函》与实际情况不符的或者未按以上要求填写的，中小企业声明函无效，不享受中小企业扶持政策。声明内容不实的，属于提供虚假材料谋取中标、成交的，依法承担法律责任。</w:t>
      </w:r>
    </w:p>
    <w:p>
      <w:pPr>
        <w:pStyle w:val="73"/>
        <w:keepNext w:val="0"/>
        <w:keepLines w:val="0"/>
        <w:pageBreakBefore w:val="0"/>
        <w:widowControl w:val="0"/>
        <w:tabs>
          <w:tab w:val="left" w:pos="662"/>
          <w:tab w:val="left" w:pos="908"/>
          <w:tab w:val="left" w:pos="2945"/>
        </w:tabs>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eastAsia="zh-CN"/>
        </w:rPr>
        <w:t>中标人</w:t>
      </w:r>
      <w:r>
        <w:rPr>
          <w:rFonts w:hint="eastAsia" w:ascii="宋体" w:hAnsi="宋体" w:eastAsia="宋体" w:cs="宋体"/>
          <w:b/>
          <w:bCs/>
          <w:color w:val="auto"/>
          <w:highlight w:val="none"/>
        </w:rPr>
        <w:t>享受《政府采购促进中小企业发展管理办法》的通知（财库〔2020〕46号）规定的中小企业扶持政策的，采购人、采购代理机构应当随中标、成交结果公开</w:t>
      </w:r>
      <w:r>
        <w:rPr>
          <w:rFonts w:hint="eastAsia" w:ascii="宋体" w:hAnsi="宋体" w:eastAsia="宋体" w:cs="宋体"/>
          <w:b/>
          <w:bCs/>
          <w:color w:val="auto"/>
          <w:highlight w:val="none"/>
          <w:lang w:eastAsia="zh-CN"/>
        </w:rPr>
        <w:t>中标人</w:t>
      </w:r>
      <w:r>
        <w:rPr>
          <w:rFonts w:hint="eastAsia" w:ascii="宋体" w:hAnsi="宋体" w:eastAsia="宋体" w:cs="宋体"/>
          <w:b/>
          <w:bCs/>
          <w:color w:val="auto"/>
          <w:highlight w:val="none"/>
        </w:rPr>
        <w:t>的《中小企业声明函》。</w:t>
      </w:r>
    </w:p>
    <w:p>
      <w:pPr>
        <w:pStyle w:val="73"/>
        <w:keepNext w:val="0"/>
        <w:keepLines w:val="0"/>
        <w:pageBreakBefore w:val="0"/>
        <w:widowControl w:val="0"/>
        <w:tabs>
          <w:tab w:val="left" w:pos="662"/>
          <w:tab w:val="left" w:pos="908"/>
          <w:tab w:val="left" w:pos="2945"/>
        </w:tabs>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color w:val="auto"/>
          <w:kern w:val="0"/>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kern w:val="0"/>
          <w:highlight w:val="none"/>
          <w:lang w:val="en-US" w:eastAsia="zh-CN"/>
        </w:rPr>
        <w:t>投标人</w:t>
      </w:r>
      <w:r>
        <w:rPr>
          <w:rFonts w:hint="eastAsia" w:ascii="宋体" w:hAnsi="宋体" w:eastAsia="宋体" w:cs="宋体"/>
          <w:b/>
          <w:bCs/>
          <w:color w:val="auto"/>
          <w:kern w:val="0"/>
          <w:highlight w:val="none"/>
        </w:rPr>
        <w:t>为联合体形式的，企业名称</w:t>
      </w:r>
      <w:r>
        <w:rPr>
          <w:rFonts w:hint="eastAsia" w:ascii="宋体" w:hAnsi="宋体" w:eastAsia="宋体" w:cs="宋体"/>
          <w:b/>
          <w:bCs/>
          <w:color w:val="auto"/>
          <w:kern w:val="0"/>
          <w:highlight w:val="none"/>
          <w:lang w:eastAsia="zh-CN"/>
        </w:rPr>
        <w:t>填写所有联合体成员名称，</w:t>
      </w:r>
      <w:r>
        <w:rPr>
          <w:rFonts w:hint="eastAsia" w:ascii="宋体" w:hAnsi="宋体" w:eastAsia="宋体" w:cs="宋体"/>
          <w:b/>
          <w:bCs/>
          <w:color w:val="auto"/>
          <w:kern w:val="0"/>
          <w:highlight w:val="none"/>
        </w:rPr>
        <w:t>盖章可只需联合体牵头方盖章。</w:t>
      </w:r>
    </w:p>
    <w:p>
      <w:pPr>
        <w:pStyle w:val="73"/>
        <w:tabs>
          <w:tab w:val="left" w:pos="662"/>
          <w:tab w:val="left" w:pos="908"/>
          <w:tab w:val="left" w:pos="2945"/>
        </w:tabs>
        <w:spacing w:line="370" w:lineRule="exact"/>
        <w:ind w:firstLine="440" w:firstLineChars="200"/>
        <w:rPr>
          <w:rFonts w:hint="eastAsia" w:ascii="宋体" w:hAnsi="宋体" w:eastAsia="宋体" w:cs="宋体"/>
          <w:color w:val="auto"/>
          <w:kern w:val="0"/>
          <w:highlight w:val="none"/>
        </w:rPr>
      </w:pP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pStyle w:val="14"/>
        <w:spacing w:after="0" w:line="400" w:lineRule="exact"/>
        <w:ind w:left="0" w:leftChars="0" w:right="0" w:rightChars="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监狱企业资格证明材料</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（注：符合条件的监狱企业请提供本函，不符合的不提供本函）</w:t>
      </w:r>
    </w:p>
    <w:p>
      <w:pPr>
        <w:pStyle w:val="14"/>
        <w:spacing w:after="0" w:line="400" w:lineRule="exact"/>
        <w:ind w:left="0" w:leftChars="0" w:right="0" w:rightChars="0"/>
        <w:jc w:val="center"/>
        <w:rPr>
          <w:rFonts w:hint="eastAsia" w:ascii="宋体" w:hAnsi="宋体" w:eastAsia="宋体" w:cs="宋体"/>
          <w:b/>
          <w:bCs/>
          <w:color w:val="auto"/>
          <w:sz w:val="24"/>
          <w:highlight w:val="none"/>
        </w:rPr>
      </w:pPr>
    </w:p>
    <w:p>
      <w:pPr>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（省级以上监狱管理局、戒毒管理局（含新疆生产建设兵团）出具的属于监狱企业的证明文件）</w:t>
      </w:r>
    </w:p>
    <w:p>
      <w:pPr>
        <w:pStyle w:val="14"/>
        <w:spacing w:after="0" w:line="400" w:lineRule="exact"/>
        <w:ind w:left="0" w:leftChars="0" w:right="0" w:rightChars="0"/>
        <w:rPr>
          <w:rFonts w:hint="eastAsia" w:ascii="宋体" w:hAnsi="宋体" w:eastAsia="宋体" w:cs="宋体"/>
          <w:color w:val="auto"/>
          <w:sz w:val="22"/>
          <w:highlight w:val="none"/>
        </w:rPr>
      </w:pPr>
    </w:p>
    <w:p>
      <w:pPr>
        <w:pStyle w:val="14"/>
        <w:spacing w:after="0" w:line="400" w:lineRule="exact"/>
        <w:ind w:left="0" w:leftChars="0" w:right="0" w:rightChars="0"/>
        <w:rPr>
          <w:rFonts w:hint="eastAsia" w:ascii="宋体" w:hAnsi="宋体" w:eastAsia="宋体" w:cs="宋体"/>
          <w:color w:val="auto"/>
          <w:sz w:val="22"/>
          <w:highlight w:val="none"/>
        </w:rPr>
      </w:pPr>
    </w:p>
    <w:p>
      <w:pPr>
        <w:pStyle w:val="14"/>
        <w:spacing w:after="0" w:line="400" w:lineRule="exact"/>
        <w:ind w:left="0" w:leftChars="0" w:right="0" w:rightChars="0"/>
        <w:rPr>
          <w:rFonts w:hint="eastAsia" w:ascii="宋体" w:hAnsi="宋体" w:eastAsia="宋体" w:cs="宋体"/>
          <w:color w:val="auto"/>
          <w:sz w:val="22"/>
          <w:highlight w:val="none"/>
        </w:rPr>
      </w:pPr>
    </w:p>
    <w:p>
      <w:pPr>
        <w:pStyle w:val="14"/>
        <w:spacing w:after="0" w:line="400" w:lineRule="exact"/>
        <w:ind w:left="0" w:leftChars="0" w:right="0" w:rightChars="0"/>
        <w:rPr>
          <w:rFonts w:hint="eastAsia" w:ascii="宋体" w:hAnsi="宋体" w:eastAsia="宋体" w:cs="宋体"/>
          <w:color w:val="auto"/>
          <w:sz w:val="22"/>
          <w:highlight w:val="none"/>
        </w:rPr>
      </w:pPr>
    </w:p>
    <w:p>
      <w:pPr>
        <w:pStyle w:val="14"/>
        <w:spacing w:after="0" w:line="400" w:lineRule="exact"/>
        <w:ind w:left="0" w:leftChars="0" w:right="0" w:rightChars="0"/>
        <w:rPr>
          <w:rFonts w:hint="eastAsia" w:ascii="宋体" w:hAnsi="宋体" w:eastAsia="宋体" w:cs="宋体"/>
          <w:color w:val="auto"/>
          <w:sz w:val="22"/>
          <w:highlight w:val="none"/>
        </w:rPr>
      </w:pPr>
    </w:p>
    <w:p>
      <w:pPr>
        <w:pStyle w:val="14"/>
        <w:spacing w:after="0" w:line="400" w:lineRule="exact"/>
        <w:ind w:left="0" w:leftChars="0" w:right="0" w:rightChars="0"/>
        <w:rPr>
          <w:rFonts w:hint="eastAsia" w:ascii="宋体" w:hAnsi="宋体" w:eastAsia="宋体" w:cs="宋体"/>
          <w:color w:val="auto"/>
          <w:highlight w:val="none"/>
        </w:rPr>
      </w:pPr>
    </w:p>
    <w:p>
      <w:pPr>
        <w:pStyle w:val="14"/>
        <w:spacing w:after="0" w:line="400" w:lineRule="exact"/>
        <w:ind w:left="0" w:leftChars="0" w:right="0" w:rightChars="0"/>
        <w:rPr>
          <w:rFonts w:hint="eastAsia" w:ascii="宋体" w:hAnsi="宋体" w:eastAsia="宋体" w:cs="宋体"/>
          <w:color w:val="auto"/>
          <w:highlight w:val="none"/>
        </w:rPr>
      </w:pP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残疾人福利性单位声明函</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（注：符合条件的残疾人福利性单位请提供本函，不符合的不提供本函）</w:t>
      </w:r>
    </w:p>
    <w:p>
      <w:pPr>
        <w:spacing w:line="400" w:lineRule="exact"/>
        <w:jc w:val="center"/>
        <w:rPr>
          <w:rFonts w:hint="eastAsia" w:ascii="宋体" w:hAnsi="宋体" w:eastAsia="宋体" w:cs="宋体"/>
          <w:b/>
          <w:bCs/>
          <w:color w:val="auto"/>
          <w:sz w:val="24"/>
          <w:highlight w:val="none"/>
        </w:rPr>
      </w:pPr>
    </w:p>
    <w:p>
      <w:pPr>
        <w:spacing w:line="4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400" w:lineRule="exact"/>
        <w:ind w:firstLine="504" w:firstLineChars="200"/>
        <w:rPr>
          <w:rFonts w:hint="eastAsia" w:ascii="宋体" w:hAnsi="宋体" w:eastAsia="宋体" w:cs="宋体"/>
          <w:color w:val="auto"/>
          <w:spacing w:val="6"/>
          <w:sz w:val="24"/>
          <w:szCs w:val="24"/>
          <w:highlight w:val="none"/>
        </w:rPr>
      </w:pPr>
    </w:p>
    <w:p>
      <w:pPr>
        <w:tabs>
          <w:tab w:val="left" w:pos="4860"/>
        </w:tabs>
        <w:spacing w:line="400" w:lineRule="exact"/>
        <w:ind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单位名称（CA电子公章）：</w:t>
      </w:r>
    </w:p>
    <w:p>
      <w:pPr>
        <w:tabs>
          <w:tab w:val="left" w:pos="4860"/>
        </w:tabs>
        <w:spacing w:line="400" w:lineRule="exact"/>
        <w:ind w:firstLine="504"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                           日        期：</w:t>
      </w:r>
    </w:p>
    <w:p>
      <w:pPr>
        <w:spacing w:line="400" w:lineRule="exact"/>
        <w:rPr>
          <w:rFonts w:hint="eastAsia" w:ascii="宋体" w:hAnsi="宋体" w:eastAsia="宋体" w:cs="宋体"/>
          <w:b/>
          <w:color w:val="auto"/>
          <w:sz w:val="24"/>
          <w:szCs w:val="24"/>
          <w:highlight w:val="none"/>
        </w:rPr>
      </w:pPr>
    </w:p>
    <w:p>
      <w:pPr>
        <w:spacing w:line="400" w:lineRule="exact"/>
        <w:rPr>
          <w:rFonts w:hint="eastAsia" w:ascii="宋体" w:hAnsi="宋体" w:eastAsia="宋体" w:cs="宋体"/>
          <w:color w:val="auto"/>
          <w:highlight w:val="none"/>
        </w:rPr>
      </w:pPr>
      <w:r>
        <w:rPr>
          <w:rFonts w:hint="eastAsia" w:ascii="宋体" w:hAnsi="宋体" w:eastAsia="宋体" w:cs="宋体"/>
          <w:b/>
          <w:bCs/>
          <w:color w:val="auto"/>
          <w:sz w:val="24"/>
          <w:highlight w:val="none"/>
        </w:rPr>
        <w:t>注：投标人不属于残疾人福利性单位的，无需提供此声明函，如提供所引起的后果由投标人承担。中标人为残疾人福利性单位的，采购代理机构将随中标结果同时公告其《残疾人福利性单位声明函》，接受社会监督。</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numPr>
          <w:ilvl w:val="1"/>
          <w:numId w:val="0"/>
        </w:numPr>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②</w:t>
      </w:r>
      <w:r>
        <w:rPr>
          <w:rFonts w:hint="eastAsia" w:ascii="宋体" w:hAnsi="宋体" w:eastAsia="宋体" w:cs="宋体"/>
          <w:color w:val="auto"/>
          <w:sz w:val="24"/>
          <w:highlight w:val="none"/>
        </w:rPr>
        <w:t>联合体投标协议书</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（以联合体形式投标的提供联合</w:t>
      </w:r>
      <w:r>
        <w:rPr>
          <w:rFonts w:hint="eastAsia" w:ascii="宋体" w:hAnsi="宋体" w:eastAsia="宋体" w:cs="宋体"/>
          <w:b/>
          <w:color w:val="auto"/>
          <w:sz w:val="22"/>
          <w:szCs w:val="22"/>
          <w:highlight w:val="none"/>
          <w:lang w:val="en-US" w:eastAsia="zh-CN"/>
        </w:rPr>
        <w:t>投标</w:t>
      </w:r>
      <w:r>
        <w:rPr>
          <w:rFonts w:hint="eastAsia" w:ascii="宋体" w:hAnsi="宋体" w:eastAsia="宋体" w:cs="宋体"/>
          <w:b/>
          <w:color w:val="auto"/>
          <w:sz w:val="22"/>
          <w:szCs w:val="22"/>
          <w:highlight w:val="none"/>
        </w:rPr>
        <w:t>协议</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rPr>
        <w:t>项目不接受联合体投标或投标人不以联合体形式投标的则不需要提供）</w:t>
      </w:r>
    </w:p>
    <w:p>
      <w:pPr>
        <w:snapToGrid w:val="0"/>
        <w:spacing w:line="360" w:lineRule="exact"/>
        <w:ind w:firstLine="442" w:firstLineChars="201"/>
        <w:jc w:val="left"/>
        <w:outlineLvl w:val="9"/>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_______</w:t>
      </w:r>
      <w:r>
        <w:rPr>
          <w:rFonts w:hint="eastAsia" w:ascii="宋体" w:hAnsi="宋体" w:eastAsia="宋体" w:cs="宋体"/>
          <w:color w:val="auto"/>
          <w:kern w:val="0"/>
          <w:sz w:val="22"/>
          <w:highlight w:val="none"/>
          <w:u w:val="single"/>
        </w:rPr>
        <w:t>（联合体所有成员名称）</w:t>
      </w:r>
      <w:r>
        <w:rPr>
          <w:rFonts w:hint="eastAsia" w:ascii="宋体" w:hAnsi="宋体" w:eastAsia="宋体" w:cs="宋体"/>
          <w:color w:val="auto"/>
          <w:kern w:val="0"/>
          <w:sz w:val="22"/>
          <w:highlight w:val="none"/>
        </w:rPr>
        <w:t>自愿</w:t>
      </w:r>
      <w:r>
        <w:rPr>
          <w:rFonts w:hint="eastAsia" w:ascii="宋体" w:hAnsi="宋体" w:eastAsia="宋体" w:cs="宋体"/>
          <w:color w:val="auto"/>
          <w:kern w:val="0"/>
          <w:sz w:val="22"/>
          <w:highlight w:val="none"/>
          <w:lang w:val="zh-CN"/>
        </w:rPr>
        <w:t>组成一个联合体，以一个投标人的身份</w:t>
      </w:r>
      <w:r>
        <w:rPr>
          <w:rFonts w:hint="eastAsia" w:ascii="宋体" w:hAnsi="宋体" w:eastAsia="宋体" w:cs="宋体"/>
          <w:color w:val="auto"/>
          <w:kern w:val="0"/>
          <w:sz w:val="22"/>
          <w:highlight w:val="none"/>
        </w:rPr>
        <w:t>参加_______</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eastAsia="zh-CN"/>
        </w:rPr>
        <w:t>标项名称</w:t>
      </w:r>
      <w:r>
        <w:rPr>
          <w:rFonts w:hint="eastAsia" w:ascii="宋体" w:hAnsi="宋体" w:eastAsia="宋体" w:cs="宋体"/>
          <w:color w:val="auto"/>
          <w:sz w:val="22"/>
          <w:highlight w:val="none"/>
        </w:rPr>
        <w:t>）</w:t>
      </w:r>
      <w:r>
        <w:rPr>
          <w:rFonts w:hint="eastAsia" w:ascii="宋体" w:hAnsi="宋体" w:eastAsia="宋体" w:cs="宋体"/>
          <w:color w:val="auto"/>
          <w:kern w:val="0"/>
          <w:sz w:val="22"/>
          <w:highlight w:val="none"/>
        </w:rPr>
        <w:t>_______</w:t>
      </w:r>
      <w:r>
        <w:rPr>
          <w:rFonts w:hint="eastAsia" w:ascii="宋体" w:hAnsi="宋体" w:eastAsia="宋体" w:cs="宋体"/>
          <w:color w:val="auto"/>
          <w:sz w:val="22"/>
          <w:highlight w:val="none"/>
        </w:rPr>
        <w:t>（项目编号）</w:t>
      </w:r>
      <w:r>
        <w:rPr>
          <w:rFonts w:hint="eastAsia" w:ascii="宋体" w:hAnsi="宋体" w:eastAsia="宋体" w:cs="宋体"/>
          <w:bCs/>
          <w:color w:val="auto"/>
          <w:kern w:val="0"/>
          <w:sz w:val="22"/>
          <w:highlight w:val="none"/>
        </w:rPr>
        <w:t>的政府采购活动</w:t>
      </w:r>
      <w:r>
        <w:rPr>
          <w:rFonts w:hint="eastAsia" w:ascii="宋体" w:hAnsi="宋体" w:eastAsia="宋体" w:cs="宋体"/>
          <w:color w:val="auto"/>
          <w:kern w:val="0"/>
          <w:sz w:val="22"/>
          <w:highlight w:val="none"/>
          <w:lang w:val="zh-CN"/>
        </w:rPr>
        <w:t>。</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现就有关联合投标事宜订立协议如下： </w:t>
      </w:r>
    </w:p>
    <w:p>
      <w:pPr>
        <w:widowControl/>
        <w:numPr>
          <w:ilvl w:val="0"/>
          <w:numId w:val="8"/>
        </w:numPr>
        <w:spacing w:line="360" w:lineRule="exact"/>
        <w:jc w:val="left"/>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 xml:space="preserve">       （牵头人全称）              </w:t>
      </w:r>
      <w:r>
        <w:rPr>
          <w:rFonts w:hint="eastAsia" w:ascii="宋体" w:hAnsi="宋体" w:eastAsia="宋体" w:cs="宋体"/>
          <w:color w:val="auto"/>
          <w:kern w:val="0"/>
          <w:sz w:val="22"/>
          <w:highlight w:val="none"/>
        </w:rPr>
        <w:t>为联合体的牵头人，</w:t>
      </w:r>
    </w:p>
    <w:p>
      <w:pPr>
        <w:widowControl/>
        <w:spacing w:line="360" w:lineRule="exact"/>
        <w:jc w:val="left"/>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 xml:space="preserve">       （联合体其他成员全称）         </w:t>
      </w:r>
      <w:r>
        <w:rPr>
          <w:rFonts w:hint="eastAsia" w:ascii="宋体" w:hAnsi="宋体" w:eastAsia="宋体" w:cs="宋体"/>
          <w:color w:val="auto"/>
          <w:kern w:val="0"/>
          <w:sz w:val="22"/>
          <w:highlight w:val="none"/>
        </w:rPr>
        <w:t xml:space="preserve">为联合体的成员方； </w:t>
      </w:r>
    </w:p>
    <w:p>
      <w:pPr>
        <w:pStyle w:val="12"/>
        <w:spacing w:line="360" w:lineRule="exact"/>
        <w:ind w:left="440" w:hanging="440"/>
        <w:jc w:val="lef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2、联合体内部有关事项规定如下：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（1）由牵头人代表本联合体与采购人联系，负责协调工作。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（4）如中标，联合体内部将遵守以下规定：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a．联合体牵头人和成员共同与采购人签订采购合同，并就中标项目向采购人负责有连带的和各自的法律责任；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b．联合体牵头人代表联合体成员接收采购人的指令、指示和通知，并且在整个合同实施过程中的全部事宜（包括合同款支付）均由联合体牵头人负责； </w:t>
      </w:r>
    </w:p>
    <w:p>
      <w:pPr>
        <w:widowControl/>
        <w:spacing w:line="400" w:lineRule="exact"/>
        <w:jc w:val="left"/>
        <w:outlineLvl w:val="9"/>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c．联合体各方承担的工作和义务详细安排如下： </w:t>
      </w:r>
    </w:p>
    <w:p>
      <w:pPr>
        <w:widowControl/>
        <w:spacing w:line="40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___________________________________________________________________________________</w:t>
      </w:r>
    </w:p>
    <w:p>
      <w:pPr>
        <w:widowControl/>
        <w:spacing w:line="40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___________________________________________________________________________________ </w:t>
      </w:r>
    </w:p>
    <w:p>
      <w:pPr>
        <w:widowControl/>
        <w:spacing w:line="40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___________________________________________________________________________________</w:t>
      </w:r>
    </w:p>
    <w:p>
      <w:pPr>
        <w:widowControl/>
        <w:spacing w:line="400" w:lineRule="exact"/>
        <w:jc w:val="left"/>
        <w:outlineLvl w:val="9"/>
        <w:rPr>
          <w:rFonts w:hint="eastAsia" w:ascii="宋体" w:hAnsi="宋体" w:eastAsia="宋体" w:cs="宋体"/>
          <w:bCs/>
          <w:color w:val="auto"/>
          <w:highlight w:val="none"/>
        </w:rPr>
      </w:pPr>
      <w:r>
        <w:rPr>
          <w:rFonts w:hint="eastAsia" w:ascii="宋体" w:hAnsi="宋体" w:eastAsia="宋体" w:cs="宋体"/>
          <w:color w:val="auto"/>
          <w:kern w:val="0"/>
          <w:sz w:val="22"/>
          <w:highlight w:val="none"/>
        </w:rPr>
        <w:t xml:space="preserve">___________________________________________________________________________________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（5）投标工作和联合体在中标后项目实施过程中的有关合同占比按各自承担的工作量分摊，具体说明如下： </w:t>
      </w:r>
    </w:p>
    <w:p>
      <w:pPr>
        <w:widowControl/>
        <w:pBdr>
          <w:bottom w:val="single" w:color="auto" w:sz="12" w:space="0"/>
        </w:pBdr>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____________________________________________________________________________________  </w:t>
      </w:r>
    </w:p>
    <w:p>
      <w:pPr>
        <w:widowControl/>
        <w:spacing w:line="400" w:lineRule="exact"/>
        <w:jc w:val="left"/>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 xml:space="preserve">（牵头人全称）            </w:t>
      </w:r>
      <w:r>
        <w:rPr>
          <w:rFonts w:hint="eastAsia" w:ascii="宋体" w:hAnsi="宋体" w:eastAsia="宋体" w:cs="宋体"/>
          <w:color w:val="auto"/>
          <w:kern w:val="0"/>
          <w:sz w:val="22"/>
          <w:highlight w:val="none"/>
        </w:rPr>
        <w:t>合同占比：_______%</w:t>
      </w:r>
    </w:p>
    <w:p>
      <w:pPr>
        <w:widowControl/>
        <w:spacing w:line="400" w:lineRule="exact"/>
        <w:jc w:val="left"/>
        <w:outlineLvl w:val="9"/>
        <w:rPr>
          <w:rFonts w:hint="eastAsia" w:ascii="宋体" w:hAnsi="宋体" w:eastAsia="宋体" w:cs="宋体"/>
          <w:b/>
          <w:color w:val="auto"/>
          <w:kern w:val="0"/>
          <w:sz w:val="22"/>
          <w:highlight w:val="none"/>
        </w:rPr>
      </w:pPr>
      <w:r>
        <w:rPr>
          <w:rFonts w:hint="eastAsia" w:ascii="宋体" w:hAnsi="宋体" w:eastAsia="宋体" w:cs="宋体"/>
          <w:color w:val="auto"/>
          <w:kern w:val="0"/>
          <w:sz w:val="22"/>
          <w:highlight w:val="none"/>
          <w:u w:val="single"/>
        </w:rPr>
        <w:t xml:space="preserve">（联合体其他成员全称）    </w:t>
      </w:r>
      <w:r>
        <w:rPr>
          <w:rFonts w:hint="eastAsia" w:ascii="宋体" w:hAnsi="宋体" w:eastAsia="宋体" w:cs="宋体"/>
          <w:color w:val="auto"/>
          <w:kern w:val="0"/>
          <w:sz w:val="22"/>
          <w:highlight w:val="none"/>
        </w:rPr>
        <w:t>合同占比：_______%</w:t>
      </w:r>
      <w:r>
        <w:rPr>
          <w:rFonts w:hint="eastAsia" w:ascii="宋体" w:hAnsi="宋体" w:eastAsia="宋体" w:cs="宋体"/>
          <w:b/>
          <w:color w:val="auto"/>
          <w:kern w:val="0"/>
          <w:sz w:val="22"/>
          <w:highlight w:val="none"/>
        </w:rPr>
        <w:t xml:space="preserve"> </w:t>
      </w:r>
    </w:p>
    <w:p>
      <w:pPr>
        <w:pStyle w:val="12"/>
        <w:spacing w:line="360" w:lineRule="exact"/>
        <w:ind w:left="440" w:hanging="440"/>
        <w:jc w:val="left"/>
        <w:outlineLvl w:val="9"/>
        <w:rPr>
          <w:rFonts w:hint="eastAsia" w:ascii="宋体" w:hAnsi="宋体" w:eastAsia="宋体" w:cs="宋体"/>
          <w:color w:val="auto"/>
          <w:highlight w:val="none"/>
        </w:rPr>
      </w:pPr>
      <w:r>
        <w:rPr>
          <w:rFonts w:hint="eastAsia" w:ascii="宋体" w:hAnsi="宋体" w:eastAsia="宋体" w:cs="宋体"/>
          <w:color w:val="auto"/>
          <w:sz w:val="22"/>
          <w:highlight w:val="none"/>
        </w:rPr>
        <w:t>......</w:t>
      </w:r>
    </w:p>
    <w:p>
      <w:pPr>
        <w:snapToGrid w:val="0"/>
        <w:spacing w:line="360" w:lineRule="exact"/>
        <w:jc w:val="left"/>
        <w:outlineLvl w:val="9"/>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3</w:t>
      </w:r>
      <w:r>
        <w:rPr>
          <w:rFonts w:hint="eastAsia" w:ascii="宋体" w:hAnsi="宋体" w:eastAsia="宋体" w:cs="宋体"/>
          <w:color w:val="auto"/>
          <w:kern w:val="0"/>
          <w:sz w:val="22"/>
          <w:highlight w:val="none"/>
          <w:lang w:val="zh-CN"/>
        </w:rPr>
        <w:t>、有关本次联合投标的其他事宜：</w:t>
      </w:r>
    </w:p>
    <w:p>
      <w:pPr>
        <w:snapToGrid w:val="0"/>
        <w:spacing w:line="360" w:lineRule="exact"/>
        <w:jc w:val="left"/>
        <w:outlineLvl w:val="9"/>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w:t>
      </w:r>
      <w:r>
        <w:rPr>
          <w:rFonts w:hint="eastAsia" w:ascii="宋体" w:hAnsi="宋体" w:eastAsia="宋体" w:cs="宋体"/>
          <w:color w:val="auto"/>
          <w:kern w:val="0"/>
          <w:sz w:val="22"/>
          <w:highlight w:val="none"/>
        </w:rPr>
        <w:t>1</w:t>
      </w:r>
      <w:r>
        <w:rPr>
          <w:rFonts w:hint="eastAsia" w:ascii="宋体" w:hAnsi="宋体" w:eastAsia="宋体" w:cs="宋体"/>
          <w:color w:val="auto"/>
          <w:kern w:val="0"/>
          <w:sz w:val="22"/>
          <w:highlight w:val="none"/>
          <w:lang w:val="zh-CN"/>
        </w:rPr>
        <w:t>）联合体各方不再单独参加或者与其他供应商另外组成联合体参加同一合同项下的政府采购活动。</w:t>
      </w:r>
    </w:p>
    <w:p>
      <w:pPr>
        <w:snapToGrid w:val="0"/>
        <w:spacing w:line="360" w:lineRule="exact"/>
        <w:jc w:val="left"/>
        <w:outlineLvl w:val="9"/>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（2）联合体中有同类资质的各方按照联合体分工承担相同工作的，按照资质等级较低的供应商确定资质等级。</w:t>
      </w:r>
    </w:p>
    <w:p>
      <w:pPr>
        <w:snapToGrid w:val="0"/>
        <w:spacing w:line="360" w:lineRule="exact"/>
        <w:jc w:val="left"/>
        <w:outlineLvl w:val="9"/>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（3）本协议提交采购人、采购机构后，联合体各方不得以任何形式对上述内容进行修改或撤销。</w:t>
      </w:r>
    </w:p>
    <w:p>
      <w:pPr>
        <w:snapToGrid w:val="0"/>
        <w:spacing w:line="360" w:lineRule="exact"/>
        <w:jc w:val="left"/>
        <w:outlineLvl w:val="9"/>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zh-CN"/>
        </w:rPr>
        <w:t>（</w:t>
      </w:r>
      <w:r>
        <w:rPr>
          <w:rFonts w:hint="eastAsia" w:ascii="宋体" w:hAnsi="宋体" w:eastAsia="宋体" w:cs="宋体"/>
          <w:color w:val="auto"/>
          <w:kern w:val="0"/>
          <w:sz w:val="22"/>
          <w:highlight w:val="none"/>
          <w:lang w:val="zh-CN" w:eastAsia="zh-CN"/>
        </w:rPr>
        <w:t>4</w:t>
      </w:r>
      <w:r>
        <w:rPr>
          <w:rFonts w:hint="eastAsia" w:ascii="宋体" w:hAnsi="宋体" w:eastAsia="宋体" w:cs="宋体"/>
          <w:color w:val="auto"/>
          <w:kern w:val="0"/>
          <w:sz w:val="22"/>
          <w:highlight w:val="none"/>
          <w:lang w:val="zh-CN"/>
        </w:rPr>
        <w:t>）</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kern w:val="0"/>
          <w:sz w:val="22"/>
          <w:highlight w:val="none"/>
          <w:lang w:val="zh-CN"/>
        </w:rPr>
        <w:t>（联</w:t>
      </w:r>
      <w:r>
        <w:rPr>
          <w:rFonts w:hint="eastAsia" w:ascii="宋体" w:hAnsi="宋体" w:eastAsia="宋体" w:cs="宋体"/>
          <w:color w:val="auto"/>
          <w:sz w:val="22"/>
          <w:highlight w:val="none"/>
        </w:rPr>
        <w:t>合体</w:t>
      </w:r>
      <w:r>
        <w:rPr>
          <w:rFonts w:hint="eastAsia" w:ascii="宋体" w:hAnsi="宋体" w:eastAsia="宋体" w:cs="宋体"/>
          <w:color w:val="auto"/>
          <w:sz w:val="22"/>
          <w:highlight w:val="none"/>
          <w:lang w:val="en-US" w:eastAsia="zh-CN"/>
        </w:rPr>
        <w:t>牵头人</w:t>
      </w:r>
      <w:r>
        <w:rPr>
          <w:rFonts w:hint="eastAsia" w:ascii="宋体" w:hAnsi="宋体" w:eastAsia="宋体" w:cs="宋体"/>
          <w:color w:val="auto"/>
          <w:kern w:val="0"/>
          <w:sz w:val="22"/>
          <w:highlight w:val="none"/>
          <w:lang w:val="zh-CN"/>
        </w:rPr>
        <w:t>）</w:t>
      </w:r>
      <w:r>
        <w:rPr>
          <w:rFonts w:hint="eastAsia" w:ascii="宋体" w:hAnsi="宋体" w:eastAsia="宋体" w:cs="宋体"/>
          <w:color w:val="auto"/>
          <w:sz w:val="22"/>
          <w:highlight w:val="none"/>
        </w:rPr>
        <w:t>与</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eastAsia="zh-CN"/>
        </w:rPr>
        <w:t>（</w:t>
      </w:r>
      <w:r>
        <w:rPr>
          <w:rFonts w:hint="eastAsia" w:ascii="宋体" w:hAnsi="宋体" w:eastAsia="宋体" w:cs="宋体"/>
          <w:color w:val="auto"/>
          <w:kern w:val="0"/>
          <w:sz w:val="22"/>
          <w:highlight w:val="none"/>
        </w:rPr>
        <w:t>联合体的成员方</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之间</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填写是或者否</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存在直接控股、管理关系</w:t>
      </w:r>
      <w:r>
        <w:rPr>
          <w:rFonts w:hint="eastAsia" w:ascii="宋体" w:hAnsi="宋体" w:eastAsia="宋体" w:cs="宋体"/>
          <w:color w:val="auto"/>
          <w:sz w:val="22"/>
          <w:highlight w:val="none"/>
          <w:lang w:eastAsia="zh-CN"/>
        </w:rPr>
        <w:t>。</w:t>
      </w:r>
    </w:p>
    <w:p>
      <w:pPr>
        <w:snapToGrid w:val="0"/>
        <w:spacing w:line="360" w:lineRule="exact"/>
        <w:jc w:val="left"/>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4、本协议书自签署之日起生效，在上述（4）a 所述的合同书规定的期限之后自行失效；如中标后，联合体内部另有协议的，联合体牵头人应将该协议书原件送交采购人。 </w:t>
      </w:r>
    </w:p>
    <w:p>
      <w:pPr>
        <w:snapToGrid w:val="0"/>
        <w:spacing w:line="360" w:lineRule="exact"/>
        <w:jc w:val="left"/>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5、如中标，本项目的采购代理服务费由联合体牵头人缴纳，合同款支付至合同约定的牵头人账号。</w:t>
      </w:r>
    </w:p>
    <w:p>
      <w:pPr>
        <w:widowControl/>
        <w:spacing w:line="360" w:lineRule="exact"/>
        <w:jc w:val="left"/>
        <w:outlineLvl w:val="9"/>
        <w:rPr>
          <w:rFonts w:hint="eastAsia" w:ascii="宋体" w:hAnsi="宋体" w:eastAsia="宋体" w:cs="宋体"/>
          <w:color w:val="auto"/>
          <w:kern w:val="0"/>
          <w:sz w:val="22"/>
          <w:highlight w:val="none"/>
        </w:rPr>
      </w:pP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单位名称（盖章）：                                   单位名称（盖章）：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地址：                                               地址：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法定代表人或授权代表（签字或盖章）：                 法定代表人或授权代表（签字或盖章）：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联系方式：                                           联系方式： </w:t>
      </w:r>
    </w:p>
    <w:p>
      <w:pPr>
        <w:widowControl/>
        <w:spacing w:line="360" w:lineRule="exact"/>
        <w:jc w:val="left"/>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协议签订时间：                                       协议签订时间：</w:t>
      </w:r>
    </w:p>
    <w:p>
      <w:pPr>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pPr>
        <w:snapToGrid w:val="0"/>
        <w:spacing w:line="400" w:lineRule="exact"/>
        <w:jc w:val="center"/>
        <w:outlineLvl w:val="9"/>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en-US" w:eastAsia="zh-CN"/>
        </w:rPr>
        <w:t>③</w:t>
      </w:r>
      <w:r>
        <w:rPr>
          <w:rFonts w:hint="eastAsia" w:ascii="宋体" w:hAnsi="宋体" w:eastAsia="宋体" w:cs="宋体"/>
          <w:b/>
          <w:bCs/>
          <w:color w:val="auto"/>
          <w:sz w:val="28"/>
          <w:szCs w:val="28"/>
          <w:highlight w:val="none"/>
          <w:lang w:val="zh-CN"/>
        </w:rPr>
        <w:t>分包意向协议</w:t>
      </w:r>
    </w:p>
    <w:p>
      <w:pPr>
        <w:keepNext w:val="0"/>
        <w:keepLines w:val="0"/>
        <w:pageBreakBefore w:val="0"/>
        <w:widowControl/>
        <w:kinsoku/>
        <w:wordWrap/>
        <w:overflowPunct/>
        <w:topLinePunct w:val="0"/>
        <w:autoSpaceDE/>
        <w:autoSpaceDN/>
        <w:bidi w:val="0"/>
        <w:adjustRightInd/>
        <w:snapToGrid w:val="0"/>
        <w:spacing w:line="360" w:lineRule="exact"/>
        <w:ind w:left="-210" w:leftChars="-100" w:right="0" w:rightChars="0" w:firstLine="0" w:firstLine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（中标后以分包方式履行合同的提供分包意向协议</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采购人不同意分包或中标后不以分包方式履行合同的则不需要提供）</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u w:val="singl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u w:val="single"/>
        </w:rPr>
        <w:t>（投标人名称）</w:t>
      </w:r>
      <w:r>
        <w:rPr>
          <w:rFonts w:hint="eastAsia" w:ascii="宋体" w:hAnsi="宋体" w:eastAsia="宋体" w:cs="宋体"/>
          <w:color w:val="auto"/>
          <w:kern w:val="0"/>
          <w:sz w:val="22"/>
          <w:szCs w:val="22"/>
          <w:highlight w:val="none"/>
          <w:lang w:val="zh-CN"/>
        </w:rPr>
        <w:t>若成为</w:t>
      </w:r>
      <w:r>
        <w:rPr>
          <w:rFonts w:hint="eastAsia" w:ascii="宋体" w:hAnsi="宋体" w:eastAsia="宋体" w:cs="宋体"/>
          <w:color w:val="auto"/>
          <w:kern w:val="0"/>
          <w:sz w:val="22"/>
          <w:szCs w:val="22"/>
          <w:highlight w:val="none"/>
          <w:u w:val="single"/>
          <w:lang w:val="en-US" w:eastAsia="zh-CN"/>
        </w:rPr>
        <w:t xml:space="preserve">     （标项名称）</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项目编号：</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kern w:val="0"/>
          <w:sz w:val="22"/>
          <w:szCs w:val="22"/>
          <w:highlight w:val="none"/>
          <w:lang w:val="zh-CN"/>
        </w:rPr>
        <w:t>的中标</w:t>
      </w:r>
      <w:r>
        <w:rPr>
          <w:rFonts w:hint="eastAsia" w:ascii="宋体" w:hAnsi="宋体" w:eastAsia="宋体" w:cs="宋体"/>
          <w:color w:val="auto"/>
          <w:kern w:val="0"/>
          <w:sz w:val="22"/>
          <w:szCs w:val="22"/>
          <w:highlight w:val="none"/>
          <w:lang w:val="en-US" w:eastAsia="zh-CN"/>
        </w:rPr>
        <w:t>人</w:t>
      </w:r>
      <w:r>
        <w:rPr>
          <w:rFonts w:hint="eastAsia" w:ascii="宋体" w:hAnsi="宋体" w:eastAsia="宋体" w:cs="宋体"/>
          <w:color w:val="auto"/>
          <w:kern w:val="0"/>
          <w:sz w:val="22"/>
          <w:szCs w:val="22"/>
          <w:highlight w:val="none"/>
          <w:lang w:val="zh-CN"/>
        </w:rPr>
        <w:t>，将依法采取分包方式履行合同。</w:t>
      </w:r>
      <w:r>
        <w:rPr>
          <w:rFonts w:hint="eastAsia" w:ascii="宋体" w:hAnsi="宋体" w:eastAsia="宋体" w:cs="宋体"/>
          <w:color w:val="auto"/>
          <w:kern w:val="0"/>
          <w:sz w:val="22"/>
          <w:szCs w:val="22"/>
          <w:highlight w:val="none"/>
          <w:u w:val="single"/>
        </w:rPr>
        <w:t>（投标人名称）</w:t>
      </w:r>
      <w:r>
        <w:rPr>
          <w:rFonts w:hint="eastAsia" w:ascii="宋体" w:hAnsi="宋体" w:eastAsia="宋体" w:cs="宋体"/>
          <w:color w:val="auto"/>
          <w:kern w:val="0"/>
          <w:sz w:val="22"/>
          <w:szCs w:val="22"/>
          <w:highlight w:val="none"/>
        </w:rPr>
        <w:t>与</w:t>
      </w:r>
      <w:r>
        <w:rPr>
          <w:rFonts w:hint="eastAsia" w:ascii="宋体" w:hAnsi="宋体" w:eastAsia="宋体" w:cs="宋体"/>
          <w:color w:val="auto"/>
          <w:kern w:val="0"/>
          <w:sz w:val="22"/>
          <w:szCs w:val="22"/>
          <w:highlight w:val="none"/>
          <w:u w:val="single"/>
        </w:rPr>
        <w:t>（所有分包供应商名称）</w:t>
      </w:r>
      <w:r>
        <w:rPr>
          <w:rFonts w:hint="eastAsia" w:ascii="宋体" w:hAnsi="宋体" w:eastAsia="宋体" w:cs="宋体"/>
          <w:color w:val="auto"/>
          <w:kern w:val="0"/>
          <w:sz w:val="22"/>
          <w:szCs w:val="22"/>
          <w:highlight w:val="none"/>
        </w:rPr>
        <w:t>达成分包意向协议</w:t>
      </w:r>
      <w:r>
        <w:rPr>
          <w:rFonts w:hint="eastAsia" w:ascii="宋体" w:hAnsi="宋体" w:eastAsia="宋体" w:cs="宋体"/>
          <w:color w:val="auto"/>
          <w:kern w:val="0"/>
          <w:sz w:val="22"/>
          <w:szCs w:val="22"/>
          <w:highlight w:val="none"/>
          <w:lang w:val="zh-CN"/>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一、分包标的及数量</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u w:val="single"/>
        </w:rPr>
        <w:t>（投标人名称）</w:t>
      </w:r>
      <w:r>
        <w:rPr>
          <w:rFonts w:hint="eastAsia" w:ascii="宋体" w:hAnsi="宋体" w:eastAsia="宋体" w:cs="宋体"/>
          <w:color w:val="auto"/>
          <w:kern w:val="0"/>
          <w:sz w:val="22"/>
          <w:szCs w:val="22"/>
          <w:highlight w:val="none"/>
          <w:lang w:val="zh-CN"/>
        </w:rPr>
        <w:t>将</w:t>
      </w:r>
      <w:r>
        <w:rPr>
          <w:rFonts w:hint="eastAsia" w:ascii="宋体" w:hAnsi="宋体" w:eastAsia="宋体" w:cs="宋体"/>
          <w:color w:val="auto"/>
          <w:sz w:val="22"/>
          <w:szCs w:val="22"/>
          <w:highlight w:val="none"/>
          <w:u w:val="single"/>
        </w:rPr>
        <w:t>XX工作内容</w:t>
      </w:r>
      <w:r>
        <w:rPr>
          <w:rFonts w:hint="eastAsia" w:ascii="宋体" w:hAnsi="宋体" w:eastAsia="宋体" w:cs="宋体"/>
          <w:color w:val="auto"/>
          <w:sz w:val="22"/>
          <w:szCs w:val="22"/>
          <w:highlight w:val="none"/>
        </w:rPr>
        <w:t>分包给</w:t>
      </w:r>
      <w:r>
        <w:rPr>
          <w:rFonts w:hint="eastAsia" w:ascii="宋体" w:hAnsi="宋体" w:eastAsia="宋体" w:cs="宋体"/>
          <w:color w:val="auto"/>
          <w:kern w:val="0"/>
          <w:sz w:val="22"/>
          <w:szCs w:val="22"/>
          <w:highlight w:val="none"/>
          <w:u w:val="single"/>
        </w:rPr>
        <w:t>（某分包供应商名称）</w:t>
      </w:r>
      <w:r>
        <w:rPr>
          <w:rFonts w:hint="eastAsia" w:ascii="宋体" w:hAnsi="宋体" w:eastAsia="宋体" w:cs="宋体"/>
          <w:color w:val="auto"/>
          <w:kern w:val="0"/>
          <w:sz w:val="22"/>
          <w:szCs w:val="22"/>
          <w:highlight w:val="none"/>
          <w:lang w:val="zh-CN"/>
        </w:rPr>
        <w:t>，</w:t>
      </w:r>
      <w:r>
        <w:rPr>
          <w:rFonts w:hint="eastAsia" w:ascii="宋体" w:hAnsi="宋体" w:eastAsia="宋体" w:cs="宋体"/>
          <w:color w:val="auto"/>
          <w:kern w:val="0"/>
          <w:sz w:val="22"/>
          <w:szCs w:val="22"/>
          <w:highlight w:val="none"/>
          <w:u w:val="single"/>
        </w:rPr>
        <w:t>（某分包供应商名称）</w:t>
      </w:r>
      <w:r>
        <w:rPr>
          <w:rFonts w:hint="eastAsia" w:ascii="宋体" w:hAnsi="宋体" w:eastAsia="宋体" w:cs="宋体"/>
          <w:color w:val="auto"/>
          <w:kern w:val="0"/>
          <w:sz w:val="22"/>
          <w:szCs w:val="22"/>
          <w:highlight w:val="none"/>
          <w:lang w:val="zh-CN"/>
        </w:rPr>
        <w:t>具备承</w:t>
      </w:r>
      <w:r>
        <w:rPr>
          <w:rFonts w:hint="eastAsia" w:ascii="宋体" w:hAnsi="宋体" w:eastAsia="宋体" w:cs="宋体"/>
          <w:color w:val="auto"/>
          <w:kern w:val="0"/>
          <w:sz w:val="22"/>
          <w:szCs w:val="22"/>
          <w:highlight w:val="none"/>
        </w:rPr>
        <w:t>担</w:t>
      </w:r>
      <w:r>
        <w:rPr>
          <w:rFonts w:hint="eastAsia" w:ascii="宋体" w:hAnsi="宋体" w:eastAsia="宋体" w:cs="宋体"/>
          <w:color w:val="auto"/>
          <w:sz w:val="22"/>
          <w:szCs w:val="22"/>
          <w:highlight w:val="none"/>
          <w:u w:val="single"/>
        </w:rPr>
        <w:t>XX工作内容</w:t>
      </w:r>
      <w:r>
        <w:rPr>
          <w:rFonts w:hint="eastAsia" w:ascii="宋体" w:hAnsi="宋体" w:eastAsia="宋体" w:cs="宋体"/>
          <w:color w:val="auto"/>
          <w:kern w:val="0"/>
          <w:sz w:val="22"/>
          <w:szCs w:val="22"/>
          <w:highlight w:val="none"/>
          <w:lang w:val="zh-CN"/>
        </w:rPr>
        <w:t>相应资质条件且不得再次分包；</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二、分包工作履行期限、地点、方式：</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三、质量：</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四、价款或者报酬：</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五、违约责任：</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六、争议解决的办法：</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七、其他：</w:t>
      </w:r>
    </w:p>
    <w:p>
      <w:pPr>
        <w:snapToGrid w:val="0"/>
        <w:spacing w:line="360" w:lineRule="auto"/>
        <w:ind w:firstLine="440" w:firstLineChars="200"/>
        <w:jc w:val="left"/>
        <w:outlineLvl w:val="9"/>
        <w:rPr>
          <w:rFonts w:hint="eastAsia" w:ascii="宋体" w:hAnsi="宋体" w:eastAsia="宋体" w:cs="宋体"/>
          <w:color w:val="auto"/>
          <w:kern w:val="0"/>
          <w:sz w:val="22"/>
          <w:szCs w:val="22"/>
          <w:highlight w:val="none"/>
          <w:u w:val="single"/>
          <w:lang w:val="zh-CN"/>
        </w:rPr>
      </w:pPr>
      <w:r>
        <w:rPr>
          <w:rFonts w:hint="eastAsia" w:ascii="宋体" w:hAnsi="宋体" w:eastAsia="宋体" w:cs="宋体"/>
          <w:color w:val="auto"/>
          <w:kern w:val="0"/>
          <w:sz w:val="22"/>
          <w:szCs w:val="22"/>
          <w:highlight w:val="none"/>
          <w:u w:val="single"/>
        </w:rPr>
        <w:t>（某分包供应商名称）</w:t>
      </w:r>
      <w:r>
        <w:rPr>
          <w:rFonts w:hint="eastAsia" w:ascii="宋体" w:hAnsi="宋体" w:eastAsia="宋体" w:cs="宋体"/>
          <w:color w:val="auto"/>
          <w:kern w:val="0"/>
          <w:sz w:val="22"/>
          <w:szCs w:val="22"/>
          <w:highlight w:val="none"/>
          <w:u w:val="single"/>
          <w:lang w:val="zh-CN"/>
        </w:rPr>
        <w:t>的合同份额占到合同总金额     %以上。</w:t>
      </w:r>
    </w:p>
    <w:p>
      <w:pPr>
        <w:snapToGrid w:val="0"/>
        <w:spacing w:line="360" w:lineRule="auto"/>
        <w:ind w:firstLine="440" w:firstLineChars="200"/>
        <w:jc w:val="left"/>
        <w:outlineLvl w:val="9"/>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rPr>
        <w:t>八、</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kern w:val="0"/>
          <w:sz w:val="22"/>
          <w:highlight w:val="none"/>
          <w:lang w:val="en-US" w:eastAsia="zh-CN"/>
        </w:rPr>
        <w:t>（投标</w:t>
      </w:r>
      <w:r>
        <w:rPr>
          <w:rFonts w:hint="eastAsia" w:ascii="宋体" w:hAnsi="宋体" w:eastAsia="宋体" w:cs="宋体"/>
          <w:color w:val="auto"/>
          <w:sz w:val="22"/>
          <w:highlight w:val="none"/>
          <w:lang w:val="en-US" w:eastAsia="zh-CN"/>
        </w:rPr>
        <w:t>人</w:t>
      </w:r>
      <w:r>
        <w:rPr>
          <w:rFonts w:hint="eastAsia" w:ascii="宋体" w:hAnsi="宋体" w:eastAsia="宋体" w:cs="宋体"/>
          <w:color w:val="auto"/>
          <w:kern w:val="0"/>
          <w:sz w:val="22"/>
          <w:highlight w:val="none"/>
          <w:lang w:val="en-US" w:eastAsia="zh-CN"/>
        </w:rPr>
        <w:t>）</w:t>
      </w:r>
      <w:r>
        <w:rPr>
          <w:rFonts w:hint="eastAsia" w:ascii="宋体" w:hAnsi="宋体" w:eastAsia="宋体" w:cs="宋体"/>
          <w:color w:val="auto"/>
          <w:sz w:val="22"/>
          <w:highlight w:val="none"/>
        </w:rPr>
        <w:t>与</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分包企业</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之间</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填写是或者否</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存在直接控股、管理关系</w:t>
      </w:r>
      <w:r>
        <w:rPr>
          <w:rFonts w:hint="eastAsia" w:ascii="宋体" w:hAnsi="宋体" w:eastAsia="宋体" w:cs="宋体"/>
          <w:color w:val="auto"/>
          <w:sz w:val="2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2" w:firstLineChars="200"/>
        <w:jc w:val="left"/>
        <w:textAlignment w:val="auto"/>
        <w:outlineLvl w:val="9"/>
        <w:rPr>
          <w:rFonts w:hint="eastAsia" w:ascii="宋体" w:hAnsi="宋体" w:eastAsia="宋体" w:cs="宋体"/>
          <w:b/>
          <w:color w:val="auto"/>
          <w:kern w:val="0"/>
          <w:sz w:val="22"/>
          <w:szCs w:val="22"/>
          <w:highlight w:val="none"/>
          <w:lang w:val="zh-CN"/>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hint="eastAsia" w:ascii="宋体" w:hAnsi="宋体" w:eastAsia="宋体" w:cs="宋体"/>
          <w:b/>
          <w:bCs/>
          <w:color w:val="auto"/>
          <w:kern w:val="0"/>
          <w:sz w:val="24"/>
          <w:szCs w:val="24"/>
          <w:highlight w:val="none"/>
          <w:lang w:val="zh-CN"/>
        </w:rPr>
      </w:pPr>
    </w:p>
    <w:p>
      <w:pPr>
        <w:widowControl/>
        <w:spacing w:line="400" w:lineRule="exac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outlineLvl w:val="9"/>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分包供应商名称（公章）：</w:t>
      </w:r>
    </w:p>
    <w:p>
      <w:pPr>
        <w:widowControl/>
        <w:spacing w:line="400" w:lineRule="exac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pPr>
        <w:spacing w:line="360" w:lineRule="exact"/>
        <w:jc w:val="left"/>
        <w:outlineLvl w:val="9"/>
        <w:rPr>
          <w:rFonts w:hint="eastAsia" w:ascii="宋体" w:hAnsi="宋体" w:eastAsia="宋体" w:cs="宋体"/>
          <w:color w:val="auto"/>
          <w:sz w:val="22"/>
          <w:highlight w:val="none"/>
          <w:lang w:val="en-US" w:eastAsia="zh-CN"/>
        </w:rPr>
      </w:pPr>
      <w:r>
        <w:rPr>
          <w:rFonts w:hint="eastAsia" w:ascii="宋体" w:hAnsi="宋体" w:eastAsia="宋体" w:cs="宋体"/>
          <w:b/>
          <w:color w:val="auto"/>
          <w:sz w:val="24"/>
          <w:szCs w:val="24"/>
          <w:highlight w:val="none"/>
          <w:lang w:eastAsia="zh-CN"/>
        </w:rPr>
        <w:t>附件3</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4</w:t>
      </w:r>
    </w:p>
    <w:p>
      <w:pPr>
        <w:snapToGrid w:val="0"/>
        <w:spacing w:before="120" w:beforeLines="50" w:after="50"/>
        <w:jc w:val="center"/>
        <w:outlineLvl w:val="9"/>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特定资格要求证明材料</w:t>
      </w:r>
    </w:p>
    <w:p>
      <w:pPr>
        <w:snapToGrid w:val="0"/>
        <w:spacing w:before="120" w:beforeLines="50" w:after="50"/>
        <w:jc w:val="center"/>
        <w:outlineLvl w:val="9"/>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rPr>
        <w:t>（</w:t>
      </w:r>
      <w:r>
        <w:rPr>
          <w:rFonts w:hint="eastAsia" w:ascii="宋体" w:hAnsi="宋体" w:eastAsia="宋体" w:cs="宋体"/>
          <w:b/>
          <w:bCs/>
          <w:color w:val="auto"/>
          <w:sz w:val="22"/>
          <w:highlight w:val="none"/>
          <w:u w:val="single"/>
          <w:lang w:eastAsia="zh-CN"/>
        </w:rPr>
        <w:t>根据招标公告本项目的特定资格要求提供相应的材料</w:t>
      </w:r>
      <w:r>
        <w:rPr>
          <w:rFonts w:hint="eastAsia" w:ascii="宋体" w:hAnsi="宋体" w:eastAsia="宋体" w:cs="宋体"/>
          <w:b/>
          <w:bCs/>
          <w:color w:val="auto"/>
          <w:sz w:val="22"/>
          <w:highlight w:val="none"/>
          <w:u w:val="single"/>
        </w:rPr>
        <w:t>）</w:t>
      </w:r>
    </w:p>
    <w:p>
      <w:pPr>
        <w:spacing w:line="400" w:lineRule="exact"/>
        <w:jc w:val="center"/>
        <w:outlineLvl w:val="9"/>
        <w:rPr>
          <w:rFonts w:hint="eastAsia" w:ascii="宋体" w:hAnsi="宋体" w:eastAsia="宋体" w:cs="宋体"/>
          <w:b/>
          <w:color w:val="auto"/>
          <w:sz w:val="24"/>
          <w:szCs w:val="24"/>
          <w:highlight w:val="none"/>
        </w:rPr>
      </w:pPr>
    </w:p>
    <w:p>
      <w:pP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napToGrid w:val="0"/>
        <w:spacing w:beforeLines="50" w:after="50"/>
        <w:jc w:val="center"/>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三、商务和技术文件部分封面格式</w:t>
      </w:r>
    </w:p>
    <w:p>
      <w:pPr>
        <w:snapToGrid w:val="0"/>
        <w:spacing w:beforeLines="50" w:after="50"/>
        <w:jc w:val="center"/>
        <w:outlineLvl w:val="9"/>
        <w:rPr>
          <w:rFonts w:hint="eastAsia" w:ascii="宋体" w:hAnsi="宋体" w:eastAsia="宋体" w:cs="宋体"/>
          <w:b/>
          <w:bCs/>
          <w:color w:val="auto"/>
          <w:sz w:val="24"/>
          <w:highlight w:val="none"/>
        </w:rPr>
      </w:pPr>
    </w:p>
    <w:p>
      <w:pPr>
        <w:pStyle w:val="14"/>
        <w:ind w:left="0" w:leftChars="0" w:right="1470"/>
        <w:outlineLvl w:val="9"/>
        <w:rPr>
          <w:rFonts w:hint="eastAsia" w:ascii="宋体" w:hAnsi="宋体" w:eastAsia="宋体" w:cs="宋体"/>
          <w:b/>
          <w:color w:val="auto"/>
          <w:sz w:val="24"/>
          <w:szCs w:val="24"/>
          <w:highlight w:val="none"/>
        </w:rPr>
      </w:pPr>
    </w:p>
    <w:p>
      <w:pPr>
        <w:snapToGrid w:val="0"/>
        <w:spacing w:line="400" w:lineRule="exact"/>
        <w:jc w:val="center"/>
        <w:outlineLvl w:val="9"/>
        <w:rPr>
          <w:rFonts w:hint="eastAsia" w:ascii="宋体" w:hAnsi="宋体" w:eastAsia="宋体" w:cs="宋体"/>
          <w:b/>
          <w:bCs/>
          <w:color w:val="auto"/>
          <w:sz w:val="24"/>
          <w:szCs w:val="20"/>
          <w:highlight w:val="none"/>
        </w:rPr>
      </w:pPr>
    </w:p>
    <w:p>
      <w:pPr>
        <w:snapToGrid w:val="0"/>
        <w:spacing w:line="400" w:lineRule="exact"/>
        <w:jc w:val="center"/>
        <w:outlineLvl w:val="9"/>
        <w:rPr>
          <w:rFonts w:hint="eastAsia" w:ascii="宋体" w:hAnsi="宋体" w:eastAsia="宋体" w:cs="宋体"/>
          <w:bCs/>
          <w:color w:val="auto"/>
          <w:sz w:val="24"/>
          <w:szCs w:val="20"/>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23" name="文本框 23"/>
                <wp:cNvGraphicFramePr/>
                <a:graphic xmlns:a="http://schemas.openxmlformats.org/drawingml/2006/main">
                  <a:graphicData uri="http://schemas.microsoft.com/office/word/2010/wordprocessingShape">
                    <wps:wsp>
                      <wps:cNvSpPr txBox="1">
                        <a:spLocks noRot="1"/>
                      </wps:cNvSpPr>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lang w:eastAsia="zh-CN"/>
                              </w:rPr>
                              <w:t>标项名称</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rPr>
                                <w:rFonts w:hint="eastAsia"/>
                                <w:sz w:val="24"/>
                              </w:rPr>
                            </w:pPr>
                          </w:p>
                          <w:p>
                            <w:pPr>
                              <w:jc w:val="center"/>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xbxContent>
                      </wps:txbx>
                      <wps:bodyPr upright="1"/>
                    </wps:wsp>
                  </a:graphicData>
                </a:graphic>
              </wp:anchor>
            </w:drawing>
          </mc:Choice>
          <mc:Fallback>
            <w:pict>
              <v:shape id="_x0000_s1026" o:spid="_x0000_s1026" o:spt="202" type="#_x0000_t202" style="position:absolute;left:0pt;margin-left:30.7pt;margin-top:16pt;height:263.35pt;width:399.75pt;mso-wrap-distance-bottom:0pt;mso-wrap-distance-top:0pt;z-index:251660288;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6LE&#10;N9kAAAAJAQAADwAAAAAAAAABACAAAAAiAAAAZHJzL2Rvd25yZXYueG1sUEsBAhQAFAAAAAgAh07i&#10;QAO6tDwhAgAAagQAAA4AAAAAAAAAAQAgAAAAKAEAAGRycy9lMm9Eb2MueG1sUEsFBgAAAAAGAAYA&#10;WQEAALsFAAAAAA==&#10;">
                <v:fill on="t" focussize="0,0"/>
                <v:stroke color="#000000" joinstyle="miter"/>
                <v:imagedata o:title=""/>
                <o:lock v:ext="edit" rotation="t" aspectratio="f"/>
                <v:textbo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lang w:eastAsia="zh-CN"/>
                        </w:rPr>
                        <w:t>标项名称</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rPr>
                          <w:rFonts w:hint="eastAsia"/>
                          <w:sz w:val="24"/>
                        </w:rPr>
                      </w:pPr>
                    </w:p>
                    <w:p>
                      <w:pPr>
                        <w:jc w:val="center"/>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xbxContent>
                </v:textbox>
                <w10:wrap type="topAndBottom"/>
              </v:shape>
            </w:pict>
          </mc:Fallback>
        </mc:AlternateContent>
      </w:r>
    </w:p>
    <w:p>
      <w:pPr>
        <w:outlineLvl w:val="9"/>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40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8"/>
          <w:highlight w:val="none"/>
        </w:rPr>
        <w:t>商务和技术文件</w:t>
      </w:r>
    </w:p>
    <w:p>
      <w:pPr>
        <w:spacing w:line="400" w:lineRule="exact"/>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附件4</w:t>
      </w:r>
    </w:p>
    <w:p>
      <w:pPr>
        <w:spacing w:line="400" w:lineRule="exact"/>
        <w:jc w:val="center"/>
        <w:outlineLvl w:val="9"/>
        <w:rPr>
          <w:rFonts w:hint="eastAsia" w:ascii="宋体" w:hAnsi="宋体" w:eastAsia="宋体" w:cs="宋体"/>
          <w:b/>
          <w:color w:val="auto"/>
          <w:sz w:val="28"/>
          <w:highlight w:val="none"/>
        </w:rPr>
      </w:pPr>
      <w:r>
        <w:rPr>
          <w:rFonts w:hint="eastAsia" w:ascii="宋体" w:hAnsi="宋体" w:eastAsia="宋体" w:cs="宋体"/>
          <w:b/>
          <w:color w:val="auto"/>
          <w:sz w:val="28"/>
          <w:highlight w:val="none"/>
        </w:rPr>
        <w:t>评分索引表</w:t>
      </w:r>
    </w:p>
    <w:p>
      <w:pPr>
        <w:spacing w:line="400" w:lineRule="exact"/>
        <w:jc w:val="center"/>
        <w:outlineLvl w:val="9"/>
        <w:rPr>
          <w:rFonts w:hint="eastAsia" w:ascii="宋体" w:hAnsi="宋体" w:eastAsia="宋体" w:cs="宋体"/>
          <w:b/>
          <w:color w:val="auto"/>
          <w:sz w:val="28"/>
          <w:highlight w:val="none"/>
        </w:rPr>
      </w:pPr>
    </w:p>
    <w:p>
      <w:pPr>
        <w:spacing w:line="400" w:lineRule="exact"/>
        <w:ind w:firstLine="480"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为了方便专家评审投标文件，针对招标文件评分细则要求，投标人应制作投标文件索引，置于投标文件首页，格式如下：</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序号</w:t>
            </w:r>
          </w:p>
        </w:tc>
        <w:tc>
          <w:tcPr>
            <w:tcW w:w="6956" w:type="dxa"/>
            <w:vAlign w:val="center"/>
          </w:tcPr>
          <w:p>
            <w:pPr>
              <w:spacing w:line="400" w:lineRule="exact"/>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评分内容</w:t>
            </w:r>
          </w:p>
        </w:tc>
        <w:tc>
          <w:tcPr>
            <w:tcW w:w="1313" w:type="dxa"/>
            <w:vAlign w:val="center"/>
          </w:tcPr>
          <w:p>
            <w:pPr>
              <w:pStyle w:val="60"/>
              <w:spacing w:line="400" w:lineRule="exact"/>
              <w:outlineLvl w:val="9"/>
              <w:rPr>
                <w:rFonts w:hint="eastAsia" w:ascii="宋体" w:hAnsi="宋体" w:eastAsia="宋体" w:cs="宋体"/>
                <w:b/>
                <w:color w:val="auto"/>
                <w:spacing w:val="-6"/>
                <w:szCs w:val="24"/>
                <w:highlight w:val="none"/>
              </w:rPr>
            </w:pPr>
            <w:r>
              <w:rPr>
                <w:rFonts w:hint="eastAsia" w:ascii="宋体" w:hAnsi="宋体" w:eastAsia="宋体" w:cs="宋体"/>
                <w:b/>
                <w:color w:val="auto"/>
                <w:spacing w:val="-6"/>
                <w:szCs w:val="24"/>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1</w:t>
            </w:r>
          </w:p>
        </w:tc>
        <w:tc>
          <w:tcPr>
            <w:tcW w:w="6956" w:type="dxa"/>
            <w:vAlign w:val="center"/>
          </w:tcPr>
          <w:p>
            <w:pPr>
              <w:spacing w:line="400" w:lineRule="exact"/>
              <w:jc w:val="left"/>
              <w:outlineLvl w:val="9"/>
              <w:rPr>
                <w:rFonts w:hint="eastAsia" w:ascii="宋体" w:hAnsi="宋体" w:eastAsia="宋体" w:cs="宋体"/>
                <w:color w:val="auto"/>
                <w:kern w:val="0"/>
                <w:sz w:val="24"/>
                <w:szCs w:val="24"/>
                <w:highlight w:val="none"/>
              </w:rPr>
            </w:pPr>
          </w:p>
          <w:p>
            <w:pPr>
              <w:spacing w:line="400" w:lineRule="exact"/>
              <w:jc w:val="left"/>
              <w:outlineLvl w:val="9"/>
              <w:rPr>
                <w:rFonts w:hint="eastAsia" w:ascii="宋体" w:hAnsi="宋体" w:eastAsia="宋体" w:cs="宋体"/>
                <w:color w:val="auto"/>
                <w:kern w:val="0"/>
                <w:sz w:val="24"/>
                <w:szCs w:val="24"/>
                <w:highlight w:val="none"/>
              </w:rPr>
            </w:pPr>
          </w:p>
        </w:tc>
        <w:tc>
          <w:tcPr>
            <w:tcW w:w="1313" w:type="dxa"/>
            <w:vAlign w:val="center"/>
          </w:tcPr>
          <w:p>
            <w:pPr>
              <w:pStyle w:val="12"/>
              <w:spacing w:line="400" w:lineRule="exact"/>
              <w:ind w:left="456" w:hanging="456"/>
              <w:outlineLvl w:val="9"/>
              <w:rPr>
                <w:rFonts w:hint="eastAsia" w:ascii="宋体" w:hAnsi="宋体" w:eastAsia="宋体" w:cs="宋体"/>
                <w:color w:val="auto"/>
                <w:spacing w:val="-6"/>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2</w:t>
            </w:r>
          </w:p>
        </w:tc>
        <w:tc>
          <w:tcPr>
            <w:tcW w:w="6956" w:type="dxa"/>
            <w:vAlign w:val="center"/>
          </w:tcPr>
          <w:p>
            <w:pPr>
              <w:spacing w:line="400" w:lineRule="exact"/>
              <w:jc w:val="left"/>
              <w:outlineLvl w:val="9"/>
              <w:rPr>
                <w:rFonts w:hint="eastAsia" w:ascii="宋体" w:hAnsi="宋体" w:eastAsia="宋体" w:cs="宋体"/>
                <w:color w:val="auto"/>
                <w:kern w:val="0"/>
                <w:sz w:val="24"/>
                <w:szCs w:val="24"/>
                <w:highlight w:val="none"/>
              </w:rPr>
            </w:pPr>
          </w:p>
        </w:tc>
        <w:tc>
          <w:tcPr>
            <w:tcW w:w="1313" w:type="dxa"/>
            <w:vAlign w:val="center"/>
          </w:tcPr>
          <w:p>
            <w:pPr>
              <w:pStyle w:val="12"/>
              <w:spacing w:line="400" w:lineRule="exact"/>
              <w:outlineLvl w:val="9"/>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w:t>
            </w:r>
          </w:p>
        </w:tc>
        <w:tc>
          <w:tcPr>
            <w:tcW w:w="6956" w:type="dxa"/>
            <w:vAlign w:val="center"/>
          </w:tcPr>
          <w:p>
            <w:pPr>
              <w:spacing w:line="400" w:lineRule="exact"/>
              <w:outlineLvl w:val="9"/>
              <w:rPr>
                <w:rFonts w:hint="eastAsia" w:ascii="宋体" w:hAnsi="宋体" w:eastAsia="宋体" w:cs="宋体"/>
                <w:color w:val="auto"/>
                <w:sz w:val="24"/>
                <w:szCs w:val="24"/>
                <w:highlight w:val="none"/>
              </w:rPr>
            </w:pPr>
          </w:p>
        </w:tc>
        <w:tc>
          <w:tcPr>
            <w:tcW w:w="1313" w:type="dxa"/>
          </w:tcPr>
          <w:p>
            <w:pPr>
              <w:spacing w:line="400" w:lineRule="exact"/>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w:t>
            </w:r>
          </w:p>
        </w:tc>
        <w:tc>
          <w:tcPr>
            <w:tcW w:w="6956" w:type="dxa"/>
            <w:vAlign w:val="center"/>
          </w:tcPr>
          <w:p>
            <w:pPr>
              <w:spacing w:line="400" w:lineRule="exact"/>
              <w:outlineLvl w:val="9"/>
              <w:rPr>
                <w:rFonts w:hint="eastAsia" w:ascii="宋体" w:hAnsi="宋体" w:eastAsia="宋体" w:cs="宋体"/>
                <w:color w:val="auto"/>
                <w:sz w:val="24"/>
                <w:szCs w:val="24"/>
                <w:highlight w:val="none"/>
              </w:rPr>
            </w:pPr>
          </w:p>
        </w:tc>
        <w:tc>
          <w:tcPr>
            <w:tcW w:w="1313" w:type="dxa"/>
          </w:tcPr>
          <w:p>
            <w:pPr>
              <w:spacing w:line="400" w:lineRule="exact"/>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w:t>
            </w:r>
          </w:p>
        </w:tc>
        <w:tc>
          <w:tcPr>
            <w:tcW w:w="6956" w:type="dxa"/>
            <w:vAlign w:val="center"/>
          </w:tcPr>
          <w:p>
            <w:pPr>
              <w:spacing w:line="400" w:lineRule="exact"/>
              <w:jc w:val="left"/>
              <w:outlineLvl w:val="9"/>
              <w:rPr>
                <w:rFonts w:hint="eastAsia" w:ascii="宋体" w:hAnsi="宋体" w:eastAsia="宋体" w:cs="宋体"/>
                <w:color w:val="auto"/>
                <w:sz w:val="24"/>
                <w:szCs w:val="24"/>
                <w:highlight w:val="none"/>
              </w:rPr>
            </w:pPr>
          </w:p>
        </w:tc>
        <w:tc>
          <w:tcPr>
            <w:tcW w:w="1313" w:type="dxa"/>
          </w:tcPr>
          <w:p>
            <w:pPr>
              <w:spacing w:line="400" w:lineRule="exact"/>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w:t>
            </w:r>
          </w:p>
        </w:tc>
        <w:tc>
          <w:tcPr>
            <w:tcW w:w="6956" w:type="dxa"/>
            <w:vAlign w:val="center"/>
          </w:tcPr>
          <w:p>
            <w:pPr>
              <w:spacing w:line="400" w:lineRule="exact"/>
              <w:jc w:val="left"/>
              <w:outlineLvl w:val="9"/>
              <w:rPr>
                <w:rFonts w:hint="eastAsia" w:ascii="宋体" w:hAnsi="宋体" w:eastAsia="宋体" w:cs="宋体"/>
                <w:color w:val="auto"/>
                <w:sz w:val="24"/>
                <w:szCs w:val="24"/>
                <w:highlight w:val="none"/>
              </w:rPr>
            </w:pPr>
          </w:p>
        </w:tc>
        <w:tc>
          <w:tcPr>
            <w:tcW w:w="1313" w:type="dxa"/>
          </w:tcPr>
          <w:p>
            <w:pPr>
              <w:spacing w:line="400" w:lineRule="exact"/>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w:t>
            </w:r>
          </w:p>
        </w:tc>
        <w:tc>
          <w:tcPr>
            <w:tcW w:w="6956" w:type="dxa"/>
            <w:vAlign w:val="center"/>
          </w:tcPr>
          <w:p>
            <w:pPr>
              <w:spacing w:line="400" w:lineRule="exact"/>
              <w:jc w:val="left"/>
              <w:outlineLvl w:val="9"/>
              <w:rPr>
                <w:rFonts w:hint="eastAsia" w:ascii="宋体" w:hAnsi="宋体" w:eastAsia="宋体" w:cs="宋体"/>
                <w:color w:val="auto"/>
                <w:sz w:val="24"/>
                <w:szCs w:val="24"/>
                <w:highlight w:val="none"/>
              </w:rPr>
            </w:pPr>
          </w:p>
        </w:tc>
        <w:tc>
          <w:tcPr>
            <w:tcW w:w="1313" w:type="dxa"/>
          </w:tcPr>
          <w:p>
            <w:pPr>
              <w:spacing w:line="400" w:lineRule="exact"/>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8</w:t>
            </w:r>
          </w:p>
        </w:tc>
        <w:tc>
          <w:tcPr>
            <w:tcW w:w="6956" w:type="dxa"/>
            <w:vAlign w:val="center"/>
          </w:tcPr>
          <w:p>
            <w:pPr>
              <w:spacing w:line="400" w:lineRule="exact"/>
              <w:outlineLvl w:val="9"/>
              <w:rPr>
                <w:rFonts w:hint="eastAsia" w:ascii="宋体" w:hAnsi="宋体" w:eastAsia="宋体" w:cs="宋体"/>
                <w:color w:val="auto"/>
                <w:sz w:val="24"/>
                <w:szCs w:val="24"/>
                <w:highlight w:val="none"/>
              </w:rPr>
            </w:pPr>
          </w:p>
        </w:tc>
        <w:tc>
          <w:tcPr>
            <w:tcW w:w="1313" w:type="dxa"/>
          </w:tcPr>
          <w:p>
            <w:pPr>
              <w:spacing w:line="400" w:lineRule="exact"/>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9</w:t>
            </w:r>
          </w:p>
        </w:tc>
        <w:tc>
          <w:tcPr>
            <w:tcW w:w="6956" w:type="dxa"/>
            <w:vAlign w:val="center"/>
          </w:tcPr>
          <w:p>
            <w:pPr>
              <w:spacing w:line="400" w:lineRule="exact"/>
              <w:jc w:val="left"/>
              <w:outlineLvl w:val="9"/>
              <w:rPr>
                <w:rFonts w:hint="eastAsia" w:ascii="宋体" w:hAnsi="宋体" w:eastAsia="宋体" w:cs="宋体"/>
                <w:color w:val="auto"/>
                <w:sz w:val="24"/>
                <w:szCs w:val="24"/>
                <w:highlight w:val="none"/>
              </w:rPr>
            </w:pPr>
          </w:p>
        </w:tc>
        <w:tc>
          <w:tcPr>
            <w:tcW w:w="1313" w:type="dxa"/>
          </w:tcPr>
          <w:p>
            <w:pPr>
              <w:spacing w:line="400" w:lineRule="exact"/>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tc>
        <w:tc>
          <w:tcPr>
            <w:tcW w:w="6956" w:type="dxa"/>
            <w:vAlign w:val="center"/>
          </w:tcPr>
          <w:p>
            <w:pPr>
              <w:spacing w:line="400" w:lineRule="exact"/>
              <w:jc w:val="left"/>
              <w:outlineLvl w:val="9"/>
              <w:rPr>
                <w:rFonts w:hint="eastAsia" w:ascii="宋体" w:hAnsi="宋体" w:eastAsia="宋体" w:cs="宋体"/>
                <w:color w:val="auto"/>
                <w:sz w:val="24"/>
                <w:szCs w:val="24"/>
                <w:highlight w:val="none"/>
              </w:rPr>
            </w:pPr>
          </w:p>
        </w:tc>
        <w:tc>
          <w:tcPr>
            <w:tcW w:w="1313" w:type="dxa"/>
          </w:tcPr>
          <w:p>
            <w:pPr>
              <w:spacing w:line="400" w:lineRule="exact"/>
              <w:outlineLvl w:val="9"/>
              <w:rPr>
                <w:rFonts w:hint="eastAsia" w:ascii="宋体" w:hAnsi="宋体" w:eastAsia="宋体" w:cs="宋体"/>
                <w:bCs/>
                <w:color w:val="auto"/>
                <w:sz w:val="24"/>
                <w:szCs w:val="24"/>
                <w:highlight w:val="none"/>
              </w:rPr>
            </w:pPr>
          </w:p>
        </w:tc>
      </w:tr>
    </w:tbl>
    <w:p>
      <w:pPr>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备注：一.“评分内容”对应“第六部分”评标原则及方法。</w:t>
      </w:r>
    </w:p>
    <w:p>
      <w:pPr>
        <w:spacing w:line="400" w:lineRule="exact"/>
        <w:ind w:firstLine="720" w:firstLineChars="3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二.评标内容自行添加。本表可扩展。</w:t>
      </w:r>
    </w:p>
    <w:p>
      <w:pPr>
        <w:spacing w:line="400" w:lineRule="exact"/>
        <w:ind w:firstLine="720" w:firstLineChars="300"/>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三.各投标人在投标文件最前页根据本评标细则制作评分索引表，清楚标注响应内容及证明材料的所在页码。</w:t>
      </w:r>
    </w:p>
    <w:p>
      <w:pP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附件5</w:t>
      </w:r>
    </w:p>
    <w:p>
      <w:pPr>
        <w:spacing w:line="4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法定代表人资格证明书</w:t>
      </w:r>
    </w:p>
    <w:p>
      <w:pPr>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u w:val="single"/>
          <w:lang w:eastAsia="zh-CN"/>
        </w:rPr>
        <w:t>温州理工学院</w:t>
      </w:r>
      <w:r>
        <w:rPr>
          <w:rFonts w:hint="eastAsia" w:ascii="宋体" w:hAnsi="宋体" w:eastAsia="宋体" w:cs="宋体"/>
          <w:color w:val="auto"/>
          <w:sz w:val="24"/>
          <w:szCs w:val="24"/>
          <w:highlight w:val="none"/>
          <w:u w:val="single"/>
        </w:rPr>
        <w:t>、浙江乐诚工程咨询有限公司</w:t>
      </w:r>
      <w:r>
        <w:rPr>
          <w:rFonts w:hint="eastAsia" w:ascii="宋体" w:hAnsi="宋体" w:eastAsia="宋体" w:cs="宋体"/>
          <w:color w:val="auto"/>
          <w:sz w:val="24"/>
          <w:szCs w:val="24"/>
          <w:highlight w:val="none"/>
        </w:rPr>
        <w:t>：</w:t>
      </w:r>
    </w:p>
    <w:p>
      <w:pPr>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（姓名、性别、年龄）</w:t>
      </w:r>
      <w:r>
        <w:rPr>
          <w:rFonts w:hint="eastAsia" w:ascii="宋体" w:hAnsi="宋体" w:eastAsia="宋体" w:cs="宋体"/>
          <w:color w:val="auto"/>
          <w:sz w:val="24"/>
          <w:szCs w:val="24"/>
          <w:highlight w:val="none"/>
        </w:rPr>
        <w:t>在我单位任</w:t>
      </w:r>
      <w:r>
        <w:rPr>
          <w:rFonts w:hint="eastAsia" w:ascii="宋体" w:hAnsi="宋体" w:eastAsia="宋体" w:cs="宋体"/>
          <w:color w:val="auto"/>
          <w:sz w:val="24"/>
          <w:szCs w:val="24"/>
          <w:highlight w:val="none"/>
          <w:u w:val="single"/>
        </w:rPr>
        <w:t xml:space="preserve">                      （职务名称）</w:t>
      </w:r>
      <w:r>
        <w:rPr>
          <w:rFonts w:hint="eastAsia" w:ascii="宋体" w:hAnsi="宋体" w:eastAsia="宋体" w:cs="宋体"/>
          <w:color w:val="auto"/>
          <w:sz w:val="24"/>
          <w:szCs w:val="24"/>
          <w:highlight w:val="none"/>
        </w:rPr>
        <w:t>职务，是我单位的法定代表人。</w:t>
      </w:r>
    </w:p>
    <w:p>
      <w:pPr>
        <w:spacing w:line="400" w:lineRule="exact"/>
        <w:ind w:firstLine="960" w:firstLineChars="4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400" w:lineRule="exact"/>
        <w:jc w:val="left"/>
        <w:outlineLvl w:val="9"/>
        <w:rPr>
          <w:rFonts w:hint="eastAsia" w:ascii="宋体" w:hAnsi="宋体" w:eastAsia="宋体" w:cs="宋体"/>
          <w:b/>
          <w:bCs/>
          <w:color w:val="auto"/>
          <w:sz w:val="24"/>
          <w:szCs w:val="24"/>
          <w:highlight w:val="none"/>
        </w:rPr>
      </w:pPr>
    </w:p>
    <w:p>
      <w:pPr>
        <w:spacing w:line="400" w:lineRule="exact"/>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法定代表人身份证号：（身份证复印附后）</w:t>
      </w:r>
    </w:p>
    <w:p>
      <w:pPr>
        <w:spacing w:line="400" w:lineRule="exact"/>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法定代表人电话：</w:t>
      </w:r>
    </w:p>
    <w:p>
      <w:pPr>
        <w:spacing w:line="400" w:lineRule="exact"/>
        <w:jc w:val="left"/>
        <w:outlineLvl w:val="9"/>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投标人全称（电子签章）</w:t>
      </w:r>
    </w:p>
    <w:p>
      <w:pPr>
        <w:spacing w:line="400" w:lineRule="exact"/>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 期：   年  月  日</w:t>
      </w:r>
    </w:p>
    <w:p>
      <w:pPr>
        <w:spacing w:line="400" w:lineRule="exac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598170</wp:posOffset>
                </wp:positionH>
                <wp:positionV relativeFrom="paragraph">
                  <wp:posOffset>158115</wp:posOffset>
                </wp:positionV>
                <wp:extent cx="3400425" cy="2377440"/>
                <wp:effectExtent l="4445" t="4445" r="5080" b="18415"/>
                <wp:wrapNone/>
                <wp:docPr id="2" name="文本框 2"/>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cs="宋体"/>
                                <w:sz w:val="24"/>
                                <w:szCs w:val="24"/>
                              </w:rPr>
                            </w:pPr>
                            <w:r>
                              <w:rPr>
                                <w:rFonts w:hint="eastAsia" w:ascii="宋体" w:hAnsi="宋体" w:cs="宋体"/>
                                <w:sz w:val="24"/>
                                <w:szCs w:val="24"/>
                              </w:rPr>
                              <w:t>法人代表身份证复印件粘贴：</w:t>
                            </w:r>
                          </w:p>
                        </w:txbxContent>
                      </wps:txbx>
                      <wps:bodyPr upright="1"/>
                    </wps:wsp>
                  </a:graphicData>
                </a:graphic>
              </wp:anchor>
            </w:drawing>
          </mc:Choice>
          <mc:Fallback>
            <w:pict>
              <v:shape id="_x0000_s1026" o:spid="_x0000_s1026" o:spt="202" type="#_x0000_t202" style="position:absolute;left:0pt;margin-left:47.1pt;margin-top:12.45pt;height:187.2pt;width:267.75pt;z-index:251662336;mso-width-relative:page;mso-height-relative:page;" fillcolor="#FFFFFF" filled="t" stroked="t" coordsize="21600,21600"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ZfJg7YAAAACQEAAA8AAAAA&#10;AAAAAQAgAAAAIgAAAGRycy9kb3ducmV2LnhtbFBLAQIUABQAAAAIAIdO4kD16S5iFAIAAEUEAAAO&#10;AAAAAAAAAAEAIAAAACcBAABkcnMvZTJvRG9jLnhtbFBLBQYAAAAABgAGAFkBAACtBQAAAAA=&#10;">
                <v:fill on="t" focussize="0,0"/>
                <v:stroke color="#000000" joinstyle="miter"/>
                <v:imagedata o:title=""/>
                <o:lock v:ext="edit" aspectratio="f"/>
                <v:textbox>
                  <w:txbxContent>
                    <w:p>
                      <w:pPr>
                        <w:rPr>
                          <w:rFonts w:ascii="宋体" w:hAnsi="宋体" w:cs="宋体"/>
                          <w:sz w:val="24"/>
                          <w:szCs w:val="24"/>
                        </w:rPr>
                      </w:pPr>
                      <w:r>
                        <w:rPr>
                          <w:rFonts w:hint="eastAsia" w:ascii="宋体" w:hAnsi="宋体" w:cs="宋体"/>
                          <w:sz w:val="24"/>
                          <w:szCs w:val="24"/>
                        </w:rPr>
                        <w:t>法人代表身份证复印件粘贴：</w:t>
                      </w:r>
                    </w:p>
                  </w:txbxContent>
                </v:textbox>
              </v:shape>
            </w:pict>
          </mc:Fallback>
        </mc:AlternateContent>
      </w:r>
    </w:p>
    <w:p>
      <w:pPr>
        <w:spacing w:line="400" w:lineRule="exact"/>
        <w:outlineLvl w:val="9"/>
        <w:rPr>
          <w:rFonts w:hint="eastAsia" w:ascii="宋体" w:hAnsi="宋体" w:eastAsia="宋体" w:cs="宋体"/>
          <w:b/>
          <w:bCs/>
          <w:color w:val="auto"/>
          <w:sz w:val="24"/>
          <w:szCs w:val="24"/>
          <w:highlight w:val="none"/>
        </w:rPr>
      </w:pPr>
    </w:p>
    <w:p>
      <w:pPr>
        <w:spacing w:line="400" w:lineRule="exact"/>
        <w:outlineLvl w:val="9"/>
        <w:rPr>
          <w:rFonts w:hint="eastAsia" w:ascii="宋体" w:hAnsi="宋体" w:eastAsia="宋体" w:cs="宋体"/>
          <w:b/>
          <w:bCs/>
          <w:color w:val="auto"/>
          <w:sz w:val="24"/>
          <w:szCs w:val="24"/>
          <w:highlight w:val="none"/>
        </w:rPr>
      </w:pPr>
    </w:p>
    <w:p>
      <w:pPr>
        <w:spacing w:line="400" w:lineRule="exact"/>
        <w:outlineLvl w:val="9"/>
        <w:rPr>
          <w:rFonts w:hint="eastAsia" w:ascii="宋体" w:hAnsi="宋体" w:eastAsia="宋体" w:cs="宋体"/>
          <w:b/>
          <w:bCs/>
          <w:color w:val="auto"/>
          <w:sz w:val="24"/>
          <w:szCs w:val="24"/>
          <w:highlight w:val="none"/>
        </w:rPr>
      </w:pPr>
    </w:p>
    <w:p>
      <w:pPr>
        <w:spacing w:line="400" w:lineRule="exact"/>
        <w:outlineLvl w:val="9"/>
        <w:rPr>
          <w:rFonts w:hint="eastAsia" w:ascii="宋体" w:hAnsi="宋体" w:eastAsia="宋体" w:cs="宋体"/>
          <w:b/>
          <w:bCs/>
          <w:color w:val="auto"/>
          <w:sz w:val="24"/>
          <w:szCs w:val="24"/>
          <w:highlight w:val="none"/>
        </w:rPr>
      </w:pPr>
    </w:p>
    <w:p>
      <w:pPr>
        <w:spacing w:line="400" w:lineRule="exact"/>
        <w:outlineLvl w:val="9"/>
        <w:rPr>
          <w:rFonts w:hint="eastAsia" w:ascii="宋体" w:hAnsi="宋体" w:eastAsia="宋体" w:cs="宋体"/>
          <w:b/>
          <w:bCs/>
          <w:color w:val="auto"/>
          <w:sz w:val="24"/>
          <w:szCs w:val="24"/>
          <w:highlight w:val="none"/>
        </w:rPr>
      </w:pPr>
    </w:p>
    <w:p>
      <w:pPr>
        <w:spacing w:line="400" w:lineRule="exact"/>
        <w:outlineLvl w:val="9"/>
        <w:rPr>
          <w:rFonts w:hint="eastAsia" w:ascii="宋体" w:hAnsi="宋体" w:eastAsia="宋体" w:cs="宋体"/>
          <w:b/>
          <w:bCs/>
          <w:color w:val="auto"/>
          <w:sz w:val="24"/>
          <w:szCs w:val="24"/>
          <w:highlight w:val="none"/>
        </w:rPr>
      </w:pPr>
    </w:p>
    <w:p>
      <w:pPr>
        <w:spacing w:line="400" w:lineRule="exact"/>
        <w:outlineLvl w:val="9"/>
        <w:rPr>
          <w:rFonts w:hint="eastAsia" w:ascii="宋体" w:hAnsi="宋体" w:eastAsia="宋体" w:cs="宋体"/>
          <w:b/>
          <w:bCs/>
          <w:color w:val="auto"/>
          <w:sz w:val="24"/>
          <w:szCs w:val="24"/>
          <w:highlight w:val="none"/>
        </w:rPr>
      </w:pPr>
    </w:p>
    <w:p>
      <w:pPr>
        <w:spacing w:line="400" w:lineRule="exact"/>
        <w:outlineLvl w:val="9"/>
        <w:rPr>
          <w:rFonts w:hint="eastAsia" w:ascii="宋体" w:hAnsi="宋体" w:eastAsia="宋体" w:cs="宋体"/>
          <w:b/>
          <w:bCs/>
          <w:color w:val="auto"/>
          <w:sz w:val="24"/>
          <w:szCs w:val="24"/>
          <w:highlight w:val="none"/>
        </w:rPr>
      </w:pPr>
    </w:p>
    <w:p>
      <w:pPr>
        <w:spacing w:line="400" w:lineRule="exact"/>
        <w:outlineLvl w:val="9"/>
        <w:rPr>
          <w:rFonts w:hint="eastAsia" w:ascii="宋体" w:hAnsi="宋体" w:eastAsia="宋体" w:cs="宋体"/>
          <w:b/>
          <w:bCs/>
          <w:color w:val="auto"/>
          <w:sz w:val="24"/>
          <w:szCs w:val="24"/>
          <w:highlight w:val="none"/>
        </w:rPr>
      </w:pPr>
    </w:p>
    <w:p>
      <w:pPr>
        <w:spacing w:line="400" w:lineRule="exact"/>
        <w:outlineLvl w:val="9"/>
        <w:rPr>
          <w:rFonts w:hint="eastAsia" w:ascii="宋体" w:hAnsi="宋体" w:eastAsia="宋体" w:cs="宋体"/>
          <w:b/>
          <w:bCs/>
          <w:color w:val="auto"/>
          <w:sz w:val="24"/>
          <w:szCs w:val="24"/>
          <w:highlight w:val="none"/>
        </w:rPr>
      </w:pPr>
    </w:p>
    <w:p>
      <w:pPr>
        <w:spacing w:line="400" w:lineRule="exact"/>
        <w:outlineLvl w:val="9"/>
        <w:rPr>
          <w:rFonts w:hint="eastAsia" w:ascii="宋体" w:hAnsi="宋体" w:eastAsia="宋体" w:cs="宋体"/>
          <w:b/>
          <w:bCs/>
          <w:color w:val="auto"/>
          <w:sz w:val="24"/>
          <w:szCs w:val="24"/>
          <w:highlight w:val="none"/>
        </w:rPr>
      </w:pPr>
    </w:p>
    <w:p>
      <w:pPr>
        <w:spacing w:line="400" w:lineRule="exact"/>
        <w:outlineLvl w:val="9"/>
        <w:rPr>
          <w:rFonts w:hint="eastAsia" w:ascii="宋体" w:hAnsi="宋体" w:eastAsia="宋体" w:cs="宋体"/>
          <w:b/>
          <w:bCs/>
          <w:color w:val="auto"/>
          <w:sz w:val="24"/>
          <w:szCs w:val="24"/>
          <w:highlight w:val="none"/>
        </w:rPr>
      </w:pPr>
    </w:p>
    <w:p>
      <w:pPr>
        <w:spacing w:line="400" w:lineRule="exact"/>
        <w:outlineLvl w:val="9"/>
        <w:rPr>
          <w:rFonts w:hint="eastAsia" w:ascii="宋体" w:hAnsi="宋体" w:eastAsia="宋体" w:cs="宋体"/>
          <w:b/>
          <w:bCs/>
          <w:color w:val="auto"/>
          <w:sz w:val="24"/>
          <w:szCs w:val="24"/>
          <w:highlight w:val="none"/>
        </w:rPr>
      </w:pPr>
    </w:p>
    <w:p>
      <w:pPr>
        <w:snapToGrid w:val="0"/>
        <w:spacing w:line="400" w:lineRule="exact"/>
        <w:outlineLvl w:val="9"/>
        <w:rPr>
          <w:rFonts w:hint="eastAsia" w:ascii="宋体" w:hAnsi="宋体" w:eastAsia="宋体" w:cs="宋体"/>
          <w:color w:val="auto"/>
          <w:sz w:val="24"/>
          <w:szCs w:val="24"/>
          <w:highlight w:val="none"/>
        </w:rPr>
      </w:pPr>
    </w:p>
    <w:p>
      <w:pPr>
        <w:spacing w:line="400" w:lineRule="exact"/>
        <w:outlineLvl w:val="9"/>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说明：投标人的法定代表人参加投标，须在投标文件中提供法定代表人资格证明书；投标人的法定代表人委托授权代表参加投标，须在投标文件中提供法定代表人授权委托书。</w:t>
      </w:r>
    </w:p>
    <w:p>
      <w:pPr>
        <w:outlineLvl w:val="9"/>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br w:type="page"/>
      </w:r>
    </w:p>
    <w:p>
      <w:pPr>
        <w:snapToGrid w:val="0"/>
        <w:spacing w:line="400" w:lineRule="exact"/>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法定代表人授权委托书</w:t>
      </w:r>
    </w:p>
    <w:p>
      <w:pPr>
        <w:spacing w:line="400" w:lineRule="exact"/>
        <w:outlineLvl w:val="9"/>
        <w:rPr>
          <w:rFonts w:hint="eastAsia" w:ascii="宋体" w:hAnsi="宋体" w:eastAsia="宋体" w:cs="宋体"/>
          <w:b/>
          <w:bCs/>
          <w:color w:val="auto"/>
          <w:spacing w:val="-6"/>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u w:val="single"/>
          <w:lang w:eastAsia="zh-CN"/>
        </w:rPr>
        <w:t>温州理工学院</w:t>
      </w:r>
      <w:r>
        <w:rPr>
          <w:rFonts w:hint="eastAsia" w:ascii="宋体" w:hAnsi="宋体" w:eastAsia="宋体" w:cs="宋体"/>
          <w:color w:val="auto"/>
          <w:sz w:val="24"/>
          <w:szCs w:val="24"/>
          <w:highlight w:val="none"/>
          <w:u w:val="single"/>
        </w:rPr>
        <w:t>、浙江乐诚工程咨询有限公司</w:t>
      </w:r>
      <w:r>
        <w:rPr>
          <w:rFonts w:hint="eastAsia" w:ascii="宋体" w:hAnsi="宋体" w:eastAsia="宋体" w:cs="宋体"/>
          <w:color w:val="auto"/>
          <w:spacing w:val="-6"/>
          <w:sz w:val="24"/>
          <w:szCs w:val="24"/>
          <w:highlight w:val="none"/>
        </w:rPr>
        <w:t>：</w:t>
      </w:r>
    </w:p>
    <w:p>
      <w:pPr>
        <w:snapToGrid w:val="0"/>
        <w:spacing w:line="400" w:lineRule="exact"/>
        <w:ind w:firstLine="456" w:firstLineChars="200"/>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 xml:space="preserve">（投标人名称）的法定代表人，现授权委托本单位在职职工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（姓名）（身份证号：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）以我方的名义参加</w:t>
      </w:r>
      <w:r>
        <w:rPr>
          <w:rFonts w:hint="eastAsia" w:ascii="宋体" w:hAnsi="宋体" w:cs="宋体"/>
          <w:color w:val="auto"/>
          <w:spacing w:val="-6"/>
          <w:sz w:val="24"/>
          <w:szCs w:val="24"/>
          <w:highlight w:val="none"/>
          <w:lang w:eastAsia="zh-CN"/>
        </w:rPr>
        <w:t>温州理工学院</w:t>
      </w:r>
      <w:r>
        <w:rPr>
          <w:rFonts w:hint="eastAsia" w:ascii="宋体" w:hAnsi="宋体" w:cs="宋体"/>
          <w:color w:val="auto"/>
          <w:spacing w:val="-6"/>
          <w:sz w:val="24"/>
          <w:szCs w:val="24"/>
          <w:highlight w:val="none"/>
          <w:u w:val="single"/>
          <w:lang w:eastAsia="zh-CN"/>
        </w:rPr>
        <w:t>2023年温州理工学院教职工疗休养服务</w:t>
      </w:r>
      <w:r>
        <w:rPr>
          <w:rFonts w:hint="eastAsia" w:ascii="宋体" w:hAnsi="宋体" w:eastAsia="宋体" w:cs="宋体"/>
          <w:color w:val="auto"/>
          <w:spacing w:val="-6"/>
          <w:sz w:val="24"/>
          <w:szCs w:val="24"/>
          <w:highlight w:val="none"/>
        </w:rPr>
        <w:t xml:space="preserve">（项目编号：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）的投标活动，并代表我方全权办理针对上述项目的投标、开标、评标、签约等具体事务和签署相关文件。</w:t>
      </w:r>
    </w:p>
    <w:p>
      <w:pPr>
        <w:snapToGrid w:val="0"/>
        <w:spacing w:line="400" w:lineRule="exact"/>
        <w:ind w:firstLine="456" w:firstLineChars="200"/>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我方对被授权人的签名负全部责任。</w:t>
      </w:r>
    </w:p>
    <w:p>
      <w:pPr>
        <w:snapToGrid w:val="0"/>
        <w:spacing w:line="400" w:lineRule="exact"/>
        <w:ind w:firstLine="456" w:firstLineChars="200"/>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在撤销授权的书面通知以前，本授权书一直有效。被授权人在授权书有效期内签署的所有文件不因授权的撤销而失效。</w:t>
      </w:r>
    </w:p>
    <w:p>
      <w:pPr>
        <w:snapToGrid w:val="0"/>
        <w:spacing w:line="400" w:lineRule="exact"/>
        <w:ind w:firstLine="456" w:firstLineChars="200"/>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被授权人无转委托权，特此委托。</w:t>
      </w:r>
    </w:p>
    <w:p>
      <w:pPr>
        <w:snapToGrid w:val="0"/>
        <w:spacing w:line="400" w:lineRule="exact"/>
        <w:outlineLvl w:val="9"/>
        <w:rPr>
          <w:rFonts w:hint="eastAsia" w:ascii="宋体" w:hAnsi="宋体" w:eastAsia="宋体" w:cs="宋体"/>
          <w:color w:val="auto"/>
          <w:spacing w:val="-6"/>
          <w:sz w:val="24"/>
          <w:szCs w:val="24"/>
          <w:highlight w:val="none"/>
        </w:rPr>
      </w:pPr>
    </w:p>
    <w:p>
      <w:pPr>
        <w:snapToGrid w:val="0"/>
        <w:spacing w:line="400" w:lineRule="exact"/>
        <w:outlineLvl w:val="9"/>
        <w:rPr>
          <w:rFonts w:hint="eastAsia" w:ascii="宋体" w:hAnsi="宋体" w:eastAsia="宋体" w:cs="宋体"/>
          <w:color w:val="auto"/>
          <w:spacing w:val="-6"/>
          <w:sz w:val="24"/>
          <w:szCs w:val="24"/>
          <w:highlight w:val="none"/>
        </w:rPr>
      </w:pPr>
    </w:p>
    <w:p>
      <w:pPr>
        <w:snapToGrid w:val="0"/>
        <w:spacing w:line="400" w:lineRule="exact"/>
        <w:outlineLvl w:val="9"/>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被授权人签字：                 法定代表人签字或签章：</w:t>
      </w:r>
    </w:p>
    <w:p>
      <w:pPr>
        <w:snapToGrid w:val="0"/>
        <w:spacing w:line="400" w:lineRule="exact"/>
        <w:ind w:firstLine="912" w:firstLineChars="400"/>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职务：                  职务：</w:t>
      </w:r>
    </w:p>
    <w:p>
      <w:pPr>
        <w:snapToGrid w:val="0"/>
        <w:spacing w:line="400" w:lineRule="exact"/>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被授权人身份证号码：</w:t>
      </w:r>
    </w:p>
    <w:p>
      <w:pPr>
        <w:snapToGrid w:val="0"/>
        <w:spacing w:line="400" w:lineRule="exact"/>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投标人全称(电子签章)：</w:t>
      </w:r>
    </w:p>
    <w:p>
      <w:pPr>
        <w:snapToGrid w:val="0"/>
        <w:spacing w:line="400" w:lineRule="exact"/>
        <w:jc w:val="center"/>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年    月    日</w:t>
      </w:r>
    </w:p>
    <w:p>
      <w:pPr>
        <w:spacing w:line="400" w:lineRule="exact"/>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148590</wp:posOffset>
                </wp:positionV>
                <wp:extent cx="5191125" cy="2360295"/>
                <wp:effectExtent l="4445" t="4445" r="5080" b="16510"/>
                <wp:wrapNone/>
                <wp:docPr id="6" name="文本框 6"/>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sz w:val="24"/>
                              </w:rPr>
                            </w:pPr>
                            <w:r>
                              <w:rPr>
                                <w:rFonts w:hint="eastAsia" w:ascii="新宋体" w:hAnsi="新宋体" w:eastAsia="新宋体"/>
                                <w:sz w:val="22"/>
                              </w:rPr>
                              <w:t xml:space="preserve">  被授权人</w:t>
                            </w:r>
                            <w:r>
                              <w:rPr>
                                <w:rFonts w:hint="eastAsia" w:ascii="宋体" w:hAnsi="宋体"/>
                                <w:sz w:val="24"/>
                              </w:rPr>
                              <w:t>身份证：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复印件粘贴处</w:t>
                            </w:r>
                          </w:p>
                        </w:txbxContent>
                      </wps:txbx>
                      <wps:bodyPr upright="1"/>
                    </wps:wsp>
                  </a:graphicData>
                </a:graphic>
              </wp:anchor>
            </w:drawing>
          </mc:Choice>
          <mc:Fallback>
            <w:pict>
              <v:shape id="_x0000_s1026" o:spid="_x0000_s1026" o:spt="202" type="#_x0000_t202" style="position:absolute;left:0pt;margin-left:0pt;margin-top:11.7pt;height:185.85pt;width:408.75pt;z-index:251661312;mso-width-relative:page;mso-height-relative:page;" fillcolor="#FFFFFF" filled="t" stroked="t" coordsize="21600,21600" o:gfxdata="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8q/5NgAAAAHAQAADwAAAAAAAAAB&#10;ACAAAAAiAAAAZHJzL2Rvd25yZXYueG1sUEsBAhQAFAAAAAgAh07iQCzM5yQQAgAARQQAAA4AAAAA&#10;AAAAAQAgAAAAJwEAAGRycy9lMm9Eb2MueG1sUEsFBgAAAAAGAAYAWQEAAKkFAAAAAA==&#10;">
                <v:fill on="t" focussize="0,0"/>
                <v:stroke color="#000000" joinstyle="miter"/>
                <v:imagedata o:title=""/>
                <o:lock v:ext="edit" aspectratio="f"/>
                <v:textbox>
                  <w:txbxContent>
                    <w:p>
                      <w:pPr>
                        <w:rPr>
                          <w:rFonts w:ascii="宋体" w:hAnsi="宋体"/>
                          <w:sz w:val="24"/>
                        </w:rPr>
                      </w:pPr>
                      <w:r>
                        <w:rPr>
                          <w:rFonts w:hint="eastAsia" w:ascii="新宋体" w:hAnsi="新宋体" w:eastAsia="新宋体"/>
                          <w:sz w:val="22"/>
                        </w:rPr>
                        <w:t xml:space="preserve">  被授权人</w:t>
                      </w:r>
                      <w:r>
                        <w:rPr>
                          <w:rFonts w:hint="eastAsia" w:ascii="宋体" w:hAnsi="宋体"/>
                          <w:sz w:val="24"/>
                        </w:rPr>
                        <w:t>身份证：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复印件粘贴处</w:t>
                      </w:r>
                    </w:p>
                  </w:txbxContent>
                </v:textbox>
              </v:shape>
            </w:pict>
          </mc:Fallback>
        </mc:AlternateContent>
      </w:r>
    </w:p>
    <w:p>
      <w:pPr>
        <w:spacing w:line="400" w:lineRule="exact"/>
        <w:outlineLvl w:val="9"/>
        <w:rPr>
          <w:rFonts w:hint="eastAsia" w:ascii="宋体" w:hAnsi="宋体" w:eastAsia="宋体" w:cs="宋体"/>
          <w:color w:val="auto"/>
          <w:spacing w:val="-6"/>
          <w:sz w:val="24"/>
          <w:szCs w:val="24"/>
          <w:highlight w:val="none"/>
        </w:rPr>
      </w:pPr>
    </w:p>
    <w:p>
      <w:pPr>
        <w:spacing w:line="400" w:lineRule="exact"/>
        <w:outlineLvl w:val="9"/>
        <w:rPr>
          <w:rFonts w:hint="eastAsia" w:ascii="宋体" w:hAnsi="宋体" w:eastAsia="宋体" w:cs="宋体"/>
          <w:color w:val="auto"/>
          <w:spacing w:val="-6"/>
          <w:sz w:val="24"/>
          <w:szCs w:val="24"/>
          <w:highlight w:val="none"/>
        </w:rPr>
      </w:pPr>
    </w:p>
    <w:p>
      <w:pPr>
        <w:spacing w:line="400" w:lineRule="exact"/>
        <w:outlineLvl w:val="9"/>
        <w:rPr>
          <w:rFonts w:hint="eastAsia" w:ascii="宋体" w:hAnsi="宋体" w:eastAsia="宋体" w:cs="宋体"/>
          <w:color w:val="auto"/>
          <w:spacing w:val="-6"/>
          <w:sz w:val="24"/>
          <w:szCs w:val="24"/>
          <w:highlight w:val="none"/>
        </w:rPr>
      </w:pPr>
    </w:p>
    <w:p>
      <w:pPr>
        <w:spacing w:line="400" w:lineRule="exact"/>
        <w:outlineLvl w:val="9"/>
        <w:rPr>
          <w:rFonts w:hint="eastAsia" w:ascii="宋体" w:hAnsi="宋体" w:eastAsia="宋体" w:cs="宋体"/>
          <w:color w:val="auto"/>
          <w:spacing w:val="-6"/>
          <w:sz w:val="24"/>
          <w:szCs w:val="24"/>
          <w:highlight w:val="none"/>
        </w:rPr>
      </w:pPr>
    </w:p>
    <w:p>
      <w:pPr>
        <w:spacing w:line="400" w:lineRule="exact"/>
        <w:outlineLvl w:val="9"/>
        <w:rPr>
          <w:rFonts w:hint="eastAsia" w:ascii="宋体" w:hAnsi="宋体" w:eastAsia="宋体" w:cs="宋体"/>
          <w:color w:val="auto"/>
          <w:spacing w:val="-6"/>
          <w:sz w:val="24"/>
          <w:szCs w:val="24"/>
          <w:highlight w:val="none"/>
        </w:rPr>
      </w:pPr>
    </w:p>
    <w:p>
      <w:pPr>
        <w:spacing w:line="400" w:lineRule="exact"/>
        <w:outlineLvl w:val="9"/>
        <w:rPr>
          <w:rFonts w:hint="eastAsia" w:ascii="宋体" w:hAnsi="宋体" w:eastAsia="宋体" w:cs="宋体"/>
          <w:color w:val="auto"/>
          <w:spacing w:val="-6"/>
          <w:sz w:val="24"/>
          <w:szCs w:val="24"/>
          <w:highlight w:val="none"/>
        </w:rPr>
      </w:pPr>
    </w:p>
    <w:p>
      <w:pPr>
        <w:spacing w:line="400" w:lineRule="exact"/>
        <w:outlineLvl w:val="9"/>
        <w:rPr>
          <w:rFonts w:hint="eastAsia" w:ascii="宋体" w:hAnsi="宋体" w:eastAsia="宋体" w:cs="宋体"/>
          <w:color w:val="auto"/>
          <w:spacing w:val="-6"/>
          <w:sz w:val="24"/>
          <w:szCs w:val="24"/>
          <w:highlight w:val="none"/>
        </w:rPr>
      </w:pPr>
    </w:p>
    <w:p>
      <w:pPr>
        <w:spacing w:line="400" w:lineRule="exact"/>
        <w:outlineLvl w:val="9"/>
        <w:rPr>
          <w:rFonts w:hint="eastAsia" w:ascii="宋体" w:hAnsi="宋体" w:eastAsia="宋体" w:cs="宋体"/>
          <w:color w:val="auto"/>
          <w:spacing w:val="-6"/>
          <w:sz w:val="24"/>
          <w:szCs w:val="24"/>
          <w:highlight w:val="none"/>
        </w:rPr>
      </w:pPr>
    </w:p>
    <w:p>
      <w:pPr>
        <w:spacing w:line="400" w:lineRule="exact"/>
        <w:jc w:val="cente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法定代表人授权书</w:t>
      </w:r>
    </w:p>
    <w:p>
      <w:pPr>
        <w:spacing w:line="400" w:lineRule="exact"/>
        <w:ind w:firstLine="240" w:firstLineChars="100"/>
        <w:outlineLvl w:val="9"/>
        <w:rPr>
          <w:rFonts w:hint="eastAsia" w:ascii="宋体" w:hAnsi="宋体" w:eastAsia="宋体" w:cs="宋体"/>
          <w:color w:val="auto"/>
          <w:sz w:val="24"/>
          <w:szCs w:val="24"/>
          <w:highlight w:val="none"/>
        </w:rPr>
      </w:pPr>
    </w:p>
    <w:p>
      <w:pP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附件6</w:t>
      </w:r>
    </w:p>
    <w:p>
      <w:pPr>
        <w:spacing w:line="40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 标 函</w:t>
      </w:r>
    </w:p>
    <w:p>
      <w:pPr>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u w:val="single"/>
          <w:lang w:eastAsia="zh-CN"/>
        </w:rPr>
        <w:t>温州理工学院</w:t>
      </w:r>
      <w:r>
        <w:rPr>
          <w:rFonts w:hint="eastAsia" w:ascii="宋体" w:hAnsi="宋体" w:eastAsia="宋体" w:cs="宋体"/>
          <w:color w:val="auto"/>
          <w:sz w:val="24"/>
          <w:szCs w:val="24"/>
          <w:highlight w:val="none"/>
          <w:u w:val="single"/>
        </w:rPr>
        <w:t>、浙江乐诚工程咨询有限公司</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cs="宋体"/>
          <w:color w:val="auto"/>
          <w:sz w:val="24"/>
          <w:szCs w:val="24"/>
          <w:highlight w:val="none"/>
          <w:lang w:eastAsia="zh-CN"/>
        </w:rPr>
        <w:t>温州理工学院</w:t>
      </w:r>
      <w:r>
        <w:rPr>
          <w:rFonts w:hint="eastAsia" w:ascii="宋体" w:hAnsi="宋体" w:cs="宋体"/>
          <w:color w:val="auto"/>
          <w:sz w:val="24"/>
          <w:szCs w:val="24"/>
          <w:highlight w:val="none"/>
          <w:u w:val="single"/>
          <w:lang w:eastAsia="zh-CN"/>
        </w:rPr>
        <w:t>2023年温州理工学院教职工疗休养服务</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）的投标邀请，我方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（投标人名称）作为投标人正式授权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（授权代表全名，职务）代表我方处理本次项目中的一切投标相关事宜。</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我方己完全明白招标文件的所有条款要求，并重申以下几点：</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（一）本投标文件的有效期自提交投标文件的截止之日起 </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天内有效，如中标，有效期将延至合同终止日为止；</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（二）我方已详细研究了招标文件的所有内容包括修改书（如有）和所有已提供的参考资料以及有关附件，我方完全理解并同意放弃在此方面提出含糊意见或误解的一切权力；</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（三）我方明白并愿意在规定的开标时间之后，投标人在投标有效期内不撤回投标；</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（四）我方同意提供按照贵方可能要求的与投标有关的一切数据或资料；</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（五）我方理解贵方不一定接受最低报价。</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（六）如中标，我方承诺本投标文件至本项目合同履行完毕止均保持有效，本投标人将按“招标文件”及政府采购法律、法规的规定履行合同责任和义务。</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（七）所有与本投标有关的函件请发往下列地址：</w:t>
      </w:r>
    </w:p>
    <w:p>
      <w:pPr>
        <w:spacing w:line="400" w:lineRule="exact"/>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r>
        <w:rPr>
          <w:rFonts w:hint="eastAsia" w:ascii="宋体" w:hAnsi="宋体" w:eastAsia="宋体" w:cs="宋体"/>
          <w:color w:val="auto"/>
          <w:sz w:val="24"/>
          <w:szCs w:val="24"/>
          <w:highlight w:val="none"/>
          <w:u w:val="single"/>
        </w:rPr>
        <w:t xml:space="preserve">                　　  　　</w:t>
      </w:r>
    </w:p>
    <w:p>
      <w:pPr>
        <w:spacing w:line="400" w:lineRule="exact"/>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spacing w:line="400" w:lineRule="exact"/>
        <w:ind w:firstLine="435"/>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spacing w:line="400" w:lineRule="exact"/>
        <w:ind w:firstLine="840" w:firstLineChars="35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u w:val="single"/>
        </w:rPr>
        <w:t xml:space="preserve">         　　         </w:t>
      </w:r>
    </w:p>
    <w:p>
      <w:pPr>
        <w:spacing w:line="400" w:lineRule="exact"/>
        <w:outlineLvl w:val="9"/>
        <w:rPr>
          <w:rFonts w:hint="eastAsia" w:ascii="宋体" w:hAnsi="宋体" w:eastAsia="宋体" w:cs="宋体"/>
          <w:color w:val="auto"/>
          <w:sz w:val="24"/>
          <w:szCs w:val="24"/>
          <w:highlight w:val="none"/>
        </w:rPr>
      </w:pPr>
    </w:p>
    <w:p>
      <w:pPr>
        <w:widowControl/>
        <w:spacing w:line="400" w:lineRule="exac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color w:val="auto"/>
          <w:sz w:val="24"/>
          <w:szCs w:val="24"/>
          <w:highlight w:val="none"/>
          <w:lang w:eastAsia="zh-CN"/>
        </w:rPr>
        <w:t>附件7</w:t>
      </w:r>
    </w:p>
    <w:p>
      <w:pPr>
        <w:snapToGrid w:val="0"/>
        <w:spacing w:line="4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投标声明书</w:t>
      </w:r>
    </w:p>
    <w:p>
      <w:pPr>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u w:val="single"/>
          <w:lang w:eastAsia="zh-CN"/>
        </w:rPr>
        <w:t>温州理工学院</w:t>
      </w:r>
      <w:r>
        <w:rPr>
          <w:rFonts w:hint="eastAsia" w:ascii="宋体" w:hAnsi="宋体" w:eastAsia="宋体" w:cs="宋体"/>
          <w:color w:val="auto"/>
          <w:sz w:val="24"/>
          <w:szCs w:val="24"/>
          <w:highlight w:val="none"/>
          <w:u w:val="single"/>
        </w:rPr>
        <w:t>、浙江乐诚工程咨询有限公司</w:t>
      </w:r>
      <w:r>
        <w:rPr>
          <w:rFonts w:hint="eastAsia" w:ascii="宋体" w:hAnsi="宋体" w:eastAsia="宋体" w:cs="宋体"/>
          <w:color w:val="auto"/>
          <w:sz w:val="24"/>
          <w:szCs w:val="24"/>
          <w:highlight w:val="none"/>
        </w:rPr>
        <w:t>：</w:t>
      </w:r>
    </w:p>
    <w:p>
      <w:pPr>
        <w:snapToGrid w:val="0"/>
        <w:spacing w:line="400" w:lineRule="exact"/>
        <w:ind w:firstLine="720" w:firstLineChars="3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系中华人民共和国合法企业，经营地址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napToGrid w:val="0"/>
        <w:spacing w:line="400" w:lineRule="exact"/>
        <w:ind w:firstLine="64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的法定代表人，我方愿意参加贵方组织的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）的投标，为便于贵方公正、择优地确定中标人及其服务，我方就本次投标有关事项郑重声明如下：</w:t>
      </w:r>
    </w:p>
    <w:p>
      <w:pPr>
        <w:spacing w:line="400" w:lineRule="exact"/>
        <w:ind w:firstLine="456" w:firstLineChars="200"/>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1.我方向贵方提交的所有投标文件、资料都是准确的和真实的；</w:t>
      </w:r>
    </w:p>
    <w:p>
      <w:pPr>
        <w:spacing w:line="400" w:lineRule="exact"/>
        <w:ind w:firstLine="456" w:firstLineChars="200"/>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2.我方不是采购人的附属机构；在获知本项目采购信息后，与采购人聘请的为此项目提供咨询服务的公司及其附属机构没有任何联系；</w:t>
      </w:r>
    </w:p>
    <w:p>
      <w:pPr>
        <w:spacing w:line="400" w:lineRule="exact"/>
        <w:ind w:firstLine="456" w:firstLineChars="200"/>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3.我方在参加政府采购活动前3年内：</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pacing w:val="-6"/>
          <w:sz w:val="24"/>
          <w:szCs w:val="24"/>
          <w:highlight w:val="none"/>
        </w:rPr>
        <w:t>（填写“有”或“没有”，如实填写，如不填写视同未按要求填写）</w:t>
      </w:r>
      <w:r>
        <w:rPr>
          <w:rFonts w:hint="eastAsia" w:ascii="宋体" w:hAnsi="宋体" w:eastAsia="宋体" w:cs="宋体"/>
          <w:color w:val="auto"/>
          <w:spacing w:val="-6"/>
          <w:sz w:val="24"/>
          <w:szCs w:val="24"/>
          <w:highlight w:val="none"/>
        </w:rPr>
        <w:t>因违法经营被禁止在一定期限内参加政府采购活动，且期限未满的情形；</w:t>
      </w:r>
    </w:p>
    <w:p>
      <w:pPr>
        <w:spacing w:line="40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4.以上事项如有虚假或隐瞒，我方愿意承担一切后果和责任。</w:t>
      </w:r>
    </w:p>
    <w:p>
      <w:pPr>
        <w:pStyle w:val="13"/>
        <w:tabs>
          <w:tab w:val="left" w:pos="939"/>
        </w:tabs>
        <w:snapToGrid w:val="0"/>
        <w:spacing w:line="400" w:lineRule="exact"/>
        <w:ind w:left="458" w:leftChars="0" w:hanging="458" w:hangingChars="191"/>
        <w:rPr>
          <w:rFonts w:hint="eastAsia" w:ascii="宋体" w:hAnsi="宋体" w:eastAsia="宋体" w:cs="宋体"/>
          <w:color w:val="auto"/>
          <w:sz w:val="24"/>
          <w:szCs w:val="24"/>
          <w:highlight w:val="none"/>
        </w:rPr>
      </w:pPr>
    </w:p>
    <w:p>
      <w:pPr>
        <w:pStyle w:val="61"/>
        <w:snapToGrid w:val="0"/>
        <w:spacing w:line="400" w:lineRule="exact"/>
        <w:ind w:firstLine="200"/>
        <w:rPr>
          <w:rFonts w:hint="eastAsia" w:ascii="宋体" w:hAnsi="宋体" w:eastAsia="宋体" w:cs="宋体"/>
          <w:color w:val="auto"/>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spacing w:line="400" w:lineRule="exact"/>
        <w:ind w:firstLine="435"/>
        <w:jc w:val="center"/>
        <w:rPr>
          <w:rFonts w:hint="eastAsia" w:ascii="宋体" w:hAnsi="宋体" w:eastAsia="宋体" w:cs="宋体"/>
          <w:b/>
          <w:color w:val="auto"/>
          <w:spacing w:val="-6"/>
          <w:sz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outlineLvl w:val="9"/>
        <w:rPr>
          <w:rFonts w:hint="eastAsia" w:ascii="宋体" w:hAnsi="宋体" w:eastAsia="宋体" w:cs="宋体"/>
          <w:b/>
          <w:color w:val="auto"/>
          <w:spacing w:val="-6"/>
          <w:sz w:val="24"/>
          <w:highlight w:val="none"/>
          <w:lang w:eastAsia="zh-CN"/>
        </w:rPr>
      </w:pPr>
      <w:r>
        <w:rPr>
          <w:rFonts w:hint="eastAsia" w:ascii="宋体" w:hAnsi="宋体" w:eastAsia="宋体" w:cs="宋体"/>
          <w:b/>
          <w:color w:val="auto"/>
          <w:sz w:val="24"/>
          <w:szCs w:val="24"/>
          <w:highlight w:val="none"/>
          <w:lang w:eastAsia="zh-CN"/>
        </w:rPr>
        <w:t>附件8</w:t>
      </w:r>
    </w:p>
    <w:p>
      <w:pPr>
        <w:spacing w:line="400" w:lineRule="exact"/>
        <w:ind w:firstLine="435"/>
        <w:jc w:val="center"/>
        <w:outlineLvl w:val="9"/>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投标人基本情况表</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2507"/>
        <w:gridCol w:w="1366"/>
        <w:gridCol w:w="1023"/>
        <w:gridCol w:w="596"/>
        <w:gridCol w:w="1154"/>
        <w:gridCol w:w="10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21" w:type="dxa"/>
            <w:tcBorders>
              <w:top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单位名称 </w:t>
            </w:r>
          </w:p>
        </w:tc>
        <w:tc>
          <w:tcPr>
            <w:tcW w:w="25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单位地址 </w:t>
            </w:r>
          </w:p>
        </w:tc>
        <w:tc>
          <w:tcPr>
            <w:tcW w:w="3781" w:type="dxa"/>
            <w:gridSpan w:val="4"/>
            <w:tcBorders>
              <w:top w:val="single" w:color="auto" w:sz="4" w:space="0"/>
              <w:left w:val="single" w:color="auto" w:sz="4" w:space="0"/>
              <w:bottom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21" w:type="dxa"/>
            <w:tcBorders>
              <w:top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联系电话 </w:t>
            </w:r>
          </w:p>
        </w:tc>
        <w:tc>
          <w:tcPr>
            <w:tcW w:w="25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w:t>
            </w:r>
          </w:p>
        </w:tc>
        <w:tc>
          <w:tcPr>
            <w:tcW w:w="3781" w:type="dxa"/>
            <w:gridSpan w:val="4"/>
            <w:tcBorders>
              <w:top w:val="single" w:color="auto" w:sz="4" w:space="0"/>
              <w:left w:val="single" w:color="auto" w:sz="4" w:space="0"/>
              <w:bottom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21" w:type="dxa"/>
            <w:tcBorders>
              <w:top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成立时间 </w:t>
            </w:r>
          </w:p>
        </w:tc>
        <w:tc>
          <w:tcPr>
            <w:tcW w:w="25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注册资金(万元) </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固定资产(万元) </w:t>
            </w:r>
          </w:p>
        </w:tc>
        <w:tc>
          <w:tcPr>
            <w:tcW w:w="1008" w:type="dxa"/>
            <w:tcBorders>
              <w:top w:val="single" w:color="auto" w:sz="4" w:space="0"/>
              <w:left w:val="single" w:color="auto" w:sz="4" w:space="0"/>
              <w:bottom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21" w:type="dxa"/>
            <w:tcBorders>
              <w:top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法人代表 </w:t>
            </w:r>
          </w:p>
        </w:tc>
        <w:tc>
          <w:tcPr>
            <w:tcW w:w="25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技术负责人 </w:t>
            </w:r>
          </w:p>
        </w:tc>
        <w:tc>
          <w:tcPr>
            <w:tcW w:w="3781" w:type="dxa"/>
            <w:gridSpan w:val="4"/>
            <w:tcBorders>
              <w:top w:val="single" w:color="auto" w:sz="4" w:space="0"/>
              <w:left w:val="single" w:color="auto" w:sz="4" w:space="0"/>
              <w:bottom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21" w:type="dxa"/>
            <w:vMerge w:val="restart"/>
            <w:tcBorders>
              <w:top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资质等级情况 </w:t>
            </w:r>
          </w:p>
        </w:tc>
        <w:tc>
          <w:tcPr>
            <w:tcW w:w="25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资质名称 </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颁发部门 </w:t>
            </w:r>
          </w:p>
        </w:tc>
        <w:tc>
          <w:tcPr>
            <w:tcW w:w="1619"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资质等级 </w:t>
            </w:r>
          </w:p>
        </w:tc>
        <w:tc>
          <w:tcPr>
            <w:tcW w:w="2162" w:type="dxa"/>
            <w:gridSpan w:val="2"/>
            <w:tcBorders>
              <w:top w:val="single" w:color="auto" w:sz="4" w:space="0"/>
              <w:left w:val="single" w:color="auto" w:sz="4" w:space="0"/>
              <w:bottom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颁发时间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21" w:type="dxa"/>
            <w:vMerge w:val="continue"/>
            <w:tcBorders>
              <w:top w:val="single" w:color="auto" w:sz="4" w:space="0"/>
              <w:bottom w:val="single" w:color="auto" w:sz="4" w:space="0"/>
              <w:right w:val="single" w:color="auto" w:sz="4" w:space="0"/>
            </w:tcBorders>
            <w:noWrap w:val="0"/>
            <w:vAlign w:val="center"/>
          </w:tcPr>
          <w:p>
            <w:pPr>
              <w:widowControl/>
              <w:spacing w:after="0"/>
              <w:jc w:val="left"/>
              <w:outlineLvl w:val="9"/>
              <w:rPr>
                <w:rFonts w:hint="eastAsia" w:ascii="宋体" w:hAnsi="宋体" w:eastAsia="宋体" w:cs="宋体"/>
                <w:color w:val="auto"/>
                <w:kern w:val="0"/>
                <w:sz w:val="22"/>
                <w:szCs w:val="22"/>
                <w:highlight w:val="none"/>
              </w:rPr>
            </w:pPr>
          </w:p>
        </w:tc>
        <w:tc>
          <w:tcPr>
            <w:tcW w:w="25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c>
          <w:tcPr>
            <w:tcW w:w="1619"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c>
          <w:tcPr>
            <w:tcW w:w="2162" w:type="dxa"/>
            <w:gridSpan w:val="2"/>
            <w:tcBorders>
              <w:top w:val="single" w:color="auto" w:sz="4" w:space="0"/>
              <w:left w:val="single" w:color="auto" w:sz="4" w:space="0"/>
              <w:bottom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21" w:type="dxa"/>
            <w:vMerge w:val="continue"/>
            <w:tcBorders>
              <w:top w:val="single" w:color="auto" w:sz="4" w:space="0"/>
              <w:bottom w:val="single" w:color="auto" w:sz="4" w:space="0"/>
              <w:right w:val="single" w:color="auto" w:sz="4" w:space="0"/>
            </w:tcBorders>
            <w:noWrap w:val="0"/>
            <w:vAlign w:val="center"/>
          </w:tcPr>
          <w:p>
            <w:pPr>
              <w:widowControl/>
              <w:spacing w:after="0"/>
              <w:jc w:val="left"/>
              <w:outlineLvl w:val="9"/>
              <w:rPr>
                <w:rFonts w:hint="eastAsia" w:ascii="宋体" w:hAnsi="宋体" w:eastAsia="宋体" w:cs="宋体"/>
                <w:color w:val="auto"/>
                <w:kern w:val="0"/>
                <w:sz w:val="22"/>
                <w:szCs w:val="22"/>
                <w:highlight w:val="none"/>
              </w:rPr>
            </w:pPr>
          </w:p>
        </w:tc>
        <w:tc>
          <w:tcPr>
            <w:tcW w:w="25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c>
          <w:tcPr>
            <w:tcW w:w="1619"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c>
          <w:tcPr>
            <w:tcW w:w="2162" w:type="dxa"/>
            <w:gridSpan w:val="2"/>
            <w:tcBorders>
              <w:top w:val="single" w:color="auto" w:sz="4" w:space="0"/>
              <w:left w:val="single" w:color="auto" w:sz="4" w:space="0"/>
              <w:bottom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1" w:hRule="atLeast"/>
          <w:jc w:val="center"/>
        </w:trPr>
        <w:tc>
          <w:tcPr>
            <w:tcW w:w="1721" w:type="dxa"/>
            <w:tcBorders>
              <w:top w:val="single" w:color="auto" w:sz="4" w:space="0"/>
              <w:bottom w:val="single" w:color="auto" w:sz="4" w:space="0"/>
              <w:right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其他有竞争力 </w:t>
            </w:r>
          </w:p>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的说明 </w:t>
            </w:r>
          </w:p>
        </w:tc>
        <w:tc>
          <w:tcPr>
            <w:tcW w:w="7654" w:type="dxa"/>
            <w:gridSpan w:val="6"/>
            <w:tcBorders>
              <w:top w:val="single" w:color="auto" w:sz="4" w:space="0"/>
              <w:left w:val="single" w:color="auto" w:sz="4" w:space="0"/>
              <w:bottom w:val="single" w:color="auto" w:sz="4" w:space="0"/>
            </w:tcBorders>
            <w:noWrap w:val="0"/>
            <w:vAlign w:val="center"/>
          </w:tcPr>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p>
            <w:pPr>
              <w:widowControl/>
              <w:adjustRightInd w:val="0"/>
              <w:snapToGrid w:val="0"/>
              <w:spacing w:after="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tc>
      </w:tr>
    </w:tbl>
    <w:p>
      <w:pPr>
        <w:spacing w:line="400" w:lineRule="exact"/>
        <w:outlineLvl w:val="9"/>
        <w:rPr>
          <w:rFonts w:hint="eastAsia" w:ascii="宋体" w:hAnsi="宋体" w:eastAsia="宋体" w:cs="宋体"/>
          <w:color w:val="auto"/>
          <w:spacing w:val="-6"/>
          <w:sz w:val="24"/>
          <w:highlight w:val="none"/>
        </w:rPr>
      </w:pPr>
    </w:p>
    <w:p>
      <w:pPr>
        <w:spacing w:line="400" w:lineRule="exact"/>
        <w:outlineLvl w:val="9"/>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说明：所有投标人都须填写此表。</w:t>
      </w:r>
    </w:p>
    <w:p>
      <w:pPr>
        <w:spacing w:line="400" w:lineRule="exact"/>
        <w:outlineLvl w:val="9"/>
        <w:rPr>
          <w:rFonts w:hint="eastAsia" w:ascii="宋体" w:hAnsi="宋体" w:eastAsia="宋体" w:cs="宋体"/>
          <w:color w:val="auto"/>
          <w:spacing w:val="-6"/>
          <w:sz w:val="24"/>
          <w:highlight w:val="none"/>
        </w:rPr>
      </w:pPr>
    </w:p>
    <w:p>
      <w:pPr>
        <w:spacing w:line="400" w:lineRule="exact"/>
        <w:outlineLvl w:val="9"/>
        <w:rPr>
          <w:rFonts w:hint="eastAsia" w:ascii="宋体" w:hAnsi="宋体" w:eastAsia="宋体" w:cs="宋体"/>
          <w:color w:val="auto"/>
          <w:spacing w:val="-6"/>
          <w:sz w:val="24"/>
          <w:highlight w:val="none"/>
        </w:rPr>
      </w:pPr>
    </w:p>
    <w:p>
      <w:pPr>
        <w:widowControl/>
        <w:spacing w:line="400" w:lineRule="exac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pPr>
        <w:spacing w:line="400" w:lineRule="exact"/>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附件9</w:t>
      </w:r>
    </w:p>
    <w:p>
      <w:pPr>
        <w:spacing w:line="4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投标人同类项目业绩一览表（如有）</w:t>
      </w:r>
    </w:p>
    <w:p>
      <w:pPr>
        <w:spacing w:line="400" w:lineRule="exact"/>
        <w:outlineLvl w:val="9"/>
        <w:rPr>
          <w:rFonts w:hint="eastAsia" w:ascii="宋体" w:hAnsi="宋体" w:eastAsia="宋体" w:cs="宋体"/>
          <w:b/>
          <w:bCs/>
          <w:color w:val="auto"/>
          <w:sz w:val="24"/>
          <w:szCs w:val="24"/>
          <w:highlight w:val="none"/>
        </w:rPr>
      </w:pPr>
    </w:p>
    <w:p>
      <w:pPr>
        <w:pStyle w:val="14"/>
        <w:spacing w:after="0" w:line="400" w:lineRule="exact"/>
        <w:ind w:left="0" w:leftChars="0" w:right="0" w:rightChars="0"/>
        <w:outlineLvl w:val="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eastAsia="zh-CN"/>
        </w:rPr>
        <w:t>标项名称</w:t>
      </w:r>
      <w:r>
        <w:rPr>
          <w:rFonts w:hint="eastAsia" w:ascii="宋体" w:hAnsi="宋体" w:eastAsia="宋体" w:cs="宋体"/>
          <w:b/>
          <w:color w:val="auto"/>
          <w:sz w:val="24"/>
          <w:szCs w:val="24"/>
          <w:highlight w:val="none"/>
        </w:rPr>
        <w:t xml:space="preserve">：                         项目编号：                  </w:t>
      </w:r>
    </w:p>
    <w:tbl>
      <w:tblPr>
        <w:tblStyle w:val="31"/>
        <w:tblW w:w="9492"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559"/>
        <w:gridCol w:w="2127"/>
        <w:gridCol w:w="1275"/>
        <w:gridCol w:w="1276"/>
        <w:gridCol w:w="23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559" w:type="dxa"/>
            <w:vAlign w:val="center"/>
          </w:tcPr>
          <w:p>
            <w:pPr>
              <w:spacing w:line="4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用户名称</w:t>
            </w:r>
          </w:p>
        </w:tc>
        <w:tc>
          <w:tcPr>
            <w:tcW w:w="2127" w:type="dxa"/>
            <w:vAlign w:val="center"/>
          </w:tcPr>
          <w:p>
            <w:pPr>
              <w:spacing w:line="400" w:lineRule="exact"/>
              <w:jc w:val="center"/>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标项名称</w:t>
            </w:r>
          </w:p>
        </w:tc>
        <w:tc>
          <w:tcPr>
            <w:tcW w:w="1275" w:type="dxa"/>
            <w:vAlign w:val="center"/>
          </w:tcPr>
          <w:p>
            <w:pPr>
              <w:spacing w:line="4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276" w:type="dxa"/>
            <w:vAlign w:val="center"/>
          </w:tcPr>
          <w:p>
            <w:pPr>
              <w:spacing w:line="4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合同金额</w:t>
            </w:r>
          </w:p>
        </w:tc>
        <w:tc>
          <w:tcPr>
            <w:tcW w:w="2366" w:type="dxa"/>
            <w:vAlign w:val="center"/>
          </w:tcPr>
          <w:p>
            <w:pPr>
              <w:spacing w:line="4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用户联系电话/手机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55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127"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5"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6"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366" w:type="dxa"/>
          </w:tcPr>
          <w:p>
            <w:pPr>
              <w:spacing w:line="400" w:lineRule="exact"/>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55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127"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5"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6"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366" w:type="dxa"/>
          </w:tcPr>
          <w:p>
            <w:pPr>
              <w:spacing w:line="400" w:lineRule="exact"/>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55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127"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5"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6"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366" w:type="dxa"/>
          </w:tcPr>
          <w:p>
            <w:pPr>
              <w:spacing w:line="400" w:lineRule="exact"/>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55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127"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5"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6"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366" w:type="dxa"/>
          </w:tcPr>
          <w:p>
            <w:pPr>
              <w:spacing w:line="400" w:lineRule="exact"/>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55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127"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5"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6"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366" w:type="dxa"/>
          </w:tcPr>
          <w:p>
            <w:pPr>
              <w:spacing w:line="400" w:lineRule="exact"/>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55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127"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5"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6"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366" w:type="dxa"/>
          </w:tcPr>
          <w:p>
            <w:pPr>
              <w:spacing w:line="400" w:lineRule="exact"/>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55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127"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5"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6"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366" w:type="dxa"/>
          </w:tcPr>
          <w:p>
            <w:pPr>
              <w:spacing w:line="400" w:lineRule="exact"/>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55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127"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5"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6"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366" w:type="dxa"/>
          </w:tcPr>
          <w:p>
            <w:pPr>
              <w:spacing w:line="400" w:lineRule="exact"/>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55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127"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5"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6"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366" w:type="dxa"/>
          </w:tcPr>
          <w:p>
            <w:pPr>
              <w:spacing w:line="400" w:lineRule="exact"/>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55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127"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5"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6"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366" w:type="dxa"/>
          </w:tcPr>
          <w:p>
            <w:pPr>
              <w:spacing w:line="400" w:lineRule="exact"/>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55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127"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5"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6"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366" w:type="dxa"/>
          </w:tcPr>
          <w:p>
            <w:pPr>
              <w:spacing w:line="400" w:lineRule="exact"/>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55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127"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5"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6"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366" w:type="dxa"/>
          </w:tcPr>
          <w:p>
            <w:pPr>
              <w:spacing w:line="400" w:lineRule="exact"/>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559"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127"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5"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1276" w:type="dxa"/>
            <w:vAlign w:val="center"/>
          </w:tcPr>
          <w:p>
            <w:pPr>
              <w:spacing w:line="400" w:lineRule="exact"/>
              <w:jc w:val="center"/>
              <w:outlineLvl w:val="9"/>
              <w:rPr>
                <w:rFonts w:hint="eastAsia" w:ascii="宋体" w:hAnsi="宋体" w:eastAsia="宋体" w:cs="宋体"/>
                <w:b/>
                <w:bCs/>
                <w:color w:val="auto"/>
                <w:sz w:val="24"/>
                <w:szCs w:val="24"/>
                <w:highlight w:val="none"/>
              </w:rPr>
            </w:pPr>
          </w:p>
        </w:tc>
        <w:tc>
          <w:tcPr>
            <w:tcW w:w="2366" w:type="dxa"/>
          </w:tcPr>
          <w:p>
            <w:pPr>
              <w:spacing w:line="400" w:lineRule="exact"/>
              <w:jc w:val="center"/>
              <w:outlineLvl w:val="9"/>
              <w:rPr>
                <w:rFonts w:hint="eastAsia" w:ascii="宋体" w:hAnsi="宋体" w:eastAsia="宋体" w:cs="宋体"/>
                <w:b/>
                <w:bCs/>
                <w:color w:val="auto"/>
                <w:sz w:val="24"/>
                <w:szCs w:val="24"/>
                <w:highlight w:val="none"/>
              </w:rPr>
            </w:pPr>
          </w:p>
        </w:tc>
      </w:tr>
    </w:tbl>
    <w:p>
      <w:pPr>
        <w:spacing w:line="400" w:lineRule="exact"/>
        <w:ind w:left="706" w:hanging="705" w:hangingChars="29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备注：证明材料附后</w:t>
      </w:r>
    </w:p>
    <w:p>
      <w:pPr>
        <w:widowControl/>
        <w:spacing w:line="400" w:lineRule="exact"/>
        <w:outlineLvl w:val="9"/>
        <w:rPr>
          <w:rFonts w:hint="eastAsia" w:ascii="宋体" w:hAnsi="宋体" w:eastAsia="宋体" w:cs="宋体"/>
          <w:color w:val="auto"/>
          <w:kern w:val="0"/>
          <w:sz w:val="24"/>
          <w:szCs w:val="24"/>
          <w:highlight w:val="none"/>
        </w:rPr>
      </w:pPr>
    </w:p>
    <w:p>
      <w:pPr>
        <w:widowControl/>
        <w:spacing w:line="400" w:lineRule="exac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pPr>
        <w:spacing w:line="400" w:lineRule="exact"/>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附件10</w:t>
      </w:r>
    </w:p>
    <w:p>
      <w:pPr>
        <w:spacing w:line="40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采购需求偏离表</w:t>
      </w:r>
    </w:p>
    <w:p>
      <w:pPr>
        <w:pStyle w:val="14"/>
        <w:spacing w:after="0" w:line="400" w:lineRule="exact"/>
        <w:ind w:left="0" w:leftChars="0" w:right="0" w:rightChars="0"/>
        <w:outlineLvl w:val="9"/>
        <w:rPr>
          <w:rFonts w:hint="eastAsia" w:ascii="宋体" w:hAnsi="宋体" w:eastAsia="宋体" w:cs="宋体"/>
          <w:color w:val="auto"/>
          <w:highlight w:val="none"/>
        </w:rPr>
      </w:pPr>
      <w:r>
        <w:rPr>
          <w:rFonts w:hint="eastAsia" w:ascii="宋体" w:hAnsi="宋体" w:eastAsia="宋体" w:cs="宋体"/>
          <w:b/>
          <w:color w:val="auto"/>
          <w:sz w:val="24"/>
          <w:szCs w:val="24"/>
          <w:highlight w:val="none"/>
          <w:lang w:eastAsia="zh-CN"/>
        </w:rPr>
        <w:t>标项名称</w:t>
      </w:r>
      <w:r>
        <w:rPr>
          <w:rFonts w:hint="eastAsia" w:ascii="宋体" w:hAnsi="宋体" w:eastAsia="宋体" w:cs="宋体"/>
          <w:b/>
          <w:color w:val="auto"/>
          <w:sz w:val="24"/>
          <w:szCs w:val="24"/>
          <w:highlight w:val="none"/>
        </w:rPr>
        <w:t xml:space="preserve">：                       项目编号：                  </w:t>
      </w:r>
    </w:p>
    <w:tbl>
      <w:tblPr>
        <w:tblStyle w:val="31"/>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6"/>
        <w:gridCol w:w="3219"/>
        <w:gridCol w:w="1822"/>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outlineLvl w:val="9"/>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序号</w:t>
            </w:r>
          </w:p>
        </w:tc>
        <w:tc>
          <w:tcPr>
            <w:tcW w:w="1656" w:type="dxa"/>
            <w:vAlign w:val="center"/>
          </w:tcPr>
          <w:p>
            <w:pPr>
              <w:snapToGrid w:val="0"/>
              <w:spacing w:line="400" w:lineRule="exact"/>
              <w:jc w:val="center"/>
              <w:outlineLvl w:val="9"/>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招标文件要求</w:t>
            </w:r>
          </w:p>
        </w:tc>
        <w:tc>
          <w:tcPr>
            <w:tcW w:w="3219" w:type="dxa"/>
            <w:vAlign w:val="center"/>
          </w:tcPr>
          <w:p>
            <w:pPr>
              <w:snapToGrid w:val="0"/>
              <w:spacing w:line="400" w:lineRule="exact"/>
              <w:jc w:val="center"/>
              <w:outlineLvl w:val="9"/>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投标文件对应规范</w:t>
            </w:r>
          </w:p>
        </w:tc>
        <w:tc>
          <w:tcPr>
            <w:tcW w:w="1822" w:type="dxa"/>
            <w:vAlign w:val="center"/>
          </w:tcPr>
          <w:p>
            <w:pPr>
              <w:snapToGrid w:val="0"/>
              <w:spacing w:line="400" w:lineRule="exact"/>
              <w:jc w:val="center"/>
              <w:outlineLvl w:val="9"/>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是否偏离</w:t>
            </w:r>
          </w:p>
          <w:p>
            <w:pPr>
              <w:snapToGrid w:val="0"/>
              <w:spacing w:line="400" w:lineRule="exact"/>
              <w:jc w:val="center"/>
              <w:outlineLvl w:val="9"/>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（提供说明）</w:t>
            </w:r>
          </w:p>
        </w:tc>
        <w:tc>
          <w:tcPr>
            <w:tcW w:w="2092" w:type="dxa"/>
            <w:vAlign w:val="center"/>
          </w:tcPr>
          <w:p>
            <w:pPr>
              <w:snapToGrid w:val="0"/>
              <w:spacing w:line="400" w:lineRule="exact"/>
              <w:jc w:val="center"/>
              <w:outlineLvl w:val="9"/>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要求提供的证明材料页码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outlineLvl w:val="9"/>
              <w:rPr>
                <w:rFonts w:hint="eastAsia" w:ascii="宋体" w:hAnsi="宋体" w:eastAsia="宋体" w:cs="宋体"/>
                <w:color w:val="auto"/>
                <w:spacing w:val="-6"/>
                <w:sz w:val="24"/>
                <w:highlight w:val="none"/>
              </w:rPr>
            </w:pPr>
          </w:p>
        </w:tc>
        <w:tc>
          <w:tcPr>
            <w:tcW w:w="1656" w:type="dxa"/>
            <w:vAlign w:val="center"/>
          </w:tcPr>
          <w:p>
            <w:pPr>
              <w:snapToGrid w:val="0"/>
              <w:spacing w:line="400" w:lineRule="exact"/>
              <w:outlineLvl w:val="9"/>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outlineLvl w:val="9"/>
              <w:rPr>
                <w:rFonts w:hint="eastAsia" w:ascii="宋体" w:hAnsi="宋体" w:eastAsia="宋体" w:cs="宋体"/>
                <w:color w:val="auto"/>
                <w:spacing w:val="-6"/>
                <w:sz w:val="24"/>
                <w:highlight w:val="none"/>
              </w:rPr>
            </w:pPr>
            <w:r>
              <w:rPr>
                <w:rFonts w:hint="eastAsia" w:ascii="宋体" w:hAnsi="宋体" w:cs="宋体"/>
                <w:color w:val="auto"/>
                <w:spacing w:val="-6"/>
                <w:sz w:val="24"/>
                <w:highlight w:val="none"/>
                <w:lang w:eastAsia="zh-CN"/>
              </w:rPr>
              <w:t>服务</w:t>
            </w:r>
            <w:r>
              <w:rPr>
                <w:rFonts w:hint="eastAsia" w:ascii="宋体" w:hAnsi="宋体" w:eastAsia="宋体" w:cs="宋体"/>
                <w:color w:val="auto"/>
                <w:spacing w:val="-6"/>
                <w:sz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outlineLvl w:val="9"/>
              <w:rPr>
                <w:rFonts w:hint="eastAsia" w:ascii="宋体" w:hAnsi="宋体" w:eastAsia="宋体" w:cs="宋体"/>
                <w:color w:val="auto"/>
                <w:spacing w:val="-6"/>
                <w:sz w:val="24"/>
                <w:highlight w:val="none"/>
              </w:rPr>
            </w:pPr>
          </w:p>
        </w:tc>
        <w:tc>
          <w:tcPr>
            <w:tcW w:w="1656" w:type="dxa"/>
            <w:vAlign w:val="center"/>
          </w:tcPr>
          <w:p>
            <w:pPr>
              <w:snapToGrid w:val="0"/>
              <w:spacing w:line="400" w:lineRule="exact"/>
              <w:outlineLvl w:val="9"/>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outlineLvl w:val="9"/>
              <w:rPr>
                <w:rFonts w:hint="eastAsia" w:ascii="宋体" w:hAnsi="宋体" w:eastAsia="宋体" w:cs="宋体"/>
                <w:color w:val="auto"/>
                <w:spacing w:val="-6"/>
                <w:sz w:val="24"/>
                <w:highlight w:val="none"/>
              </w:rPr>
            </w:pPr>
          </w:p>
        </w:tc>
      </w:tr>
    </w:tbl>
    <w:p>
      <w:pPr>
        <w:pStyle w:val="14"/>
        <w:spacing w:after="0" w:line="400" w:lineRule="exact"/>
        <w:ind w:left="0" w:leftChars="0" w:right="0" w:rightChars="0"/>
        <w:outlineLvl w:val="9"/>
        <w:rPr>
          <w:rFonts w:hint="eastAsia" w:ascii="宋体" w:hAnsi="宋体" w:eastAsia="宋体" w:cs="宋体"/>
          <w:b/>
          <w:bCs/>
          <w:color w:val="auto"/>
          <w:spacing w:val="-6"/>
          <w:sz w:val="24"/>
          <w:highlight w:val="none"/>
        </w:rPr>
      </w:pPr>
    </w:p>
    <w:p>
      <w:pPr>
        <w:adjustRightInd w:val="0"/>
        <w:snapToGrid w:val="0"/>
        <w:spacing w:line="400" w:lineRule="exact"/>
        <w:jc w:val="left"/>
        <w:outlineLvl w:val="9"/>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注意：1.逐项按照招标文件要求填写响应规格；</w:t>
      </w:r>
    </w:p>
    <w:p>
      <w:pPr>
        <w:adjustRightInd w:val="0"/>
        <w:snapToGrid w:val="0"/>
        <w:spacing w:line="400" w:lineRule="exact"/>
        <w:ind w:firstLine="687" w:firstLineChars="300"/>
        <w:jc w:val="left"/>
        <w:outlineLvl w:val="9"/>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2.偏离说明是指对招标文件要求存在不同之处的解释说明。偏离系指：正偏离（高于采购需求）、负偏离（低于采购需求或未按采购需求提供相应证明材料的）、无偏离（满足采购需求）；</w:t>
      </w:r>
    </w:p>
    <w:p>
      <w:pPr>
        <w:adjustRightInd w:val="0"/>
        <w:snapToGrid w:val="0"/>
        <w:spacing w:line="400" w:lineRule="exact"/>
        <w:ind w:firstLine="687" w:firstLineChars="300"/>
        <w:jc w:val="left"/>
        <w:outlineLvl w:val="9"/>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3.如不填写此表或留空，视为完全响应招标文件要求，自行承担投标风险。</w:t>
      </w:r>
    </w:p>
    <w:p>
      <w:pPr>
        <w:widowControl/>
        <w:spacing w:line="400" w:lineRule="exact"/>
        <w:outlineLvl w:val="9"/>
        <w:rPr>
          <w:rFonts w:hint="eastAsia" w:ascii="宋体" w:hAnsi="宋体" w:eastAsia="宋体" w:cs="宋体"/>
          <w:color w:val="auto"/>
          <w:kern w:val="0"/>
          <w:sz w:val="24"/>
          <w:szCs w:val="24"/>
          <w:highlight w:val="none"/>
        </w:rPr>
      </w:pPr>
    </w:p>
    <w:p>
      <w:pPr>
        <w:widowControl/>
        <w:spacing w:line="400" w:lineRule="exac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pPr>
        <w:spacing w:line="400" w:lineRule="exact"/>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附件11</w:t>
      </w:r>
    </w:p>
    <w:p>
      <w:pPr>
        <w:pStyle w:val="67"/>
        <w:snapToGrid w:val="0"/>
        <w:spacing w:line="600" w:lineRule="exact"/>
        <w:jc w:val="center"/>
        <w:outlineLvl w:val="9"/>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政府采购活动现场确认声明书</w:t>
      </w:r>
    </w:p>
    <w:p>
      <w:pPr>
        <w:pStyle w:val="67"/>
        <w:snapToGrid w:val="0"/>
        <w:spacing w:line="400" w:lineRule="exact"/>
        <w:outlineLvl w:val="9"/>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u w:val="single"/>
        </w:rPr>
        <w:t>浙江乐诚工程咨询有限公司</w:t>
      </w:r>
      <w:r>
        <w:rPr>
          <w:rFonts w:hint="eastAsia" w:ascii="宋体" w:hAnsi="宋体" w:eastAsia="宋体" w:cs="宋体"/>
          <w:color w:val="auto"/>
          <w:kern w:val="0"/>
          <w:sz w:val="24"/>
          <w:szCs w:val="24"/>
          <w:highlight w:val="none"/>
        </w:rPr>
        <w:t>：</w:t>
      </w:r>
    </w:p>
    <w:p>
      <w:pPr>
        <w:pStyle w:val="67"/>
        <w:snapToGrid w:val="0"/>
        <w:spacing w:line="400" w:lineRule="exact"/>
        <w:ind w:firstLine="504" w:firstLineChars="200"/>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本人经由</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pacing w:val="6"/>
          <w:sz w:val="24"/>
          <w:szCs w:val="24"/>
          <w:highlight w:val="none"/>
          <w:u w:val="single"/>
        </w:rPr>
        <w:t>单位）</w:t>
      </w:r>
      <w:r>
        <w:rPr>
          <w:rFonts w:hint="eastAsia" w:ascii="宋体" w:hAnsi="宋体" w:eastAsia="宋体" w:cs="宋体"/>
          <w:color w:val="auto"/>
          <w:spacing w:val="6"/>
          <w:sz w:val="24"/>
          <w:szCs w:val="24"/>
          <w:highlight w:val="none"/>
        </w:rPr>
        <w:t>法人代表负责人</w:t>
      </w:r>
      <w:r>
        <w:rPr>
          <w:rFonts w:hint="eastAsia" w:ascii="宋体" w:hAnsi="宋体" w:eastAsia="宋体" w:cs="宋体"/>
          <w:color w:val="auto"/>
          <w:spacing w:val="6"/>
          <w:sz w:val="24"/>
          <w:szCs w:val="24"/>
          <w:highlight w:val="none"/>
          <w:u w:val="single"/>
        </w:rPr>
        <w:t xml:space="preserve">         （姓名）</w:t>
      </w:r>
      <w:r>
        <w:rPr>
          <w:rFonts w:hint="eastAsia" w:ascii="宋体" w:hAnsi="宋体" w:eastAsia="宋体" w:cs="宋体"/>
          <w:color w:val="auto"/>
          <w:spacing w:val="6"/>
          <w:sz w:val="24"/>
          <w:szCs w:val="24"/>
          <w:highlight w:val="none"/>
        </w:rPr>
        <w:t>合法授权参加（项目）（项目编号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）政府采购活动，经与本单位法人代表（负责人）联系确认，现就有关公平竞争事项郑重声明如下： </w:t>
      </w:r>
    </w:p>
    <w:p>
      <w:pPr>
        <w:pStyle w:val="67"/>
        <w:numPr>
          <w:ilvl w:val="0"/>
          <w:numId w:val="9"/>
        </w:numPr>
        <w:snapToGrid w:val="0"/>
        <w:spacing w:line="400" w:lineRule="exact"/>
        <w:ind w:firstLine="240" w:firstLineChars="1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本单位与采购人之间□不存在利害关系 □存在下列利害关系：</w:t>
      </w:r>
    </w:p>
    <w:p>
      <w:pPr>
        <w:pStyle w:val="67"/>
        <w:snapToGrid w:val="0"/>
        <w:spacing w:line="400" w:lineRule="exact"/>
        <w:ind w:firstLine="240" w:firstLineChars="1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A.投资关系    B.行政隶属关系    C.业务指导关系</w:t>
      </w:r>
    </w:p>
    <w:p>
      <w:pPr>
        <w:pStyle w:val="67"/>
        <w:snapToGrid w:val="0"/>
        <w:spacing w:line="400" w:lineRule="exact"/>
        <w:ind w:firstLine="240" w:firstLineChars="1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D.其他可能</w:t>
      </w:r>
      <w:r>
        <w:rPr>
          <w:rFonts w:hint="eastAsia" w:ascii="宋体" w:hAnsi="宋体" w:eastAsia="宋体" w:cs="宋体"/>
          <w:color w:val="auto"/>
          <w:sz w:val="24"/>
          <w:szCs w:val="24"/>
          <w:highlight w:val="none"/>
        </w:rPr>
        <w:t>影响采购公正的</w:t>
      </w:r>
      <w:r>
        <w:rPr>
          <w:rFonts w:hint="eastAsia" w:ascii="宋体" w:hAnsi="宋体" w:eastAsia="宋体" w:cs="宋体"/>
          <w:color w:val="auto"/>
          <w:kern w:val="0"/>
          <w:sz w:val="24"/>
          <w:szCs w:val="24"/>
          <w:highlight w:val="none"/>
        </w:rPr>
        <w:t>利害关系</w:t>
      </w:r>
      <w:r>
        <w:rPr>
          <w:rFonts w:hint="eastAsia" w:ascii="宋体" w:hAnsi="宋体" w:eastAsia="宋体" w:cs="宋体"/>
          <w:color w:val="auto"/>
          <w:kern w:val="0"/>
          <w:sz w:val="24"/>
          <w:szCs w:val="24"/>
          <w:highlight w:val="none"/>
          <w:u w:val="single"/>
        </w:rPr>
        <w:t xml:space="preserve">（如有，请如实说明）                 </w:t>
      </w:r>
      <w:r>
        <w:rPr>
          <w:rFonts w:hint="eastAsia" w:ascii="宋体" w:hAnsi="宋体" w:eastAsia="宋体" w:cs="宋体"/>
          <w:color w:val="auto"/>
          <w:kern w:val="0"/>
          <w:sz w:val="24"/>
          <w:szCs w:val="24"/>
          <w:highlight w:val="none"/>
        </w:rPr>
        <w:t>。</w:t>
      </w:r>
    </w:p>
    <w:p>
      <w:pPr>
        <w:pStyle w:val="68"/>
        <w:widowControl/>
        <w:snapToGrid w:val="0"/>
        <w:spacing w:line="400" w:lineRule="exac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pacing w:val="6"/>
          <w:sz w:val="24"/>
          <w:szCs w:val="24"/>
          <w:highlight w:val="none"/>
        </w:rPr>
        <w:t xml:space="preserve">  二、</w:t>
      </w:r>
      <w:r>
        <w:rPr>
          <w:rFonts w:hint="eastAsia" w:ascii="宋体" w:hAnsi="宋体" w:eastAsia="宋体" w:cs="宋体"/>
          <w:color w:val="auto"/>
          <w:kern w:val="0"/>
          <w:sz w:val="24"/>
          <w:szCs w:val="24"/>
          <w:highlight w:val="none"/>
        </w:rPr>
        <w:t>现已清楚知道参加本项目采购活动的其他所有供应商名称，本单位 □与其他所有供应商之间均不存在利害关系 □与</w:t>
      </w:r>
      <w:r>
        <w:rPr>
          <w:rFonts w:hint="eastAsia" w:ascii="宋体" w:hAnsi="宋体" w:eastAsia="宋体" w:cs="宋体"/>
          <w:color w:val="auto"/>
          <w:kern w:val="0"/>
          <w:sz w:val="24"/>
          <w:szCs w:val="24"/>
          <w:highlight w:val="none"/>
          <w:u w:val="single"/>
        </w:rPr>
        <w:t xml:space="preserve">           （供应商名称）</w:t>
      </w:r>
      <w:r>
        <w:rPr>
          <w:rFonts w:hint="eastAsia" w:ascii="宋体" w:hAnsi="宋体" w:eastAsia="宋体" w:cs="宋体"/>
          <w:color w:val="auto"/>
          <w:kern w:val="0"/>
          <w:sz w:val="24"/>
          <w:szCs w:val="24"/>
          <w:highlight w:val="none"/>
        </w:rPr>
        <w:t>之间存在下列利害关系：</w:t>
      </w:r>
    </w:p>
    <w:p>
      <w:pPr>
        <w:pStyle w:val="67"/>
        <w:snapToGrid w:val="0"/>
        <w:spacing w:line="400" w:lineRule="exac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A.法定代表人或负责人或实际控制人是同一人</w:t>
      </w:r>
    </w:p>
    <w:p>
      <w:pPr>
        <w:pStyle w:val="67"/>
        <w:snapToGrid w:val="0"/>
        <w:spacing w:line="400" w:lineRule="exact"/>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B.法定代表人或负责人或实际控制人是夫妻关系</w:t>
      </w:r>
    </w:p>
    <w:p>
      <w:pPr>
        <w:pStyle w:val="67"/>
        <w:snapToGrid w:val="0"/>
        <w:spacing w:line="400" w:lineRule="exact"/>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C.法定代表人或负责人或实际控制人是直系血亲关系</w:t>
      </w:r>
    </w:p>
    <w:p>
      <w:pPr>
        <w:pStyle w:val="67"/>
        <w:snapToGrid w:val="0"/>
        <w:spacing w:line="400" w:lineRule="exact"/>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D.法定代表人或负责人或实际控制人存在三代以内旁系血亲关系</w:t>
      </w:r>
    </w:p>
    <w:p>
      <w:pPr>
        <w:pStyle w:val="67"/>
        <w:snapToGrid w:val="0"/>
        <w:spacing w:line="400" w:lineRule="exac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E.法定代表人或负责人或实际控制人存在近姻亲关系</w:t>
      </w:r>
    </w:p>
    <w:p>
      <w:pPr>
        <w:pStyle w:val="67"/>
        <w:snapToGrid w:val="0"/>
        <w:spacing w:line="400" w:lineRule="exac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F.法定代表人或负责人或实际控制人存在股份控制或实际控制关系</w:t>
      </w:r>
    </w:p>
    <w:p>
      <w:pPr>
        <w:pStyle w:val="67"/>
        <w:snapToGrid w:val="0"/>
        <w:spacing w:line="400" w:lineRule="exac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G.存在共同直接或间接投资设立子公司、联营企业和合营企业情况</w:t>
      </w:r>
    </w:p>
    <w:p>
      <w:pPr>
        <w:pStyle w:val="67"/>
        <w:snapToGrid w:val="0"/>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H.存在分级代理或代销关系、同一生产制造商关系、</w:t>
      </w:r>
      <w:r>
        <w:rPr>
          <w:rFonts w:hint="eastAsia" w:ascii="宋体" w:hAnsi="宋体" w:eastAsia="宋体" w:cs="宋体"/>
          <w:color w:val="auto"/>
          <w:sz w:val="24"/>
          <w:szCs w:val="24"/>
          <w:highlight w:val="none"/>
        </w:rPr>
        <w:t>管理关系、重要业务（占主营业务收入50%以上）或重要财务往来关系（如融资）等其他实质性控制关系</w:t>
      </w:r>
    </w:p>
    <w:p>
      <w:pPr>
        <w:pStyle w:val="67"/>
        <w:snapToGrid w:val="0"/>
        <w:spacing w:line="400" w:lineRule="exact"/>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 xml:space="preserve">    I</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其他利害关系情况</w:t>
      </w:r>
      <w:r>
        <w:rPr>
          <w:rFonts w:hint="eastAsia" w:ascii="宋体" w:hAnsi="宋体" w:eastAsia="宋体" w:cs="宋体"/>
          <w:color w:val="auto"/>
          <w:kern w:val="0"/>
          <w:sz w:val="24"/>
          <w:szCs w:val="24"/>
          <w:highlight w:val="none"/>
        </w:rPr>
        <w:t>。</w:t>
      </w:r>
    </w:p>
    <w:p>
      <w:pPr>
        <w:pStyle w:val="68"/>
        <w:widowControl/>
        <w:numPr>
          <w:ilvl w:val="0"/>
          <w:numId w:val="10"/>
        </w:numPr>
        <w:snapToGrid w:val="0"/>
        <w:spacing w:line="400" w:lineRule="exact"/>
        <w:ind w:firstLine="453" w:firstLineChars="189"/>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现已清楚知道并</w:t>
      </w:r>
      <w:r>
        <w:rPr>
          <w:rFonts w:hint="eastAsia" w:ascii="宋体" w:hAnsi="宋体" w:eastAsia="宋体" w:cs="宋体"/>
          <w:color w:val="auto"/>
          <w:kern w:val="0"/>
          <w:sz w:val="24"/>
          <w:szCs w:val="24"/>
          <w:highlight w:val="none"/>
        </w:rPr>
        <w:t>严格遵守政府采购法律法规和现场纪律。</w:t>
      </w:r>
    </w:p>
    <w:p>
      <w:pPr>
        <w:pStyle w:val="68"/>
        <w:widowControl/>
        <w:numPr>
          <w:ilvl w:val="0"/>
          <w:numId w:val="10"/>
        </w:numPr>
        <w:snapToGrid w:val="0"/>
        <w:spacing w:line="400" w:lineRule="exact"/>
        <w:ind w:firstLine="453" w:firstLineChars="189"/>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我发现供应商之间存在或可能存在上述第二条第项利害关系。</w:t>
      </w:r>
    </w:p>
    <w:p>
      <w:pPr>
        <w:pStyle w:val="67"/>
        <w:snapToGrid w:val="0"/>
        <w:spacing w:line="400" w:lineRule="exact"/>
        <w:ind w:firstLine="480" w:firstLineChars="200"/>
        <w:outlineLvl w:val="9"/>
        <w:rPr>
          <w:rFonts w:hint="eastAsia" w:ascii="宋体" w:hAnsi="宋体" w:eastAsia="宋体" w:cs="宋体"/>
          <w:color w:val="auto"/>
          <w:sz w:val="24"/>
          <w:szCs w:val="24"/>
          <w:highlight w:val="none"/>
        </w:rPr>
      </w:pPr>
    </w:p>
    <w:p>
      <w:pPr>
        <w:pStyle w:val="67"/>
        <w:snapToGrid w:val="0"/>
        <w:spacing w:line="6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供应商授权代表签名：</w:t>
      </w:r>
    </w:p>
    <w:p>
      <w:pPr>
        <w:pStyle w:val="67"/>
        <w:snapToGrid w:val="0"/>
        <w:spacing w:line="600" w:lineRule="exact"/>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2023年X月X日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pStyle w:val="14"/>
        <w:ind w:left="1470" w:right="1470"/>
        <w:outlineLvl w:val="9"/>
        <w:rPr>
          <w:rFonts w:hint="eastAsia" w:ascii="宋体" w:hAnsi="宋体" w:eastAsia="宋体" w:cs="宋体"/>
          <w:color w:val="auto"/>
          <w:sz w:val="22"/>
          <w:szCs w:val="22"/>
          <w:highlight w:val="none"/>
        </w:rPr>
      </w:pPr>
    </w:p>
    <w:p>
      <w:pPr>
        <w:outlineLvl w:val="9"/>
        <w:rPr>
          <w:rFonts w:hint="eastAsia" w:ascii="宋体" w:hAnsi="宋体" w:eastAsia="宋体" w:cs="宋体"/>
          <w:b/>
          <w:color w:val="auto"/>
          <w:sz w:val="22"/>
          <w:szCs w:val="22"/>
          <w:highlight w:val="none"/>
          <w:lang w:eastAsia="zh-CN"/>
        </w:rPr>
      </w:pPr>
      <w:r>
        <w:rPr>
          <w:rFonts w:hint="eastAsia" w:ascii="宋体" w:hAnsi="宋体" w:eastAsia="宋体" w:cs="宋体"/>
          <w:b/>
          <w:bCs/>
          <w:color w:val="auto"/>
          <w:sz w:val="22"/>
          <w:szCs w:val="22"/>
          <w:highlight w:val="none"/>
        </w:rPr>
        <w:t>备注：</w:t>
      </w:r>
      <w:r>
        <w:rPr>
          <w:rFonts w:hint="eastAsia" w:ascii="宋体" w:hAnsi="宋体" w:eastAsia="宋体" w:cs="宋体"/>
          <w:b/>
          <w:bCs/>
          <w:color w:val="auto"/>
          <w:sz w:val="22"/>
          <w:szCs w:val="22"/>
          <w:highlight w:val="none"/>
          <w:lang w:val="en-US" w:eastAsia="zh-CN"/>
        </w:rPr>
        <w:t>投标人</w:t>
      </w:r>
      <w:r>
        <w:rPr>
          <w:rFonts w:hint="eastAsia" w:ascii="宋体" w:hAnsi="宋体" w:eastAsia="宋体" w:cs="宋体"/>
          <w:b/>
          <w:bCs/>
          <w:color w:val="auto"/>
          <w:sz w:val="22"/>
          <w:szCs w:val="22"/>
          <w:highlight w:val="none"/>
        </w:rPr>
        <w:t>在</w:t>
      </w:r>
      <w:r>
        <w:rPr>
          <w:rFonts w:hint="eastAsia" w:ascii="宋体" w:hAnsi="宋体" w:eastAsia="宋体" w:cs="宋体"/>
          <w:b/>
          <w:bCs/>
          <w:color w:val="auto"/>
          <w:sz w:val="22"/>
          <w:szCs w:val="22"/>
          <w:highlight w:val="none"/>
          <w:lang w:val="en-US" w:eastAsia="zh-CN"/>
        </w:rPr>
        <w:t>投标</w:t>
      </w:r>
      <w:r>
        <w:rPr>
          <w:rFonts w:hint="eastAsia" w:ascii="宋体" w:hAnsi="宋体" w:eastAsia="宋体" w:cs="宋体"/>
          <w:b/>
          <w:bCs/>
          <w:color w:val="auto"/>
          <w:sz w:val="22"/>
          <w:szCs w:val="22"/>
          <w:highlight w:val="none"/>
        </w:rPr>
        <w:t>文件解密后，通过电子邮件形式，向邮箱地址（</w:t>
      </w:r>
      <w:r>
        <w:rPr>
          <w:rFonts w:hint="eastAsia" w:ascii="宋体" w:hAnsi="宋体" w:cs="宋体"/>
          <w:b/>
          <w:bCs/>
          <w:color w:val="auto"/>
          <w:sz w:val="22"/>
          <w:szCs w:val="22"/>
          <w:highlight w:val="none"/>
          <w:lang w:eastAsia="zh-CN"/>
        </w:rPr>
        <w:t>1005783819</w:t>
      </w:r>
      <w:r>
        <w:rPr>
          <w:rFonts w:hint="eastAsia" w:ascii="宋体" w:hAnsi="宋体" w:eastAsia="宋体" w:cs="宋体"/>
          <w:b/>
          <w:bCs/>
          <w:color w:val="auto"/>
          <w:sz w:val="22"/>
          <w:szCs w:val="22"/>
          <w:highlight w:val="none"/>
        </w:rPr>
        <w:t>@qq.com）发送《政府采购活动现场确认声明书》（上表）。</w:t>
      </w:r>
    </w:p>
    <w:p>
      <w:pPr>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pPr>
        <w:spacing w:line="400" w:lineRule="exact"/>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附件12</w:t>
      </w:r>
    </w:p>
    <w:p>
      <w:pPr>
        <w:spacing w:line="400" w:lineRule="exact"/>
        <w:jc w:val="center"/>
        <w:outlineLvl w:val="9"/>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项目组成员一览表</w:t>
      </w:r>
    </w:p>
    <w:p>
      <w:pPr>
        <w:pStyle w:val="15"/>
        <w:spacing w:afterLines="50" w:line="400" w:lineRule="atLeast"/>
        <w:ind w:left="2629" w:leftChars="1252" w:firstLine="354" w:firstLineChars="147"/>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（1）项目主要负责人简历表</w:t>
      </w:r>
    </w:p>
    <w:p>
      <w:pPr>
        <w:pStyle w:val="15"/>
        <w:spacing w:line="400" w:lineRule="atLeast"/>
        <w:ind w:left="720" w:hanging="720" w:hangingChars="3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标项名称</w:t>
      </w:r>
      <w:r>
        <w:rPr>
          <w:rFonts w:hint="eastAsia" w:ascii="宋体" w:hAnsi="宋体" w:eastAsia="宋体" w:cs="宋体"/>
          <w:bCs/>
          <w:color w:val="auto"/>
          <w:szCs w:val="21"/>
          <w:highlight w:val="none"/>
        </w:rPr>
        <w:t>：                                            项目编号：</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647"/>
        <w:gridCol w:w="1620"/>
        <w:gridCol w:w="1587"/>
        <w:gridCol w:w="1726"/>
        <w:gridCol w:w="1449"/>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noWrap w:val="0"/>
            <w:vAlign w:val="center"/>
          </w:tcPr>
          <w:p>
            <w:pPr>
              <w:spacing w:after="0" w:line="360" w:lineRule="exact"/>
              <w:jc w:val="center"/>
              <w:outlineLvl w:val="9"/>
              <w:rPr>
                <w:rFonts w:hint="eastAsia" w:ascii="宋体" w:hAnsi="宋体" w:eastAsia="宋体" w:cs="宋体"/>
                <w:color w:val="auto"/>
                <w:sz w:val="24"/>
                <w:highlight w:val="none"/>
              </w:rPr>
            </w:pPr>
            <w:bookmarkStart w:id="16" w:name="_Toc402258846"/>
            <w:bookmarkStart w:id="17" w:name="_Toc505324108"/>
            <w:bookmarkStart w:id="18" w:name="_Toc433019962"/>
            <w:bookmarkStart w:id="19" w:name="_Toc384303168"/>
            <w:r>
              <w:rPr>
                <w:rFonts w:hint="eastAsia" w:ascii="宋体" w:hAnsi="宋体" w:eastAsia="宋体" w:cs="宋体"/>
                <w:color w:val="auto"/>
                <w:sz w:val="24"/>
                <w:highlight w:val="none"/>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78" w:type="dxa"/>
            <w:gridSpan w:val="2"/>
            <w:tcBorders>
              <w:top w:val="single" w:color="auto" w:sz="4" w:space="0"/>
              <w:left w:val="single" w:color="auto" w:sz="12" w:space="0"/>
              <w:bottom w:val="single" w:color="auto" w:sz="4" w:space="0"/>
              <w:right w:val="single" w:color="auto" w:sz="4"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   名</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2"/>
                <w:szCs w:val="22"/>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龄</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学  历</w:t>
            </w:r>
          </w:p>
        </w:tc>
        <w:tc>
          <w:tcPr>
            <w:tcW w:w="1588" w:type="dxa"/>
            <w:tcBorders>
              <w:top w:val="single" w:color="auto" w:sz="4" w:space="0"/>
              <w:left w:val="single" w:color="auto" w:sz="4" w:space="0"/>
              <w:bottom w:val="single" w:color="auto" w:sz="4" w:space="0"/>
              <w:right w:val="single" w:color="auto" w:sz="12"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78" w:type="dxa"/>
            <w:gridSpan w:val="2"/>
            <w:tcBorders>
              <w:top w:val="single" w:color="auto" w:sz="4" w:space="0"/>
              <w:left w:val="single" w:color="auto" w:sz="12" w:space="0"/>
              <w:bottom w:val="single" w:color="auto" w:sz="4" w:space="0"/>
              <w:right w:val="single" w:color="auto" w:sz="4"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毕业学校</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2"/>
                <w:szCs w:val="22"/>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  业</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  务</w:t>
            </w:r>
          </w:p>
        </w:tc>
        <w:tc>
          <w:tcPr>
            <w:tcW w:w="1588" w:type="dxa"/>
            <w:tcBorders>
              <w:top w:val="single" w:color="auto" w:sz="4" w:space="0"/>
              <w:left w:val="single" w:color="auto" w:sz="4" w:space="0"/>
              <w:bottom w:val="single" w:color="auto" w:sz="4" w:space="0"/>
              <w:right w:val="single" w:color="auto" w:sz="12"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678" w:type="dxa"/>
            <w:gridSpan w:val="2"/>
            <w:tcBorders>
              <w:top w:val="single" w:color="auto" w:sz="4" w:space="0"/>
              <w:left w:val="single" w:color="auto" w:sz="12" w:space="0"/>
              <w:bottom w:val="single" w:color="auto" w:sz="4" w:space="0"/>
              <w:right w:val="single" w:color="auto" w:sz="4" w:space="0"/>
            </w:tcBorders>
            <w:noWrap w:val="0"/>
            <w:vAlign w:val="center"/>
          </w:tcPr>
          <w:p>
            <w:pPr>
              <w:spacing w:after="0" w:line="26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导游资质</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2"/>
                <w:szCs w:val="22"/>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拟任何职</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after="0" w:line="28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参加工作</w:t>
            </w:r>
          </w:p>
          <w:p>
            <w:pPr>
              <w:spacing w:after="0" w:line="28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1588" w:type="dxa"/>
            <w:tcBorders>
              <w:top w:val="single" w:color="auto" w:sz="4" w:space="0"/>
              <w:left w:val="single" w:color="auto" w:sz="4" w:space="0"/>
              <w:bottom w:val="single" w:color="auto" w:sz="4" w:space="0"/>
              <w:right w:val="single" w:color="auto" w:sz="12"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78" w:type="dxa"/>
            <w:gridSpan w:val="2"/>
            <w:tcBorders>
              <w:top w:val="single" w:color="auto" w:sz="4" w:space="0"/>
              <w:left w:val="single" w:color="auto" w:sz="12" w:space="0"/>
              <w:bottom w:val="single" w:color="auto" w:sz="4" w:space="0"/>
              <w:right w:val="single" w:color="auto" w:sz="4"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  间</w:t>
            </w:r>
          </w:p>
        </w:tc>
        <w:tc>
          <w:tcPr>
            <w:tcW w:w="7970" w:type="dxa"/>
            <w:gridSpan w:val="5"/>
            <w:tcBorders>
              <w:top w:val="single" w:color="auto" w:sz="4" w:space="0"/>
              <w:left w:val="single" w:color="auto" w:sz="4" w:space="0"/>
              <w:bottom w:val="single" w:color="auto" w:sz="4" w:space="0"/>
              <w:right w:val="single" w:color="auto" w:sz="12"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78" w:type="dxa"/>
            <w:gridSpan w:val="2"/>
            <w:tcBorders>
              <w:top w:val="single" w:color="auto" w:sz="4" w:space="0"/>
              <w:left w:val="single" w:color="auto" w:sz="12"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2"/>
                <w:szCs w:val="22"/>
                <w:highlight w:val="none"/>
              </w:rPr>
            </w:pPr>
          </w:p>
        </w:tc>
        <w:tc>
          <w:tcPr>
            <w:tcW w:w="7970" w:type="dxa"/>
            <w:gridSpan w:val="5"/>
            <w:tcBorders>
              <w:top w:val="single" w:color="auto" w:sz="4" w:space="0"/>
              <w:left w:val="single" w:color="auto" w:sz="4" w:space="0"/>
              <w:bottom w:val="single" w:color="auto" w:sz="4" w:space="0"/>
              <w:right w:val="single" w:color="auto" w:sz="12" w:space="0"/>
            </w:tcBorders>
            <w:noWrap w:val="0"/>
            <w:vAlign w:val="center"/>
          </w:tcPr>
          <w:p>
            <w:pPr>
              <w:spacing w:after="0" w:line="360" w:lineRule="exact"/>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78" w:type="dxa"/>
            <w:gridSpan w:val="2"/>
            <w:tcBorders>
              <w:top w:val="single" w:color="auto" w:sz="4" w:space="0"/>
              <w:left w:val="single" w:color="auto" w:sz="12"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2"/>
                <w:szCs w:val="22"/>
                <w:highlight w:val="none"/>
              </w:rPr>
            </w:pPr>
          </w:p>
        </w:tc>
        <w:tc>
          <w:tcPr>
            <w:tcW w:w="7970" w:type="dxa"/>
            <w:gridSpan w:val="5"/>
            <w:tcBorders>
              <w:top w:val="single" w:color="auto" w:sz="4" w:space="0"/>
              <w:left w:val="single" w:color="auto" w:sz="4" w:space="0"/>
              <w:bottom w:val="single" w:color="auto" w:sz="4" w:space="0"/>
              <w:right w:val="single" w:color="auto" w:sz="12" w:space="0"/>
            </w:tcBorders>
            <w:noWrap w:val="0"/>
            <w:vAlign w:val="center"/>
          </w:tcPr>
          <w:p>
            <w:pPr>
              <w:spacing w:after="0" w:line="360" w:lineRule="exact"/>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3、负责类似项目业绩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  目  名  称</w:t>
            </w: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after="0" w:line="360" w:lineRule="exac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该项目中任何职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2"/>
                <w:szCs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2"/>
                <w:szCs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after="0" w:line="360" w:lineRule="exact"/>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2"/>
                <w:szCs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2"/>
                <w:szCs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after="0" w:line="360" w:lineRule="exact"/>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4"/>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4"/>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after="0" w:line="360" w:lineRule="exact"/>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4"/>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4"/>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after="0" w:line="360" w:lineRule="exact"/>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4"/>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4"/>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after="0" w:line="360" w:lineRule="exact"/>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4"/>
                <w:highlight w:val="none"/>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after="0" w:line="360" w:lineRule="exact"/>
              <w:outlineLvl w:val="9"/>
              <w:rPr>
                <w:rFonts w:hint="eastAsia" w:ascii="宋体" w:hAnsi="宋体" w:eastAsia="宋体" w:cs="宋体"/>
                <w:color w:val="auto"/>
                <w:sz w:val="24"/>
                <w:highlight w:val="none"/>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after="0" w:line="360" w:lineRule="exact"/>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noWrap w:val="0"/>
            <w:vAlign w:val="center"/>
          </w:tcPr>
          <w:p>
            <w:pPr>
              <w:spacing w:after="0" w:line="360" w:lineRule="exact"/>
              <w:outlineLvl w:val="9"/>
              <w:rPr>
                <w:rFonts w:hint="eastAsia" w:ascii="宋体" w:hAnsi="宋体" w:eastAsia="宋体" w:cs="宋体"/>
                <w:color w:val="auto"/>
                <w:sz w:val="24"/>
                <w:highlight w:val="none"/>
              </w:rPr>
            </w:pPr>
          </w:p>
        </w:tc>
        <w:tc>
          <w:tcPr>
            <w:tcW w:w="5580" w:type="dxa"/>
            <w:gridSpan w:val="4"/>
            <w:tcBorders>
              <w:top w:val="single" w:color="auto" w:sz="4" w:space="0"/>
              <w:left w:val="single" w:color="auto" w:sz="4" w:space="0"/>
              <w:bottom w:val="single" w:color="auto" w:sz="12" w:space="0"/>
              <w:right w:val="single" w:color="auto" w:sz="4" w:space="0"/>
            </w:tcBorders>
            <w:noWrap w:val="0"/>
            <w:vAlign w:val="center"/>
          </w:tcPr>
          <w:p>
            <w:pPr>
              <w:spacing w:after="0" w:line="360" w:lineRule="exact"/>
              <w:outlineLvl w:val="9"/>
              <w:rPr>
                <w:rFonts w:hint="eastAsia" w:ascii="宋体" w:hAnsi="宋体" w:eastAsia="宋体" w:cs="宋体"/>
                <w:color w:val="auto"/>
                <w:sz w:val="24"/>
                <w:highlight w:val="none"/>
              </w:rPr>
            </w:pPr>
          </w:p>
        </w:tc>
        <w:tc>
          <w:tcPr>
            <w:tcW w:w="3037" w:type="dxa"/>
            <w:gridSpan w:val="2"/>
            <w:tcBorders>
              <w:top w:val="single" w:color="auto" w:sz="4" w:space="0"/>
              <w:left w:val="single" w:color="auto" w:sz="4" w:space="0"/>
              <w:bottom w:val="single" w:color="auto" w:sz="12" w:space="0"/>
              <w:right w:val="single" w:color="auto" w:sz="12" w:space="0"/>
            </w:tcBorders>
            <w:noWrap w:val="0"/>
            <w:vAlign w:val="center"/>
          </w:tcPr>
          <w:p>
            <w:pPr>
              <w:spacing w:after="0" w:line="360" w:lineRule="exact"/>
              <w:outlineLvl w:val="9"/>
              <w:rPr>
                <w:rFonts w:hint="eastAsia" w:ascii="宋体" w:hAnsi="宋体" w:eastAsia="宋体" w:cs="宋体"/>
                <w:color w:val="auto"/>
                <w:sz w:val="24"/>
                <w:highlight w:val="none"/>
              </w:rPr>
            </w:pPr>
          </w:p>
        </w:tc>
      </w:tr>
    </w:tbl>
    <w:p>
      <w:pPr>
        <w:spacing w:line="36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注：1、本表应附项目负责人相关证明材料。</w:t>
      </w:r>
    </w:p>
    <w:p>
      <w:pPr>
        <w:spacing w:line="400" w:lineRule="exact"/>
        <w:outlineLvl w:val="9"/>
        <w:rPr>
          <w:rFonts w:hint="eastAsia" w:ascii="宋体" w:hAnsi="宋体" w:eastAsia="宋体" w:cs="宋体"/>
          <w:b/>
          <w:color w:val="auto"/>
          <w:sz w:val="22"/>
          <w:highlight w:val="none"/>
          <w:lang w:eastAsia="zh-CN"/>
        </w:rPr>
      </w:pPr>
      <w:r>
        <w:rPr>
          <w:rFonts w:hint="eastAsia" w:ascii="宋体" w:hAnsi="宋体" w:eastAsia="宋体" w:cs="宋体"/>
          <w:color w:val="auto"/>
          <w:sz w:val="22"/>
          <w:highlight w:val="none"/>
        </w:rPr>
        <w:t>2、项目负责人在服务期内不得更换，如遇特殊情况更换项目负责人的需经采购人同意</w:t>
      </w:r>
      <w:r>
        <w:rPr>
          <w:rFonts w:hint="eastAsia" w:ascii="宋体" w:hAnsi="宋体" w:eastAsia="宋体" w:cs="宋体"/>
          <w:color w:val="auto"/>
          <w:sz w:val="22"/>
          <w:highlight w:val="none"/>
          <w:lang w:eastAsia="zh-CN"/>
        </w:rPr>
        <w:t>。</w:t>
      </w:r>
    </w:p>
    <w:p>
      <w:pPr>
        <w:widowControl/>
        <w:spacing w:line="400" w:lineRule="exact"/>
        <w:outlineLvl w:val="9"/>
        <w:rPr>
          <w:rFonts w:hint="eastAsia" w:ascii="宋体" w:hAnsi="宋体" w:eastAsia="宋体" w:cs="宋体"/>
          <w:color w:val="auto"/>
          <w:kern w:val="0"/>
          <w:sz w:val="24"/>
          <w:szCs w:val="24"/>
          <w:highlight w:val="none"/>
        </w:rPr>
      </w:pPr>
    </w:p>
    <w:p>
      <w:pPr>
        <w:widowControl/>
        <w:spacing w:line="400" w:lineRule="exac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outlineLvl w:val="9"/>
        <w:rPr>
          <w:rFonts w:hint="eastAsia" w:ascii="宋体" w:hAnsi="宋体" w:eastAsia="宋体" w:cs="宋体"/>
          <w:b/>
          <w:color w:val="auto"/>
          <w:sz w:val="22"/>
          <w:highlight w:val="none"/>
        </w:rPr>
      </w:pPr>
      <w:r>
        <w:rPr>
          <w:rFonts w:hint="eastAsia" w:ascii="宋体" w:hAnsi="宋体" w:eastAsia="宋体" w:cs="宋体"/>
          <w:b/>
          <w:color w:val="auto"/>
          <w:sz w:val="22"/>
          <w:highlight w:val="none"/>
        </w:rPr>
        <w:br w:type="page"/>
      </w:r>
    </w:p>
    <w:p>
      <w:pPr>
        <w:pStyle w:val="15"/>
        <w:spacing w:afterLines="50" w:line="400" w:lineRule="atLeas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w:t>
      </w:r>
      <w:bookmarkEnd w:id="16"/>
      <w:bookmarkEnd w:id="17"/>
      <w:bookmarkEnd w:id="18"/>
      <w:bookmarkEnd w:id="19"/>
      <w:r>
        <w:rPr>
          <w:rFonts w:hint="eastAsia" w:ascii="宋体" w:hAnsi="宋体" w:eastAsia="宋体" w:cs="宋体"/>
          <w:b/>
          <w:color w:val="auto"/>
          <w:sz w:val="22"/>
          <w:highlight w:val="none"/>
        </w:rPr>
        <w:t>拟投入的项目实施人员名单</w:t>
      </w:r>
    </w:p>
    <w:p>
      <w:pPr>
        <w:spacing w:line="400" w:lineRule="atLeast"/>
        <w:rPr>
          <w:rFonts w:hint="eastAsia" w:ascii="宋体" w:hAnsi="宋体" w:eastAsia="宋体" w:cs="宋体"/>
          <w:color w:val="auto"/>
          <w:sz w:val="22"/>
          <w:highlight w:val="none"/>
        </w:rPr>
      </w:pPr>
      <w:r>
        <w:rPr>
          <w:rFonts w:hint="eastAsia" w:ascii="宋体" w:hAnsi="宋体" w:eastAsia="宋体" w:cs="宋体"/>
          <w:b/>
          <w:color w:val="auto"/>
          <w:sz w:val="22"/>
          <w:highlight w:val="none"/>
          <w:lang w:eastAsia="zh-CN"/>
        </w:rPr>
        <w:t>标项名称</w:t>
      </w:r>
      <w:r>
        <w:rPr>
          <w:rFonts w:hint="eastAsia" w:ascii="宋体" w:hAnsi="宋体" w:eastAsia="宋体" w:cs="宋体"/>
          <w:b/>
          <w:color w:val="auto"/>
          <w:sz w:val="22"/>
          <w:highlight w:val="none"/>
        </w:rPr>
        <w:t>：                                     项目编号：</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958"/>
        <w:gridCol w:w="958"/>
        <w:gridCol w:w="767"/>
        <w:gridCol w:w="767"/>
        <w:gridCol w:w="1340"/>
        <w:gridCol w:w="1326"/>
        <w:gridCol w:w="1825"/>
        <w:gridCol w:w="1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66" w:type="dxa"/>
            <w:noWrap w:val="0"/>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958" w:type="dxa"/>
            <w:noWrap w:val="0"/>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姓名</w:t>
            </w:r>
          </w:p>
        </w:tc>
        <w:tc>
          <w:tcPr>
            <w:tcW w:w="958" w:type="dxa"/>
            <w:noWrap w:val="0"/>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性别</w:t>
            </w:r>
          </w:p>
        </w:tc>
        <w:tc>
          <w:tcPr>
            <w:tcW w:w="767" w:type="dxa"/>
            <w:noWrap w:val="0"/>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年龄</w:t>
            </w:r>
          </w:p>
        </w:tc>
        <w:tc>
          <w:tcPr>
            <w:tcW w:w="767" w:type="dxa"/>
            <w:noWrap w:val="0"/>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学历</w:t>
            </w:r>
          </w:p>
        </w:tc>
        <w:tc>
          <w:tcPr>
            <w:tcW w:w="1340" w:type="dxa"/>
            <w:noWrap w:val="0"/>
            <w:vAlign w:val="center"/>
          </w:tcPr>
          <w:p>
            <w:pPr>
              <w:spacing w:line="2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职称/职务</w:t>
            </w:r>
          </w:p>
        </w:tc>
        <w:tc>
          <w:tcPr>
            <w:tcW w:w="1326" w:type="dxa"/>
            <w:noWrap w:val="0"/>
            <w:vAlign w:val="center"/>
          </w:tcPr>
          <w:p>
            <w:pPr>
              <w:spacing w:line="280" w:lineRule="exact"/>
              <w:jc w:val="center"/>
              <w:rPr>
                <w:rFonts w:hint="eastAsia" w:ascii="宋体" w:hAnsi="宋体" w:eastAsia="宋体" w:cs="宋体"/>
                <w:color w:val="auto"/>
                <w:sz w:val="22"/>
                <w:highlight w:val="none"/>
              </w:rPr>
            </w:pPr>
            <w:r>
              <w:rPr>
                <w:rFonts w:hint="eastAsia" w:ascii="宋体" w:hAnsi="宋体" w:eastAsia="宋体" w:cs="宋体"/>
                <w:color w:val="auto"/>
                <w:highlight w:val="none"/>
              </w:rPr>
              <w:t>本项目中的岗位</w:t>
            </w:r>
          </w:p>
        </w:tc>
        <w:tc>
          <w:tcPr>
            <w:tcW w:w="1825" w:type="dxa"/>
            <w:noWrap w:val="0"/>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从事专业年限</w:t>
            </w:r>
          </w:p>
        </w:tc>
        <w:tc>
          <w:tcPr>
            <w:tcW w:w="1147" w:type="dxa"/>
            <w:noWrap w:val="0"/>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1340" w:type="dxa"/>
            <w:noWrap w:val="0"/>
            <w:vAlign w:val="center"/>
          </w:tcPr>
          <w:p>
            <w:pPr>
              <w:spacing w:line="360" w:lineRule="auto"/>
              <w:jc w:val="center"/>
              <w:rPr>
                <w:rFonts w:hint="eastAsia" w:ascii="宋体" w:hAnsi="宋体" w:eastAsia="宋体" w:cs="宋体"/>
                <w:color w:val="auto"/>
                <w:sz w:val="22"/>
                <w:highlight w:val="none"/>
              </w:rPr>
            </w:pPr>
          </w:p>
        </w:tc>
        <w:tc>
          <w:tcPr>
            <w:tcW w:w="1326" w:type="dxa"/>
            <w:noWrap w:val="0"/>
            <w:vAlign w:val="center"/>
          </w:tcPr>
          <w:p>
            <w:pPr>
              <w:spacing w:line="360" w:lineRule="auto"/>
              <w:jc w:val="center"/>
              <w:rPr>
                <w:rFonts w:hint="eastAsia" w:ascii="宋体" w:hAnsi="宋体" w:eastAsia="宋体" w:cs="宋体"/>
                <w:color w:val="auto"/>
                <w:sz w:val="22"/>
                <w:highlight w:val="none"/>
              </w:rPr>
            </w:pPr>
          </w:p>
        </w:tc>
        <w:tc>
          <w:tcPr>
            <w:tcW w:w="1825" w:type="dxa"/>
            <w:noWrap w:val="0"/>
            <w:vAlign w:val="top"/>
          </w:tcPr>
          <w:p>
            <w:pPr>
              <w:spacing w:line="360" w:lineRule="auto"/>
              <w:jc w:val="center"/>
              <w:rPr>
                <w:rFonts w:hint="eastAsia" w:ascii="宋体" w:hAnsi="宋体" w:eastAsia="宋体" w:cs="宋体"/>
                <w:color w:val="auto"/>
                <w:sz w:val="22"/>
                <w:highlight w:val="none"/>
              </w:rPr>
            </w:pPr>
          </w:p>
        </w:tc>
        <w:tc>
          <w:tcPr>
            <w:tcW w:w="1147" w:type="dxa"/>
            <w:noWrap w:val="0"/>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1340" w:type="dxa"/>
            <w:noWrap w:val="0"/>
            <w:vAlign w:val="center"/>
          </w:tcPr>
          <w:p>
            <w:pPr>
              <w:spacing w:line="360" w:lineRule="auto"/>
              <w:jc w:val="center"/>
              <w:rPr>
                <w:rFonts w:hint="eastAsia" w:ascii="宋体" w:hAnsi="宋体" w:eastAsia="宋体" w:cs="宋体"/>
                <w:color w:val="auto"/>
                <w:sz w:val="22"/>
                <w:highlight w:val="none"/>
              </w:rPr>
            </w:pPr>
          </w:p>
        </w:tc>
        <w:tc>
          <w:tcPr>
            <w:tcW w:w="1326" w:type="dxa"/>
            <w:noWrap w:val="0"/>
            <w:vAlign w:val="center"/>
          </w:tcPr>
          <w:p>
            <w:pPr>
              <w:spacing w:line="360" w:lineRule="auto"/>
              <w:jc w:val="center"/>
              <w:rPr>
                <w:rFonts w:hint="eastAsia" w:ascii="宋体" w:hAnsi="宋体" w:eastAsia="宋体" w:cs="宋体"/>
                <w:color w:val="auto"/>
                <w:sz w:val="22"/>
                <w:highlight w:val="none"/>
              </w:rPr>
            </w:pPr>
          </w:p>
        </w:tc>
        <w:tc>
          <w:tcPr>
            <w:tcW w:w="1825" w:type="dxa"/>
            <w:noWrap w:val="0"/>
            <w:vAlign w:val="top"/>
          </w:tcPr>
          <w:p>
            <w:pPr>
              <w:spacing w:line="360" w:lineRule="auto"/>
              <w:jc w:val="center"/>
              <w:rPr>
                <w:rFonts w:hint="eastAsia" w:ascii="宋体" w:hAnsi="宋体" w:eastAsia="宋体" w:cs="宋体"/>
                <w:color w:val="auto"/>
                <w:sz w:val="22"/>
                <w:highlight w:val="none"/>
              </w:rPr>
            </w:pPr>
          </w:p>
        </w:tc>
        <w:tc>
          <w:tcPr>
            <w:tcW w:w="1147" w:type="dxa"/>
            <w:noWrap w:val="0"/>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1340" w:type="dxa"/>
            <w:noWrap w:val="0"/>
            <w:vAlign w:val="center"/>
          </w:tcPr>
          <w:p>
            <w:pPr>
              <w:spacing w:line="360" w:lineRule="auto"/>
              <w:jc w:val="center"/>
              <w:rPr>
                <w:rFonts w:hint="eastAsia" w:ascii="宋体" w:hAnsi="宋体" w:eastAsia="宋体" w:cs="宋体"/>
                <w:color w:val="auto"/>
                <w:sz w:val="22"/>
                <w:highlight w:val="none"/>
              </w:rPr>
            </w:pPr>
          </w:p>
        </w:tc>
        <w:tc>
          <w:tcPr>
            <w:tcW w:w="1326" w:type="dxa"/>
            <w:noWrap w:val="0"/>
            <w:vAlign w:val="center"/>
          </w:tcPr>
          <w:p>
            <w:pPr>
              <w:spacing w:line="360" w:lineRule="auto"/>
              <w:jc w:val="center"/>
              <w:rPr>
                <w:rFonts w:hint="eastAsia" w:ascii="宋体" w:hAnsi="宋体" w:eastAsia="宋体" w:cs="宋体"/>
                <w:color w:val="auto"/>
                <w:sz w:val="22"/>
                <w:highlight w:val="none"/>
              </w:rPr>
            </w:pPr>
          </w:p>
        </w:tc>
        <w:tc>
          <w:tcPr>
            <w:tcW w:w="1825" w:type="dxa"/>
            <w:noWrap w:val="0"/>
            <w:vAlign w:val="top"/>
          </w:tcPr>
          <w:p>
            <w:pPr>
              <w:spacing w:line="360" w:lineRule="auto"/>
              <w:jc w:val="center"/>
              <w:rPr>
                <w:rFonts w:hint="eastAsia" w:ascii="宋体" w:hAnsi="宋体" w:eastAsia="宋体" w:cs="宋体"/>
                <w:color w:val="auto"/>
                <w:sz w:val="22"/>
                <w:highlight w:val="none"/>
              </w:rPr>
            </w:pPr>
          </w:p>
        </w:tc>
        <w:tc>
          <w:tcPr>
            <w:tcW w:w="1147" w:type="dxa"/>
            <w:noWrap w:val="0"/>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1340" w:type="dxa"/>
            <w:noWrap w:val="0"/>
            <w:vAlign w:val="center"/>
          </w:tcPr>
          <w:p>
            <w:pPr>
              <w:spacing w:line="360" w:lineRule="auto"/>
              <w:jc w:val="center"/>
              <w:rPr>
                <w:rFonts w:hint="eastAsia" w:ascii="宋体" w:hAnsi="宋体" w:eastAsia="宋体" w:cs="宋体"/>
                <w:color w:val="auto"/>
                <w:sz w:val="22"/>
                <w:highlight w:val="none"/>
              </w:rPr>
            </w:pPr>
          </w:p>
        </w:tc>
        <w:tc>
          <w:tcPr>
            <w:tcW w:w="1326" w:type="dxa"/>
            <w:noWrap w:val="0"/>
            <w:vAlign w:val="center"/>
          </w:tcPr>
          <w:p>
            <w:pPr>
              <w:spacing w:line="360" w:lineRule="auto"/>
              <w:jc w:val="center"/>
              <w:rPr>
                <w:rFonts w:hint="eastAsia" w:ascii="宋体" w:hAnsi="宋体" w:eastAsia="宋体" w:cs="宋体"/>
                <w:color w:val="auto"/>
                <w:sz w:val="22"/>
                <w:highlight w:val="none"/>
              </w:rPr>
            </w:pPr>
          </w:p>
        </w:tc>
        <w:tc>
          <w:tcPr>
            <w:tcW w:w="1825" w:type="dxa"/>
            <w:noWrap w:val="0"/>
            <w:vAlign w:val="top"/>
          </w:tcPr>
          <w:p>
            <w:pPr>
              <w:spacing w:line="360" w:lineRule="auto"/>
              <w:jc w:val="center"/>
              <w:rPr>
                <w:rFonts w:hint="eastAsia" w:ascii="宋体" w:hAnsi="宋体" w:eastAsia="宋体" w:cs="宋体"/>
                <w:color w:val="auto"/>
                <w:sz w:val="22"/>
                <w:highlight w:val="none"/>
              </w:rPr>
            </w:pPr>
          </w:p>
        </w:tc>
        <w:tc>
          <w:tcPr>
            <w:tcW w:w="1147" w:type="dxa"/>
            <w:noWrap w:val="0"/>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1340" w:type="dxa"/>
            <w:noWrap w:val="0"/>
            <w:vAlign w:val="center"/>
          </w:tcPr>
          <w:p>
            <w:pPr>
              <w:spacing w:line="360" w:lineRule="auto"/>
              <w:jc w:val="center"/>
              <w:rPr>
                <w:rFonts w:hint="eastAsia" w:ascii="宋体" w:hAnsi="宋体" w:eastAsia="宋体" w:cs="宋体"/>
                <w:color w:val="auto"/>
                <w:sz w:val="22"/>
                <w:highlight w:val="none"/>
              </w:rPr>
            </w:pPr>
          </w:p>
        </w:tc>
        <w:tc>
          <w:tcPr>
            <w:tcW w:w="1326" w:type="dxa"/>
            <w:noWrap w:val="0"/>
            <w:vAlign w:val="center"/>
          </w:tcPr>
          <w:p>
            <w:pPr>
              <w:spacing w:line="360" w:lineRule="auto"/>
              <w:jc w:val="center"/>
              <w:rPr>
                <w:rFonts w:hint="eastAsia" w:ascii="宋体" w:hAnsi="宋体" w:eastAsia="宋体" w:cs="宋体"/>
                <w:color w:val="auto"/>
                <w:sz w:val="22"/>
                <w:highlight w:val="none"/>
              </w:rPr>
            </w:pPr>
          </w:p>
        </w:tc>
        <w:tc>
          <w:tcPr>
            <w:tcW w:w="1825" w:type="dxa"/>
            <w:noWrap w:val="0"/>
            <w:vAlign w:val="top"/>
          </w:tcPr>
          <w:p>
            <w:pPr>
              <w:spacing w:line="360" w:lineRule="auto"/>
              <w:jc w:val="center"/>
              <w:rPr>
                <w:rFonts w:hint="eastAsia" w:ascii="宋体" w:hAnsi="宋体" w:eastAsia="宋体" w:cs="宋体"/>
                <w:color w:val="auto"/>
                <w:sz w:val="22"/>
                <w:highlight w:val="none"/>
              </w:rPr>
            </w:pPr>
          </w:p>
        </w:tc>
        <w:tc>
          <w:tcPr>
            <w:tcW w:w="1147" w:type="dxa"/>
            <w:noWrap w:val="0"/>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1340" w:type="dxa"/>
            <w:noWrap w:val="0"/>
            <w:vAlign w:val="center"/>
          </w:tcPr>
          <w:p>
            <w:pPr>
              <w:spacing w:line="360" w:lineRule="auto"/>
              <w:jc w:val="center"/>
              <w:rPr>
                <w:rFonts w:hint="eastAsia" w:ascii="宋体" w:hAnsi="宋体" w:eastAsia="宋体" w:cs="宋体"/>
                <w:color w:val="auto"/>
                <w:sz w:val="22"/>
                <w:highlight w:val="none"/>
              </w:rPr>
            </w:pPr>
          </w:p>
        </w:tc>
        <w:tc>
          <w:tcPr>
            <w:tcW w:w="1326" w:type="dxa"/>
            <w:noWrap w:val="0"/>
            <w:vAlign w:val="center"/>
          </w:tcPr>
          <w:p>
            <w:pPr>
              <w:spacing w:line="360" w:lineRule="auto"/>
              <w:jc w:val="center"/>
              <w:rPr>
                <w:rFonts w:hint="eastAsia" w:ascii="宋体" w:hAnsi="宋体" w:eastAsia="宋体" w:cs="宋体"/>
                <w:color w:val="auto"/>
                <w:sz w:val="22"/>
                <w:highlight w:val="none"/>
              </w:rPr>
            </w:pPr>
          </w:p>
        </w:tc>
        <w:tc>
          <w:tcPr>
            <w:tcW w:w="1825" w:type="dxa"/>
            <w:noWrap w:val="0"/>
            <w:vAlign w:val="top"/>
          </w:tcPr>
          <w:p>
            <w:pPr>
              <w:spacing w:line="360" w:lineRule="auto"/>
              <w:jc w:val="center"/>
              <w:rPr>
                <w:rFonts w:hint="eastAsia" w:ascii="宋体" w:hAnsi="宋体" w:eastAsia="宋体" w:cs="宋体"/>
                <w:color w:val="auto"/>
                <w:sz w:val="22"/>
                <w:highlight w:val="none"/>
              </w:rPr>
            </w:pPr>
          </w:p>
        </w:tc>
        <w:tc>
          <w:tcPr>
            <w:tcW w:w="1147" w:type="dxa"/>
            <w:noWrap w:val="0"/>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1340" w:type="dxa"/>
            <w:noWrap w:val="0"/>
            <w:vAlign w:val="center"/>
          </w:tcPr>
          <w:p>
            <w:pPr>
              <w:spacing w:line="360" w:lineRule="auto"/>
              <w:jc w:val="center"/>
              <w:rPr>
                <w:rFonts w:hint="eastAsia" w:ascii="宋体" w:hAnsi="宋体" w:eastAsia="宋体" w:cs="宋体"/>
                <w:color w:val="auto"/>
                <w:sz w:val="22"/>
                <w:highlight w:val="none"/>
              </w:rPr>
            </w:pPr>
          </w:p>
        </w:tc>
        <w:tc>
          <w:tcPr>
            <w:tcW w:w="1326" w:type="dxa"/>
            <w:noWrap w:val="0"/>
            <w:vAlign w:val="center"/>
          </w:tcPr>
          <w:p>
            <w:pPr>
              <w:spacing w:line="360" w:lineRule="auto"/>
              <w:jc w:val="center"/>
              <w:rPr>
                <w:rFonts w:hint="eastAsia" w:ascii="宋体" w:hAnsi="宋体" w:eastAsia="宋体" w:cs="宋体"/>
                <w:color w:val="auto"/>
                <w:sz w:val="22"/>
                <w:highlight w:val="none"/>
              </w:rPr>
            </w:pPr>
          </w:p>
        </w:tc>
        <w:tc>
          <w:tcPr>
            <w:tcW w:w="1825" w:type="dxa"/>
            <w:noWrap w:val="0"/>
            <w:vAlign w:val="top"/>
          </w:tcPr>
          <w:p>
            <w:pPr>
              <w:spacing w:line="360" w:lineRule="auto"/>
              <w:jc w:val="center"/>
              <w:rPr>
                <w:rFonts w:hint="eastAsia" w:ascii="宋体" w:hAnsi="宋体" w:eastAsia="宋体" w:cs="宋体"/>
                <w:color w:val="auto"/>
                <w:sz w:val="22"/>
                <w:highlight w:val="none"/>
              </w:rPr>
            </w:pPr>
          </w:p>
        </w:tc>
        <w:tc>
          <w:tcPr>
            <w:tcW w:w="1147" w:type="dxa"/>
            <w:noWrap w:val="0"/>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1340" w:type="dxa"/>
            <w:noWrap w:val="0"/>
            <w:vAlign w:val="center"/>
          </w:tcPr>
          <w:p>
            <w:pPr>
              <w:spacing w:line="360" w:lineRule="auto"/>
              <w:jc w:val="center"/>
              <w:rPr>
                <w:rFonts w:hint="eastAsia" w:ascii="宋体" w:hAnsi="宋体" w:eastAsia="宋体" w:cs="宋体"/>
                <w:color w:val="auto"/>
                <w:sz w:val="22"/>
                <w:highlight w:val="none"/>
              </w:rPr>
            </w:pPr>
          </w:p>
        </w:tc>
        <w:tc>
          <w:tcPr>
            <w:tcW w:w="1326" w:type="dxa"/>
            <w:noWrap w:val="0"/>
            <w:vAlign w:val="center"/>
          </w:tcPr>
          <w:p>
            <w:pPr>
              <w:spacing w:line="360" w:lineRule="auto"/>
              <w:jc w:val="center"/>
              <w:rPr>
                <w:rFonts w:hint="eastAsia" w:ascii="宋体" w:hAnsi="宋体" w:eastAsia="宋体" w:cs="宋体"/>
                <w:color w:val="auto"/>
                <w:sz w:val="22"/>
                <w:highlight w:val="none"/>
              </w:rPr>
            </w:pPr>
          </w:p>
        </w:tc>
        <w:tc>
          <w:tcPr>
            <w:tcW w:w="1825" w:type="dxa"/>
            <w:noWrap w:val="0"/>
            <w:vAlign w:val="top"/>
          </w:tcPr>
          <w:p>
            <w:pPr>
              <w:spacing w:line="360" w:lineRule="auto"/>
              <w:jc w:val="center"/>
              <w:rPr>
                <w:rFonts w:hint="eastAsia" w:ascii="宋体" w:hAnsi="宋体" w:eastAsia="宋体" w:cs="宋体"/>
                <w:color w:val="auto"/>
                <w:sz w:val="22"/>
                <w:highlight w:val="none"/>
              </w:rPr>
            </w:pPr>
          </w:p>
        </w:tc>
        <w:tc>
          <w:tcPr>
            <w:tcW w:w="1147" w:type="dxa"/>
            <w:noWrap w:val="0"/>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1340" w:type="dxa"/>
            <w:noWrap w:val="0"/>
            <w:vAlign w:val="center"/>
          </w:tcPr>
          <w:p>
            <w:pPr>
              <w:spacing w:line="360" w:lineRule="auto"/>
              <w:jc w:val="center"/>
              <w:rPr>
                <w:rFonts w:hint="eastAsia" w:ascii="宋体" w:hAnsi="宋体" w:eastAsia="宋体" w:cs="宋体"/>
                <w:color w:val="auto"/>
                <w:sz w:val="22"/>
                <w:highlight w:val="none"/>
              </w:rPr>
            </w:pPr>
          </w:p>
        </w:tc>
        <w:tc>
          <w:tcPr>
            <w:tcW w:w="1326" w:type="dxa"/>
            <w:noWrap w:val="0"/>
            <w:vAlign w:val="center"/>
          </w:tcPr>
          <w:p>
            <w:pPr>
              <w:spacing w:line="360" w:lineRule="auto"/>
              <w:jc w:val="center"/>
              <w:rPr>
                <w:rFonts w:hint="eastAsia" w:ascii="宋体" w:hAnsi="宋体" w:eastAsia="宋体" w:cs="宋体"/>
                <w:color w:val="auto"/>
                <w:sz w:val="22"/>
                <w:highlight w:val="none"/>
              </w:rPr>
            </w:pPr>
          </w:p>
        </w:tc>
        <w:tc>
          <w:tcPr>
            <w:tcW w:w="1825" w:type="dxa"/>
            <w:noWrap w:val="0"/>
            <w:vAlign w:val="top"/>
          </w:tcPr>
          <w:p>
            <w:pPr>
              <w:spacing w:line="360" w:lineRule="auto"/>
              <w:jc w:val="center"/>
              <w:rPr>
                <w:rFonts w:hint="eastAsia" w:ascii="宋体" w:hAnsi="宋体" w:eastAsia="宋体" w:cs="宋体"/>
                <w:color w:val="auto"/>
                <w:sz w:val="22"/>
                <w:highlight w:val="none"/>
              </w:rPr>
            </w:pPr>
          </w:p>
        </w:tc>
        <w:tc>
          <w:tcPr>
            <w:tcW w:w="1147" w:type="dxa"/>
            <w:noWrap w:val="0"/>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1340" w:type="dxa"/>
            <w:noWrap w:val="0"/>
            <w:vAlign w:val="center"/>
          </w:tcPr>
          <w:p>
            <w:pPr>
              <w:spacing w:line="360" w:lineRule="auto"/>
              <w:jc w:val="center"/>
              <w:rPr>
                <w:rFonts w:hint="eastAsia" w:ascii="宋体" w:hAnsi="宋体" w:eastAsia="宋体" w:cs="宋体"/>
                <w:color w:val="auto"/>
                <w:sz w:val="22"/>
                <w:highlight w:val="none"/>
              </w:rPr>
            </w:pPr>
          </w:p>
        </w:tc>
        <w:tc>
          <w:tcPr>
            <w:tcW w:w="1326" w:type="dxa"/>
            <w:noWrap w:val="0"/>
            <w:vAlign w:val="center"/>
          </w:tcPr>
          <w:p>
            <w:pPr>
              <w:spacing w:line="360" w:lineRule="auto"/>
              <w:jc w:val="center"/>
              <w:rPr>
                <w:rFonts w:hint="eastAsia" w:ascii="宋体" w:hAnsi="宋体" w:eastAsia="宋体" w:cs="宋体"/>
                <w:color w:val="auto"/>
                <w:sz w:val="22"/>
                <w:highlight w:val="none"/>
              </w:rPr>
            </w:pPr>
          </w:p>
        </w:tc>
        <w:tc>
          <w:tcPr>
            <w:tcW w:w="1825" w:type="dxa"/>
            <w:noWrap w:val="0"/>
            <w:vAlign w:val="top"/>
          </w:tcPr>
          <w:p>
            <w:pPr>
              <w:spacing w:line="360" w:lineRule="auto"/>
              <w:jc w:val="center"/>
              <w:rPr>
                <w:rFonts w:hint="eastAsia" w:ascii="宋体" w:hAnsi="宋体" w:eastAsia="宋体" w:cs="宋体"/>
                <w:color w:val="auto"/>
                <w:sz w:val="22"/>
                <w:highlight w:val="none"/>
              </w:rPr>
            </w:pPr>
          </w:p>
        </w:tc>
        <w:tc>
          <w:tcPr>
            <w:tcW w:w="1147" w:type="dxa"/>
            <w:noWrap w:val="0"/>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1340" w:type="dxa"/>
            <w:noWrap w:val="0"/>
            <w:vAlign w:val="center"/>
          </w:tcPr>
          <w:p>
            <w:pPr>
              <w:spacing w:line="360" w:lineRule="auto"/>
              <w:jc w:val="center"/>
              <w:rPr>
                <w:rFonts w:hint="eastAsia" w:ascii="宋体" w:hAnsi="宋体" w:eastAsia="宋体" w:cs="宋体"/>
                <w:color w:val="auto"/>
                <w:sz w:val="22"/>
                <w:highlight w:val="none"/>
              </w:rPr>
            </w:pPr>
          </w:p>
        </w:tc>
        <w:tc>
          <w:tcPr>
            <w:tcW w:w="1326" w:type="dxa"/>
            <w:noWrap w:val="0"/>
            <w:vAlign w:val="center"/>
          </w:tcPr>
          <w:p>
            <w:pPr>
              <w:spacing w:line="360" w:lineRule="auto"/>
              <w:jc w:val="center"/>
              <w:rPr>
                <w:rFonts w:hint="eastAsia" w:ascii="宋体" w:hAnsi="宋体" w:eastAsia="宋体" w:cs="宋体"/>
                <w:color w:val="auto"/>
                <w:sz w:val="22"/>
                <w:highlight w:val="none"/>
              </w:rPr>
            </w:pPr>
          </w:p>
        </w:tc>
        <w:tc>
          <w:tcPr>
            <w:tcW w:w="1825" w:type="dxa"/>
            <w:noWrap w:val="0"/>
            <w:vAlign w:val="top"/>
          </w:tcPr>
          <w:p>
            <w:pPr>
              <w:spacing w:line="360" w:lineRule="auto"/>
              <w:jc w:val="center"/>
              <w:rPr>
                <w:rFonts w:hint="eastAsia" w:ascii="宋体" w:hAnsi="宋体" w:eastAsia="宋体" w:cs="宋体"/>
                <w:color w:val="auto"/>
                <w:sz w:val="22"/>
                <w:highlight w:val="none"/>
              </w:rPr>
            </w:pPr>
          </w:p>
        </w:tc>
        <w:tc>
          <w:tcPr>
            <w:tcW w:w="1147" w:type="dxa"/>
            <w:noWrap w:val="0"/>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958"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767" w:type="dxa"/>
            <w:noWrap w:val="0"/>
            <w:vAlign w:val="center"/>
          </w:tcPr>
          <w:p>
            <w:pPr>
              <w:spacing w:line="360" w:lineRule="auto"/>
              <w:jc w:val="center"/>
              <w:rPr>
                <w:rFonts w:hint="eastAsia" w:ascii="宋体" w:hAnsi="宋体" w:eastAsia="宋体" w:cs="宋体"/>
                <w:color w:val="auto"/>
                <w:sz w:val="22"/>
                <w:highlight w:val="none"/>
              </w:rPr>
            </w:pPr>
          </w:p>
        </w:tc>
        <w:tc>
          <w:tcPr>
            <w:tcW w:w="1340" w:type="dxa"/>
            <w:noWrap w:val="0"/>
            <w:vAlign w:val="center"/>
          </w:tcPr>
          <w:p>
            <w:pPr>
              <w:spacing w:line="360" w:lineRule="auto"/>
              <w:jc w:val="center"/>
              <w:rPr>
                <w:rFonts w:hint="eastAsia" w:ascii="宋体" w:hAnsi="宋体" w:eastAsia="宋体" w:cs="宋体"/>
                <w:color w:val="auto"/>
                <w:sz w:val="22"/>
                <w:highlight w:val="none"/>
              </w:rPr>
            </w:pPr>
          </w:p>
        </w:tc>
        <w:tc>
          <w:tcPr>
            <w:tcW w:w="1326" w:type="dxa"/>
            <w:noWrap w:val="0"/>
            <w:vAlign w:val="center"/>
          </w:tcPr>
          <w:p>
            <w:pPr>
              <w:spacing w:line="360" w:lineRule="auto"/>
              <w:jc w:val="center"/>
              <w:rPr>
                <w:rFonts w:hint="eastAsia" w:ascii="宋体" w:hAnsi="宋体" w:eastAsia="宋体" w:cs="宋体"/>
                <w:color w:val="auto"/>
                <w:sz w:val="22"/>
                <w:highlight w:val="none"/>
              </w:rPr>
            </w:pPr>
          </w:p>
        </w:tc>
        <w:tc>
          <w:tcPr>
            <w:tcW w:w="1825" w:type="dxa"/>
            <w:noWrap w:val="0"/>
            <w:vAlign w:val="top"/>
          </w:tcPr>
          <w:p>
            <w:pPr>
              <w:spacing w:line="360" w:lineRule="auto"/>
              <w:jc w:val="center"/>
              <w:rPr>
                <w:rFonts w:hint="eastAsia" w:ascii="宋体" w:hAnsi="宋体" w:eastAsia="宋体" w:cs="宋体"/>
                <w:color w:val="auto"/>
                <w:sz w:val="22"/>
                <w:highlight w:val="none"/>
              </w:rPr>
            </w:pPr>
          </w:p>
        </w:tc>
        <w:tc>
          <w:tcPr>
            <w:tcW w:w="1147" w:type="dxa"/>
            <w:noWrap w:val="0"/>
            <w:vAlign w:val="center"/>
          </w:tcPr>
          <w:p>
            <w:pPr>
              <w:spacing w:line="360" w:lineRule="auto"/>
              <w:jc w:val="center"/>
              <w:rPr>
                <w:rFonts w:hint="eastAsia" w:ascii="宋体" w:hAnsi="宋体" w:eastAsia="宋体" w:cs="宋体"/>
                <w:color w:val="auto"/>
                <w:sz w:val="22"/>
                <w:highlight w:val="none"/>
              </w:rPr>
            </w:pPr>
          </w:p>
        </w:tc>
      </w:tr>
    </w:tbl>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注：</w:t>
      </w:r>
    </w:p>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1、本表应附项目</w:t>
      </w:r>
      <w:r>
        <w:rPr>
          <w:rFonts w:hint="eastAsia" w:ascii="宋体" w:hAnsi="宋体" w:eastAsia="宋体" w:cs="宋体"/>
          <w:color w:val="auto"/>
          <w:sz w:val="22"/>
          <w:highlight w:val="none"/>
          <w:lang w:val="en-US" w:eastAsia="zh-CN"/>
        </w:rPr>
        <w:t>人员</w:t>
      </w:r>
      <w:r>
        <w:rPr>
          <w:rFonts w:hint="eastAsia" w:ascii="宋体" w:hAnsi="宋体" w:eastAsia="宋体" w:cs="宋体"/>
          <w:color w:val="auto"/>
          <w:sz w:val="22"/>
          <w:highlight w:val="none"/>
        </w:rPr>
        <w:t>相关证明材料。</w:t>
      </w:r>
    </w:p>
    <w:p>
      <w:pPr>
        <w:spacing w:line="400" w:lineRule="exact"/>
        <w:rPr>
          <w:rFonts w:hint="eastAsia" w:ascii="宋体" w:hAnsi="宋体" w:eastAsia="宋体" w:cs="宋体"/>
          <w:b/>
          <w:color w:val="auto"/>
          <w:sz w:val="22"/>
          <w:highlight w:val="none"/>
          <w:lang w:eastAsia="zh-CN"/>
        </w:rPr>
      </w:pPr>
      <w:r>
        <w:rPr>
          <w:rFonts w:hint="eastAsia" w:ascii="宋体" w:hAnsi="宋体" w:eastAsia="宋体" w:cs="宋体"/>
          <w:color w:val="auto"/>
          <w:sz w:val="22"/>
          <w:highlight w:val="none"/>
        </w:rPr>
        <w:t>2、项目</w:t>
      </w:r>
      <w:r>
        <w:rPr>
          <w:rFonts w:hint="eastAsia" w:ascii="宋体" w:hAnsi="宋体" w:eastAsia="宋体" w:cs="宋体"/>
          <w:color w:val="auto"/>
          <w:sz w:val="22"/>
          <w:highlight w:val="none"/>
          <w:lang w:val="en-US" w:eastAsia="zh-CN"/>
        </w:rPr>
        <w:t>人员</w:t>
      </w:r>
      <w:r>
        <w:rPr>
          <w:rFonts w:hint="eastAsia" w:ascii="宋体" w:hAnsi="宋体" w:eastAsia="宋体" w:cs="宋体"/>
          <w:color w:val="auto"/>
          <w:sz w:val="22"/>
          <w:highlight w:val="none"/>
        </w:rPr>
        <w:t>在服务期内不得更换，如遇特殊情况更换项目</w:t>
      </w:r>
      <w:r>
        <w:rPr>
          <w:rFonts w:hint="eastAsia" w:ascii="宋体" w:hAnsi="宋体" w:eastAsia="宋体" w:cs="宋体"/>
          <w:color w:val="auto"/>
          <w:sz w:val="22"/>
          <w:highlight w:val="none"/>
          <w:lang w:val="en-US" w:eastAsia="zh-CN"/>
        </w:rPr>
        <w:t>人员</w:t>
      </w:r>
      <w:r>
        <w:rPr>
          <w:rFonts w:hint="eastAsia" w:ascii="宋体" w:hAnsi="宋体" w:eastAsia="宋体" w:cs="宋体"/>
          <w:color w:val="auto"/>
          <w:sz w:val="22"/>
          <w:highlight w:val="none"/>
        </w:rPr>
        <w:t>的需经采购人同意</w:t>
      </w:r>
      <w:r>
        <w:rPr>
          <w:rFonts w:hint="eastAsia" w:ascii="宋体" w:hAnsi="宋体" w:eastAsia="宋体" w:cs="宋体"/>
          <w:color w:val="auto"/>
          <w:sz w:val="22"/>
          <w:highlight w:val="none"/>
          <w:lang w:eastAsia="zh-CN"/>
        </w:rPr>
        <w:t>。</w:t>
      </w:r>
    </w:p>
    <w:p>
      <w:pPr>
        <w:spacing w:afterLines="50" w:line="40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此表仅提供了表格形式，投标人可按此表格复制。</w:t>
      </w:r>
    </w:p>
    <w:p>
      <w:pPr>
        <w:widowControl/>
        <w:spacing w:line="400" w:lineRule="exact"/>
        <w:rPr>
          <w:rFonts w:hint="eastAsia" w:ascii="宋体" w:hAnsi="宋体" w:eastAsia="宋体" w:cs="宋体"/>
          <w:color w:val="auto"/>
          <w:kern w:val="0"/>
          <w:sz w:val="24"/>
          <w:szCs w:val="24"/>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pPr>
        <w:spacing w:line="400" w:lineRule="exact"/>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附件13</w:t>
      </w:r>
    </w:p>
    <w:p>
      <w:pPr>
        <w:pStyle w:val="15"/>
        <w:snapToGrid w:val="0"/>
        <w:spacing w:line="4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承诺函</w:t>
      </w:r>
    </w:p>
    <w:p>
      <w:pPr>
        <w:pStyle w:val="15"/>
        <w:snapToGrid w:val="0"/>
        <w:spacing w:line="400" w:lineRule="exact"/>
        <w:jc w:val="center"/>
        <w:rPr>
          <w:rFonts w:hint="eastAsia" w:ascii="宋体" w:hAnsi="宋体" w:eastAsia="宋体" w:cs="宋体"/>
          <w:b/>
          <w:color w:val="auto"/>
          <w:szCs w:val="24"/>
          <w:highlight w:val="none"/>
        </w:rPr>
      </w:pPr>
    </w:p>
    <w:p>
      <w:pPr>
        <w:spacing w:line="460" w:lineRule="exact"/>
        <w:rPr>
          <w:rFonts w:hint="eastAsia" w:ascii="宋体" w:hAnsi="宋体" w:eastAsia="宋体" w:cs="宋体"/>
          <w:color w:val="auto"/>
          <w:sz w:val="22"/>
          <w:highlight w:val="none"/>
        </w:rPr>
      </w:pPr>
      <w:r>
        <w:rPr>
          <w:rFonts w:hint="eastAsia" w:ascii="宋体" w:hAnsi="宋体" w:cs="宋体"/>
          <w:color w:val="auto"/>
          <w:sz w:val="22"/>
          <w:highlight w:val="none"/>
          <w:lang w:eastAsia="zh-CN"/>
        </w:rPr>
        <w:t>温州理工学院</w:t>
      </w:r>
      <w:r>
        <w:rPr>
          <w:rFonts w:hint="eastAsia" w:ascii="宋体" w:hAnsi="宋体" w:eastAsia="宋体" w:cs="宋体"/>
          <w:color w:val="auto"/>
          <w:sz w:val="22"/>
          <w:highlight w:val="none"/>
        </w:rPr>
        <w:t>：</w:t>
      </w:r>
    </w:p>
    <w:p>
      <w:pPr>
        <w:spacing w:line="4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我单位就</w:t>
      </w:r>
      <w:r>
        <w:rPr>
          <w:rFonts w:hint="eastAsia" w:ascii="宋体" w:hAnsi="宋体" w:eastAsia="宋体" w:cs="宋体"/>
          <w:color w:val="auto"/>
          <w:sz w:val="22"/>
          <w:highlight w:val="none"/>
          <w:u w:val="single"/>
        </w:rPr>
        <w:t>（</w:t>
      </w:r>
      <w:r>
        <w:rPr>
          <w:rFonts w:hint="eastAsia" w:ascii="宋体" w:hAnsi="宋体" w:eastAsia="宋体" w:cs="宋体"/>
          <w:color w:val="auto"/>
          <w:sz w:val="22"/>
          <w:highlight w:val="none"/>
          <w:u w:val="single"/>
          <w:lang w:eastAsia="zh-CN"/>
        </w:rPr>
        <w:t>标项名称</w:t>
      </w:r>
      <w:r>
        <w:rPr>
          <w:rFonts w:hint="eastAsia" w:ascii="宋体" w:hAnsi="宋体" w:eastAsia="宋体" w:cs="宋体"/>
          <w:color w:val="auto"/>
          <w:sz w:val="22"/>
          <w:highlight w:val="none"/>
          <w:u w:val="single"/>
        </w:rPr>
        <w:t xml:space="preserve">）    （项目编号）    </w:t>
      </w:r>
      <w:r>
        <w:rPr>
          <w:rFonts w:hint="eastAsia" w:ascii="宋体" w:hAnsi="宋体" w:eastAsia="宋体" w:cs="宋体"/>
          <w:color w:val="auto"/>
          <w:sz w:val="22"/>
          <w:highlight w:val="none"/>
        </w:rPr>
        <w:t>承诺如下：</w:t>
      </w:r>
    </w:p>
    <w:p>
      <w:pPr>
        <w:spacing w:line="4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rPr>
        <w:t xml:space="preserve"> </w:t>
      </w:r>
    </w:p>
    <w:p>
      <w:pPr>
        <w:spacing w:line="4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rPr>
        <w:t xml:space="preserve"> </w:t>
      </w:r>
    </w:p>
    <w:p>
      <w:pPr>
        <w:spacing w:line="4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若不能落实到位，我方无条件接受采购人的任何处罚，我单位对此无任何异议。</w:t>
      </w:r>
    </w:p>
    <w:p>
      <w:pPr>
        <w:spacing w:line="4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特此承诺！</w:t>
      </w:r>
    </w:p>
    <w:p>
      <w:pPr>
        <w:pStyle w:val="3"/>
        <w:spacing w:before="0" w:after="0"/>
        <w:jc w:val="left"/>
        <w:outlineLvl w:val="9"/>
        <w:rPr>
          <w:rFonts w:hint="eastAsia" w:ascii="宋体" w:hAnsi="宋体" w:eastAsia="宋体" w:cs="宋体"/>
          <w:b w:val="0"/>
          <w:bCs w:val="0"/>
          <w:color w:val="auto"/>
          <w:kern w:val="2"/>
          <w:sz w:val="22"/>
          <w:szCs w:val="22"/>
          <w:highlight w:val="none"/>
        </w:rPr>
      </w:pPr>
    </w:p>
    <w:p>
      <w:pPr>
        <w:pStyle w:val="3"/>
        <w:spacing w:before="0" w:after="0"/>
        <w:jc w:val="left"/>
        <w:outlineLvl w:val="9"/>
        <w:rPr>
          <w:rFonts w:hint="eastAsia" w:ascii="宋体" w:hAnsi="宋体" w:eastAsia="宋体" w:cs="宋体"/>
          <w:b w:val="0"/>
          <w:bCs w:val="0"/>
          <w:color w:val="auto"/>
          <w:kern w:val="2"/>
          <w:sz w:val="24"/>
          <w:szCs w:val="24"/>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pStyle w:val="15"/>
        <w:snapToGrid w:val="0"/>
        <w:spacing w:line="400" w:lineRule="exact"/>
        <w:jc w:val="center"/>
        <w:rPr>
          <w:rFonts w:hint="eastAsia" w:ascii="宋体" w:hAnsi="宋体" w:eastAsia="宋体" w:cs="宋体"/>
          <w:b/>
          <w:color w:val="auto"/>
          <w:szCs w:val="24"/>
          <w:highlight w:val="none"/>
        </w:rPr>
      </w:pPr>
    </w:p>
    <w:p>
      <w:pPr>
        <w:pStyle w:val="15"/>
        <w:snapToGrid w:val="0"/>
        <w:spacing w:line="400" w:lineRule="exact"/>
        <w:jc w:val="center"/>
        <w:rPr>
          <w:rFonts w:hint="eastAsia" w:ascii="宋体" w:hAnsi="宋体" w:eastAsia="宋体" w:cs="宋体"/>
          <w:b/>
          <w:color w:val="auto"/>
          <w:szCs w:val="24"/>
          <w:highlight w:val="none"/>
        </w:rPr>
      </w:pPr>
    </w:p>
    <w:p>
      <w:pPr>
        <w:pStyle w:val="15"/>
        <w:snapToGrid w:val="0"/>
        <w:spacing w:line="400" w:lineRule="exact"/>
        <w:jc w:val="center"/>
        <w:rPr>
          <w:rFonts w:hint="eastAsia" w:ascii="宋体" w:hAnsi="宋体" w:eastAsia="宋体" w:cs="宋体"/>
          <w:b/>
          <w:color w:val="auto"/>
          <w:szCs w:val="24"/>
          <w:highlight w:val="none"/>
        </w:rPr>
      </w:pPr>
    </w:p>
    <w:p>
      <w:pPr>
        <w:pStyle w:val="15"/>
        <w:snapToGrid w:val="0"/>
        <w:spacing w:line="4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注：以上承诺函投标人可根据承诺事项自行调整。</w:t>
      </w:r>
    </w:p>
    <w:p>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pPr>
        <w:spacing w:line="400" w:lineRule="exact"/>
        <w:jc w:val="center"/>
        <w:outlineLvl w:val="0"/>
        <w:rPr>
          <w:rFonts w:hint="eastAsia" w:ascii="宋体" w:hAnsi="宋体" w:eastAsia="宋体" w:cs="宋体"/>
          <w:b/>
          <w:color w:val="auto"/>
          <w:sz w:val="32"/>
          <w:highlight w:val="none"/>
        </w:rPr>
      </w:pPr>
      <w:bookmarkStart w:id="20" w:name="_Toc4275"/>
      <w:r>
        <w:rPr>
          <w:rFonts w:hint="eastAsia" w:ascii="宋体" w:hAnsi="宋体" w:eastAsia="宋体" w:cs="宋体"/>
          <w:b/>
          <w:color w:val="auto"/>
          <w:sz w:val="32"/>
          <w:highlight w:val="none"/>
        </w:rPr>
        <w:t>第五部分 采购需求</w:t>
      </w:r>
      <w:bookmarkEnd w:id="20"/>
    </w:p>
    <w:p>
      <w:pPr>
        <w:keepNext w:val="0"/>
        <w:keepLines w:val="0"/>
        <w:pageBreakBefore w:val="0"/>
        <w:kinsoku/>
        <w:wordWrap/>
        <w:overflowPunct/>
        <w:topLinePunct w:val="0"/>
        <w:bidi w:val="0"/>
        <w:adjustRightInd/>
        <w:snapToGrid w:val="0"/>
        <w:spacing w:line="360" w:lineRule="exact"/>
        <w:textAlignment w:val="baseline"/>
        <w:outlineLvl w:val="9"/>
        <w:rPr>
          <w:rStyle w:val="74"/>
          <w:rFonts w:hint="eastAsia" w:ascii="宋体" w:hAnsi="宋体" w:eastAsia="宋体" w:cs="宋体"/>
          <w:b/>
          <w:bCs/>
          <w:color w:val="auto"/>
          <w:sz w:val="22"/>
          <w:szCs w:val="22"/>
          <w:highlight w:val="none"/>
        </w:rPr>
      </w:pPr>
      <w:r>
        <w:rPr>
          <w:rStyle w:val="74"/>
          <w:rFonts w:hint="eastAsia" w:ascii="宋体" w:hAnsi="宋体" w:eastAsia="宋体" w:cs="宋体"/>
          <w:b/>
          <w:bCs/>
          <w:color w:val="auto"/>
          <w:sz w:val="22"/>
          <w:szCs w:val="22"/>
          <w:highlight w:val="none"/>
        </w:rPr>
        <w:t>一、采购内容</w:t>
      </w:r>
    </w:p>
    <w:p>
      <w:pPr>
        <w:keepNext w:val="0"/>
        <w:keepLines w:val="0"/>
        <w:pageBreakBefore w:val="0"/>
        <w:kinsoku/>
        <w:wordWrap/>
        <w:overflowPunct/>
        <w:topLinePunct w:val="0"/>
        <w:bidi w:val="0"/>
        <w:adjustRightInd/>
        <w:snapToGrid w:val="0"/>
        <w:spacing w:line="360" w:lineRule="exact"/>
        <w:ind w:firstLine="440" w:firstLineChars="200"/>
        <w:textAlignment w:val="baseline"/>
        <w:outlineLvl w:val="9"/>
        <w:rPr>
          <w:rStyle w:val="74"/>
          <w:rFonts w:hint="eastAsia" w:ascii="宋体" w:hAnsi="宋体" w:eastAsia="宋体" w:cs="宋体"/>
          <w:bCs/>
          <w:color w:val="auto"/>
          <w:sz w:val="22"/>
          <w:szCs w:val="22"/>
          <w:highlight w:val="none"/>
        </w:rPr>
      </w:pPr>
      <w:r>
        <w:rPr>
          <w:rStyle w:val="74"/>
          <w:rFonts w:hint="eastAsia" w:ascii="宋体" w:hAnsi="宋体" w:eastAsia="宋体" w:cs="宋体"/>
          <w:bCs/>
          <w:color w:val="auto"/>
          <w:sz w:val="22"/>
          <w:szCs w:val="22"/>
          <w:highlight w:val="none"/>
        </w:rPr>
        <w:t>本采购项目计划：拟线路具体如下：</w:t>
      </w:r>
    </w:p>
    <w:tbl>
      <w:tblPr>
        <w:tblStyle w:val="31"/>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337"/>
        <w:gridCol w:w="1425"/>
        <w:gridCol w:w="1675"/>
        <w:gridCol w:w="1785"/>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4" w:type="dxa"/>
            <w:vMerge w:val="restart"/>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bCs/>
                <w:kern w:val="0"/>
                <w:sz w:val="22"/>
                <w:highlight w:val="none"/>
              </w:rPr>
              <w:t>标项</w:t>
            </w:r>
          </w:p>
        </w:tc>
        <w:tc>
          <w:tcPr>
            <w:tcW w:w="2337" w:type="dxa"/>
            <w:vMerge w:val="restart"/>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bCs/>
                <w:kern w:val="0"/>
                <w:sz w:val="22"/>
                <w:highlight w:val="none"/>
              </w:rPr>
              <w:t>标项名称</w:t>
            </w:r>
          </w:p>
        </w:tc>
        <w:tc>
          <w:tcPr>
            <w:tcW w:w="6578" w:type="dxa"/>
            <w:gridSpan w:val="4"/>
            <w:noWrap w:val="0"/>
            <w:vAlign w:val="center"/>
          </w:tcPr>
          <w:p>
            <w:pPr>
              <w:pStyle w:val="27"/>
              <w:widowControl w:val="0"/>
              <w:overflowPunct/>
              <w:autoSpaceDE/>
              <w:autoSpaceDN/>
              <w:adjustRightInd/>
              <w:textAlignment w:val="auto"/>
              <w:rPr>
                <w:rFonts w:hint="eastAsia" w:ascii="宋体" w:hAnsi="宋体" w:cs="宋体"/>
                <w:sz w:val="22"/>
                <w:szCs w:val="22"/>
                <w:highlight w:val="none"/>
                <w:lang w:val="en-US"/>
              </w:rPr>
            </w:pPr>
            <w:r>
              <w:rPr>
                <w:rFonts w:hint="eastAsia" w:ascii="宋体" w:hAnsi="宋体" w:cs="宋体"/>
                <w:b w:val="0"/>
                <w:sz w:val="22"/>
                <w:highlight w:val="none"/>
              </w:rPr>
              <w:t>路线安排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54" w:type="dxa"/>
            <w:vMerge w:val="continue"/>
            <w:noWrap w:val="0"/>
            <w:vAlign w:val="top"/>
          </w:tcPr>
          <w:p>
            <w:pPr>
              <w:pStyle w:val="27"/>
              <w:rPr>
                <w:rFonts w:hint="eastAsia" w:ascii="宋体" w:hAnsi="宋体" w:cs="宋体"/>
                <w:sz w:val="22"/>
                <w:szCs w:val="22"/>
                <w:highlight w:val="none"/>
                <w:lang w:val="en-US"/>
              </w:rPr>
            </w:pPr>
          </w:p>
        </w:tc>
        <w:tc>
          <w:tcPr>
            <w:tcW w:w="2337" w:type="dxa"/>
            <w:vMerge w:val="continue"/>
            <w:noWrap w:val="0"/>
            <w:vAlign w:val="top"/>
          </w:tcPr>
          <w:p>
            <w:pPr>
              <w:pStyle w:val="27"/>
              <w:rPr>
                <w:rFonts w:hint="eastAsia" w:ascii="宋体" w:hAnsi="宋体" w:cs="宋体"/>
                <w:sz w:val="22"/>
                <w:szCs w:val="22"/>
                <w:highlight w:val="none"/>
                <w:lang w:val="en-US"/>
              </w:rPr>
            </w:pPr>
          </w:p>
        </w:tc>
        <w:tc>
          <w:tcPr>
            <w:tcW w:w="1425"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sz w:val="22"/>
                <w:highlight w:val="none"/>
              </w:rPr>
              <w:t>温州市域线</w:t>
            </w:r>
          </w:p>
        </w:tc>
        <w:tc>
          <w:tcPr>
            <w:tcW w:w="1675"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bCs/>
                <w:kern w:val="0"/>
                <w:sz w:val="22"/>
                <w:highlight w:val="none"/>
              </w:rPr>
              <w:t>浙江省内</w:t>
            </w:r>
            <w:r>
              <w:rPr>
                <w:rFonts w:hint="eastAsia" w:ascii="宋体" w:hAnsi="宋体" w:cs="宋体"/>
                <w:sz w:val="22"/>
                <w:highlight w:val="none"/>
              </w:rPr>
              <w:t>疗休养合作城市</w:t>
            </w:r>
          </w:p>
        </w:tc>
        <w:tc>
          <w:tcPr>
            <w:tcW w:w="1785"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sz w:val="22"/>
                <w:highlight w:val="none"/>
              </w:rPr>
              <w:t>周边省市</w:t>
            </w:r>
          </w:p>
        </w:tc>
        <w:tc>
          <w:tcPr>
            <w:tcW w:w="1693"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sz w:val="22"/>
                <w:highlight w:val="none"/>
              </w:rPr>
              <w:t>对口援建城市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54"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bCs/>
                <w:kern w:val="0"/>
                <w:sz w:val="22"/>
                <w:highlight w:val="none"/>
              </w:rPr>
              <w:t>一</w:t>
            </w:r>
          </w:p>
        </w:tc>
        <w:tc>
          <w:tcPr>
            <w:tcW w:w="2337" w:type="dxa"/>
            <w:noWrap w:val="0"/>
            <w:vAlign w:val="center"/>
          </w:tcPr>
          <w:p>
            <w:pPr>
              <w:jc w:val="center"/>
              <w:rPr>
                <w:rFonts w:hint="eastAsia" w:ascii="宋体" w:hAnsi="宋体" w:cs="宋体"/>
                <w:sz w:val="22"/>
                <w:szCs w:val="22"/>
                <w:highlight w:val="none"/>
              </w:rPr>
            </w:pPr>
            <w:r>
              <w:rPr>
                <w:rFonts w:hint="eastAsia" w:ascii="宋体" w:hAnsi="宋体" w:cs="宋体"/>
                <w:bCs/>
                <w:sz w:val="22"/>
                <w:highlight w:val="none"/>
              </w:rPr>
              <w:t>2023年</w:t>
            </w:r>
            <w:r>
              <w:rPr>
                <w:rFonts w:hint="eastAsia" w:ascii="宋体" w:hAnsi="宋体" w:cs="宋体"/>
                <w:bCs/>
                <w:sz w:val="22"/>
                <w:highlight w:val="none"/>
                <w:lang w:eastAsia="zh-CN"/>
              </w:rPr>
              <w:t>温州理工学院</w:t>
            </w:r>
            <w:r>
              <w:rPr>
                <w:rFonts w:hint="eastAsia" w:ascii="宋体" w:hAnsi="宋体" w:cs="宋体"/>
                <w:bCs/>
                <w:sz w:val="22"/>
                <w:highlight w:val="none"/>
              </w:rPr>
              <w:t>教职工疗休养服务1</w:t>
            </w:r>
          </w:p>
        </w:tc>
        <w:tc>
          <w:tcPr>
            <w:tcW w:w="1425"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sz w:val="22"/>
                <w:highlight w:val="none"/>
              </w:rPr>
              <w:t>温州市域5日</w:t>
            </w:r>
          </w:p>
        </w:tc>
        <w:tc>
          <w:tcPr>
            <w:tcW w:w="1675"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sz w:val="22"/>
                <w:highlight w:val="none"/>
              </w:rPr>
              <w:t>丽水、金华</w:t>
            </w:r>
            <w:r>
              <w:rPr>
                <w:rFonts w:hint="eastAsia" w:ascii="宋体" w:hAnsi="宋体" w:cs="宋体"/>
                <w:sz w:val="22"/>
                <w:highlight w:val="none"/>
                <w:lang w:eastAsia="zh-CN"/>
              </w:rPr>
              <w:t>、</w:t>
            </w:r>
            <w:r>
              <w:rPr>
                <w:rFonts w:hint="eastAsia" w:ascii="宋体" w:hAnsi="宋体" w:cs="宋体"/>
                <w:sz w:val="22"/>
                <w:highlight w:val="none"/>
              </w:rPr>
              <w:t>杭州、衢州市动车5日</w:t>
            </w:r>
          </w:p>
        </w:tc>
        <w:tc>
          <w:tcPr>
            <w:tcW w:w="1785"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sz w:val="22"/>
                <w:highlight w:val="none"/>
              </w:rPr>
              <w:t>安徽动车5日</w:t>
            </w:r>
          </w:p>
        </w:tc>
        <w:tc>
          <w:tcPr>
            <w:tcW w:w="1693"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sz w:val="22"/>
                <w:highlight w:val="none"/>
              </w:rPr>
              <w:t>重庆双飞6日</w:t>
            </w:r>
            <w:r>
              <w:rPr>
                <w:rFonts w:hint="eastAsia" w:ascii="宋体" w:hAnsi="宋体" w:cs="宋体"/>
                <w:kern w:val="0"/>
                <w:sz w:val="22"/>
                <w:highlight w:val="none"/>
              </w:rPr>
              <w:t>青海</w:t>
            </w:r>
            <w:r>
              <w:rPr>
                <w:rFonts w:hint="eastAsia" w:ascii="宋体" w:hAnsi="宋体" w:cs="宋体"/>
                <w:kern w:val="0"/>
                <w:sz w:val="22"/>
                <w:highlight w:val="none"/>
                <w:lang w:val="zh-CN"/>
              </w:rPr>
              <w:t>双飞</w:t>
            </w:r>
            <w:r>
              <w:rPr>
                <w:rFonts w:hint="eastAsia" w:ascii="宋体" w:hAnsi="宋体" w:cs="宋体"/>
                <w:kern w:val="0"/>
                <w:sz w:val="22"/>
                <w:highlight w:val="none"/>
              </w:rPr>
              <w:t>6</w:t>
            </w:r>
            <w:r>
              <w:rPr>
                <w:rFonts w:hint="eastAsia" w:ascii="宋体" w:hAnsi="宋体" w:cs="宋体"/>
                <w:kern w:val="0"/>
                <w:sz w:val="22"/>
                <w:highlight w:val="none"/>
                <w:lang w:val="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54"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bCs/>
                <w:kern w:val="0"/>
                <w:sz w:val="22"/>
                <w:highlight w:val="none"/>
              </w:rPr>
              <w:t>二</w:t>
            </w:r>
          </w:p>
        </w:tc>
        <w:tc>
          <w:tcPr>
            <w:tcW w:w="2337" w:type="dxa"/>
            <w:noWrap w:val="0"/>
            <w:vAlign w:val="center"/>
          </w:tcPr>
          <w:p>
            <w:pPr>
              <w:jc w:val="center"/>
              <w:rPr>
                <w:rFonts w:hint="eastAsia" w:ascii="宋体" w:hAnsi="宋体" w:cs="宋体"/>
                <w:sz w:val="22"/>
                <w:szCs w:val="22"/>
                <w:highlight w:val="none"/>
              </w:rPr>
            </w:pPr>
            <w:r>
              <w:rPr>
                <w:rFonts w:hint="eastAsia" w:ascii="宋体" w:hAnsi="宋体" w:cs="宋体"/>
                <w:bCs/>
                <w:sz w:val="22"/>
                <w:highlight w:val="none"/>
              </w:rPr>
              <w:t>2023年</w:t>
            </w:r>
            <w:r>
              <w:rPr>
                <w:rFonts w:hint="eastAsia" w:ascii="宋体" w:hAnsi="宋体" w:cs="宋体"/>
                <w:bCs/>
                <w:sz w:val="22"/>
                <w:highlight w:val="none"/>
                <w:lang w:eastAsia="zh-CN"/>
              </w:rPr>
              <w:t>温州理工学院</w:t>
            </w:r>
            <w:r>
              <w:rPr>
                <w:rFonts w:hint="eastAsia" w:ascii="宋体" w:hAnsi="宋体" w:cs="宋体"/>
                <w:bCs/>
                <w:sz w:val="22"/>
                <w:highlight w:val="none"/>
              </w:rPr>
              <w:t>教职工疗休养服务2</w:t>
            </w:r>
          </w:p>
        </w:tc>
        <w:tc>
          <w:tcPr>
            <w:tcW w:w="1425"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sz w:val="22"/>
                <w:highlight w:val="none"/>
              </w:rPr>
              <w:t>温州市域5日</w:t>
            </w:r>
          </w:p>
        </w:tc>
        <w:tc>
          <w:tcPr>
            <w:tcW w:w="1675"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sz w:val="22"/>
                <w:highlight w:val="none"/>
              </w:rPr>
              <w:t>台州、绍兴</w:t>
            </w:r>
            <w:r>
              <w:rPr>
                <w:rFonts w:hint="eastAsia" w:ascii="宋体" w:hAnsi="宋体" w:cs="宋体"/>
                <w:sz w:val="22"/>
                <w:highlight w:val="none"/>
                <w:lang w:eastAsia="zh-CN"/>
              </w:rPr>
              <w:t>、</w:t>
            </w:r>
            <w:r>
              <w:rPr>
                <w:rFonts w:hint="eastAsia" w:ascii="宋体" w:hAnsi="宋体" w:cs="宋体"/>
                <w:sz w:val="22"/>
                <w:highlight w:val="none"/>
              </w:rPr>
              <w:t>湖州市动车5日</w:t>
            </w:r>
          </w:p>
        </w:tc>
        <w:tc>
          <w:tcPr>
            <w:tcW w:w="1785"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sz w:val="22"/>
                <w:highlight w:val="none"/>
              </w:rPr>
              <w:t>江苏动车5日</w:t>
            </w:r>
            <w:r>
              <w:rPr>
                <w:rFonts w:hint="eastAsia" w:ascii="宋体" w:hAnsi="宋体" w:cs="宋体"/>
                <w:sz w:val="22"/>
                <w:highlight w:val="none"/>
                <w:lang w:eastAsia="zh-CN"/>
              </w:rPr>
              <w:t>、</w:t>
            </w:r>
            <w:r>
              <w:rPr>
                <w:rFonts w:hint="eastAsia" w:ascii="宋体" w:hAnsi="宋体" w:cs="宋体"/>
                <w:sz w:val="22"/>
                <w:highlight w:val="none"/>
              </w:rPr>
              <w:t>江西动车5日</w:t>
            </w:r>
          </w:p>
        </w:tc>
        <w:tc>
          <w:tcPr>
            <w:tcW w:w="1693"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sz w:val="22"/>
                <w:highlight w:val="none"/>
              </w:rPr>
              <w:t>新疆三飞8日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54"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bCs/>
                <w:kern w:val="0"/>
                <w:sz w:val="22"/>
                <w:highlight w:val="none"/>
              </w:rPr>
              <w:t>三</w:t>
            </w:r>
          </w:p>
        </w:tc>
        <w:tc>
          <w:tcPr>
            <w:tcW w:w="2337" w:type="dxa"/>
            <w:noWrap w:val="0"/>
            <w:vAlign w:val="center"/>
          </w:tcPr>
          <w:p>
            <w:pPr>
              <w:jc w:val="center"/>
              <w:rPr>
                <w:rFonts w:hint="eastAsia" w:ascii="宋体" w:hAnsi="宋体" w:cs="宋体"/>
                <w:sz w:val="22"/>
                <w:szCs w:val="22"/>
                <w:highlight w:val="none"/>
              </w:rPr>
            </w:pPr>
            <w:r>
              <w:rPr>
                <w:rFonts w:hint="eastAsia" w:ascii="宋体" w:hAnsi="宋体" w:cs="宋体"/>
                <w:bCs/>
                <w:sz w:val="22"/>
                <w:highlight w:val="none"/>
              </w:rPr>
              <w:t>2023年</w:t>
            </w:r>
            <w:r>
              <w:rPr>
                <w:rFonts w:hint="eastAsia" w:ascii="宋体" w:hAnsi="宋体" w:cs="宋体"/>
                <w:bCs/>
                <w:sz w:val="22"/>
                <w:highlight w:val="none"/>
                <w:lang w:eastAsia="zh-CN"/>
              </w:rPr>
              <w:t>温州理工学院</w:t>
            </w:r>
            <w:r>
              <w:rPr>
                <w:rFonts w:hint="eastAsia" w:ascii="宋体" w:hAnsi="宋体" w:cs="宋体"/>
                <w:bCs/>
                <w:sz w:val="22"/>
                <w:highlight w:val="none"/>
              </w:rPr>
              <w:t>教职工疗休养服务3</w:t>
            </w:r>
          </w:p>
        </w:tc>
        <w:tc>
          <w:tcPr>
            <w:tcW w:w="1425"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sz w:val="22"/>
                <w:highlight w:val="none"/>
              </w:rPr>
              <w:t>温州市域5日</w:t>
            </w:r>
          </w:p>
        </w:tc>
        <w:tc>
          <w:tcPr>
            <w:tcW w:w="1675" w:type="dxa"/>
            <w:noWrap w:val="0"/>
            <w:vAlign w:val="center"/>
          </w:tcPr>
          <w:p>
            <w:pPr>
              <w:jc w:val="center"/>
              <w:rPr>
                <w:rFonts w:hint="eastAsia" w:ascii="宋体" w:hAnsi="宋体" w:cs="宋体"/>
                <w:sz w:val="22"/>
                <w:szCs w:val="22"/>
                <w:highlight w:val="none"/>
              </w:rPr>
            </w:pPr>
            <w:r>
              <w:rPr>
                <w:rFonts w:hint="eastAsia" w:ascii="宋体" w:hAnsi="宋体" w:cs="宋体"/>
                <w:sz w:val="22"/>
                <w:highlight w:val="none"/>
              </w:rPr>
              <w:t>宁波、舟山</w:t>
            </w:r>
            <w:r>
              <w:rPr>
                <w:rFonts w:hint="eastAsia" w:ascii="宋体" w:hAnsi="宋体" w:cs="宋体"/>
                <w:sz w:val="22"/>
                <w:highlight w:val="none"/>
                <w:lang w:eastAsia="zh-CN"/>
              </w:rPr>
              <w:t>、</w:t>
            </w:r>
            <w:r>
              <w:rPr>
                <w:rFonts w:hint="eastAsia" w:ascii="宋体" w:hAnsi="宋体" w:cs="宋体"/>
                <w:sz w:val="22"/>
                <w:highlight w:val="none"/>
              </w:rPr>
              <w:t>嘉兴市动车5日</w:t>
            </w:r>
          </w:p>
        </w:tc>
        <w:tc>
          <w:tcPr>
            <w:tcW w:w="1785"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sz w:val="22"/>
                <w:highlight w:val="none"/>
              </w:rPr>
              <w:t>上海动车5日</w:t>
            </w:r>
            <w:r>
              <w:rPr>
                <w:rFonts w:hint="eastAsia" w:ascii="宋体" w:hAnsi="宋体" w:cs="宋体"/>
                <w:sz w:val="22"/>
                <w:highlight w:val="none"/>
                <w:lang w:eastAsia="zh-CN"/>
              </w:rPr>
              <w:t>、</w:t>
            </w:r>
            <w:r>
              <w:rPr>
                <w:rFonts w:hint="eastAsia" w:ascii="宋体" w:hAnsi="宋体" w:cs="宋体"/>
                <w:sz w:val="22"/>
                <w:highlight w:val="none"/>
              </w:rPr>
              <w:t>福建动车5日</w:t>
            </w:r>
          </w:p>
        </w:tc>
        <w:tc>
          <w:tcPr>
            <w:tcW w:w="1693" w:type="dxa"/>
            <w:noWrap w:val="0"/>
            <w:vAlign w:val="center"/>
          </w:tcPr>
          <w:p>
            <w:pPr>
              <w:widowControl/>
              <w:spacing w:line="360" w:lineRule="exact"/>
              <w:jc w:val="center"/>
              <w:rPr>
                <w:rFonts w:hint="eastAsia" w:ascii="宋体" w:hAnsi="宋体" w:cs="宋体"/>
                <w:sz w:val="22"/>
                <w:szCs w:val="22"/>
                <w:highlight w:val="none"/>
              </w:rPr>
            </w:pPr>
            <w:r>
              <w:rPr>
                <w:rFonts w:hint="eastAsia" w:ascii="宋体" w:hAnsi="宋体" w:cs="宋体"/>
                <w:sz w:val="22"/>
                <w:highlight w:val="none"/>
              </w:rPr>
              <w:t>四川双飞6日</w:t>
            </w:r>
            <w:r>
              <w:rPr>
                <w:rFonts w:hint="eastAsia" w:ascii="宋体" w:hAnsi="宋体" w:cs="宋体"/>
                <w:kern w:val="0"/>
                <w:sz w:val="22"/>
                <w:highlight w:val="none"/>
              </w:rPr>
              <w:t>湖北</w:t>
            </w:r>
            <w:r>
              <w:rPr>
                <w:rFonts w:hint="eastAsia" w:ascii="宋体" w:hAnsi="宋体" w:cs="宋体"/>
                <w:kern w:val="0"/>
                <w:sz w:val="22"/>
                <w:highlight w:val="none"/>
                <w:lang w:val="zh-CN"/>
              </w:rPr>
              <w:t>双飞</w:t>
            </w:r>
            <w:r>
              <w:rPr>
                <w:rFonts w:hint="eastAsia" w:ascii="宋体" w:hAnsi="宋体" w:cs="宋体"/>
                <w:kern w:val="0"/>
                <w:sz w:val="22"/>
                <w:highlight w:val="none"/>
              </w:rPr>
              <w:t>6</w:t>
            </w:r>
            <w:r>
              <w:rPr>
                <w:rFonts w:hint="eastAsia" w:ascii="宋体" w:hAnsi="宋体" w:cs="宋体"/>
                <w:kern w:val="0"/>
                <w:sz w:val="22"/>
                <w:highlight w:val="none"/>
                <w:lang w:val="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569" w:type="dxa"/>
            <w:gridSpan w:val="6"/>
            <w:noWrap w:val="0"/>
            <w:vAlign w:val="center"/>
          </w:tcPr>
          <w:p>
            <w:pPr>
              <w:widowControl/>
              <w:spacing w:line="360" w:lineRule="exact"/>
              <w:jc w:val="left"/>
              <w:rPr>
                <w:rFonts w:hint="eastAsia" w:ascii="宋体" w:hAnsi="宋体" w:cs="宋体"/>
                <w:sz w:val="22"/>
                <w:highlight w:val="none"/>
              </w:rPr>
            </w:pPr>
            <w:r>
              <w:rPr>
                <w:rFonts w:hint="eastAsia" w:ascii="宋体" w:hAnsi="宋体" w:eastAsia="宋体" w:cs="宋体"/>
                <w:spacing w:val="-6"/>
                <w:sz w:val="22"/>
                <w:highlight w:val="none"/>
                <w:u w:val="single"/>
              </w:rPr>
              <w:t>▲</w:t>
            </w:r>
            <w:r>
              <w:rPr>
                <w:rFonts w:hint="eastAsia" w:ascii="宋体" w:hAnsi="宋体" w:eastAsia="宋体" w:cs="宋体"/>
                <w:bCs/>
                <w:color w:val="auto"/>
                <w:sz w:val="22"/>
                <w:szCs w:val="22"/>
                <w:highlight w:val="none"/>
                <w:u w:val="single"/>
              </w:rPr>
              <w:t>温州市域、浙江省内疗休养合作城市、周边省市疗休养方案需按固定价格3000元/人为标准策划；对口援建城市疗休养方案按固定价格（重庆5300元/人，新疆9300元/人，四川5900元/人，青海6400元/人，湖北4700元/人</w:t>
            </w:r>
            <w:r>
              <w:rPr>
                <w:rFonts w:hint="eastAsia" w:ascii="宋体" w:hAnsi="宋体" w:cs="宋体"/>
                <w:bCs/>
                <w:color w:val="auto"/>
                <w:sz w:val="22"/>
                <w:szCs w:val="22"/>
                <w:highlight w:val="none"/>
                <w:u w:val="single"/>
                <w:lang w:eastAsia="zh-CN"/>
              </w:rPr>
              <w:t>。</w:t>
            </w:r>
            <w:r>
              <w:rPr>
                <w:rFonts w:hint="eastAsia" w:ascii="宋体" w:hAnsi="宋体" w:eastAsia="宋体" w:cs="宋体"/>
                <w:bCs/>
                <w:color w:val="auto"/>
                <w:sz w:val="22"/>
                <w:szCs w:val="22"/>
                <w:highlight w:val="none"/>
                <w:u w:val="single"/>
              </w:rPr>
              <w:t>采购人为其</w:t>
            </w:r>
            <w:r>
              <w:rPr>
                <w:rFonts w:hint="eastAsia" w:ascii="宋体" w:hAnsi="宋体" w:cs="宋体"/>
                <w:bCs/>
                <w:color w:val="auto"/>
                <w:sz w:val="22"/>
                <w:szCs w:val="22"/>
                <w:highlight w:val="none"/>
                <w:u w:val="single"/>
                <w:lang w:eastAsia="zh-CN"/>
              </w:rPr>
              <w:t>教职工</w:t>
            </w:r>
            <w:r>
              <w:rPr>
                <w:rFonts w:hint="eastAsia" w:ascii="宋体" w:hAnsi="宋体" w:eastAsia="宋体" w:cs="宋体"/>
                <w:bCs/>
                <w:color w:val="auto"/>
                <w:sz w:val="22"/>
                <w:szCs w:val="22"/>
                <w:highlight w:val="none"/>
                <w:u w:val="single"/>
              </w:rPr>
              <w:t>支付的所有路线费用不超过3000元/人，超支部分由</w:t>
            </w:r>
            <w:r>
              <w:rPr>
                <w:rFonts w:hint="eastAsia" w:ascii="宋体" w:hAnsi="宋体" w:cs="宋体"/>
                <w:bCs/>
                <w:color w:val="auto"/>
                <w:sz w:val="22"/>
                <w:szCs w:val="22"/>
                <w:highlight w:val="none"/>
                <w:u w:val="single"/>
                <w:lang w:eastAsia="zh-CN"/>
              </w:rPr>
              <w:t>教职工</w:t>
            </w:r>
            <w:r>
              <w:rPr>
                <w:rFonts w:hint="eastAsia" w:ascii="宋体" w:hAnsi="宋体" w:eastAsia="宋体" w:cs="宋体"/>
                <w:bCs/>
                <w:color w:val="auto"/>
                <w:sz w:val="22"/>
                <w:szCs w:val="22"/>
                <w:highlight w:val="none"/>
                <w:u w:val="single"/>
              </w:rPr>
              <w:t>个人补差价（报名时由个人自行交纳）。</w:t>
            </w:r>
          </w:p>
        </w:tc>
      </w:tr>
    </w:tbl>
    <w:p>
      <w:pPr>
        <w:pStyle w:val="27"/>
        <w:jc w:val="left"/>
        <w:rPr>
          <w:rFonts w:ascii="宋体" w:hAnsi="宋体" w:cs="宋体"/>
          <w:sz w:val="22"/>
          <w:szCs w:val="22"/>
          <w:highlight w:val="none"/>
        </w:rPr>
      </w:pPr>
      <w:r>
        <w:rPr>
          <w:rFonts w:hint="eastAsia" w:ascii="宋体" w:hAnsi="宋体" w:cs="宋体"/>
          <w:sz w:val="22"/>
          <w:szCs w:val="22"/>
          <w:highlight w:val="none"/>
          <w:lang w:val="en-US"/>
        </w:rPr>
        <w:t>二、</w:t>
      </w:r>
      <w:r>
        <w:rPr>
          <w:rFonts w:hint="eastAsia" w:ascii="宋体" w:hAnsi="宋体" w:cs="宋体"/>
          <w:sz w:val="22"/>
          <w:szCs w:val="22"/>
          <w:highlight w:val="none"/>
        </w:rPr>
        <w:t>商务</w:t>
      </w:r>
      <w:r>
        <w:rPr>
          <w:rFonts w:hint="eastAsia" w:ascii="宋体" w:hAnsi="宋体" w:cs="宋体"/>
          <w:sz w:val="22"/>
          <w:szCs w:val="22"/>
          <w:highlight w:val="none"/>
          <w:lang w:val="en-US"/>
        </w:rPr>
        <w:t>条款</w:t>
      </w:r>
      <w:r>
        <w:rPr>
          <w:rFonts w:hint="eastAsia" w:ascii="宋体" w:hAnsi="宋体" w:cs="宋体"/>
          <w:sz w:val="22"/>
          <w:szCs w:val="22"/>
          <w:highlight w:val="none"/>
        </w:rPr>
        <w:t>（技术部分里另有注明的以技术部分为准）</w:t>
      </w:r>
    </w:p>
    <w:tbl>
      <w:tblPr>
        <w:tblStyle w:val="31"/>
        <w:tblW w:w="95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9"/>
        <w:gridCol w:w="81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b/>
                <w:bCs/>
                <w:sz w:val="22"/>
                <w:highlight w:val="none"/>
                <w:u w:val="single"/>
              </w:rPr>
            </w:pPr>
            <w:r>
              <w:rPr>
                <w:rFonts w:hint="eastAsia" w:ascii="宋体" w:hAnsi="宋体" w:eastAsia="宋体" w:cs="宋体"/>
                <w:spacing w:val="-6"/>
                <w:sz w:val="22"/>
                <w:highlight w:val="none"/>
                <w:u w:val="single"/>
              </w:rPr>
              <w:t>▲</w:t>
            </w:r>
            <w:r>
              <w:rPr>
                <w:rFonts w:hint="eastAsia" w:ascii="宋体" w:hAnsi="宋体" w:cs="宋体"/>
                <w:b/>
                <w:bCs/>
                <w:sz w:val="22"/>
                <w:highlight w:val="none"/>
                <w:u w:val="single"/>
              </w:rPr>
              <w:t>支付方式</w:t>
            </w:r>
          </w:p>
        </w:tc>
        <w:tc>
          <w:tcPr>
            <w:tcW w:w="8181" w:type="dxa"/>
            <w:tcBorders>
              <w:top w:val="single" w:color="auto" w:sz="4" w:space="0"/>
              <w:left w:val="single" w:color="auto" w:sz="4" w:space="0"/>
              <w:bottom w:val="single" w:color="auto" w:sz="4" w:space="0"/>
              <w:right w:val="single" w:color="auto" w:sz="4" w:space="0"/>
            </w:tcBorders>
            <w:noWrap w:val="0"/>
            <w:vAlign w:val="center"/>
          </w:tcPr>
          <w:p>
            <w:pPr>
              <w:pStyle w:val="12"/>
              <w:spacing w:line="360" w:lineRule="exact"/>
              <w:ind w:left="440" w:hanging="440"/>
              <w:rPr>
                <w:rFonts w:hint="eastAsia" w:ascii="宋体" w:hAnsi="宋体" w:cs="宋体"/>
                <w:sz w:val="22"/>
                <w:szCs w:val="22"/>
                <w:highlight w:val="none"/>
                <w:u w:val="single"/>
              </w:rPr>
            </w:pPr>
            <w:r>
              <w:rPr>
                <w:rFonts w:hint="eastAsia" w:ascii="宋体" w:hAnsi="宋体" w:cs="宋体"/>
                <w:sz w:val="22"/>
                <w:szCs w:val="22"/>
                <w:highlight w:val="none"/>
                <w:u w:val="single"/>
              </w:rPr>
              <w:t>1、履约保证金支付</w:t>
            </w:r>
          </w:p>
          <w:p>
            <w:pPr>
              <w:pStyle w:val="12"/>
              <w:spacing w:line="360" w:lineRule="exact"/>
              <w:ind w:left="0" w:firstLine="0" w:firstLineChars="0"/>
              <w:rPr>
                <w:rFonts w:hint="eastAsia" w:ascii="宋体" w:hAnsi="宋体" w:cs="宋体"/>
                <w:sz w:val="22"/>
                <w:szCs w:val="22"/>
                <w:highlight w:val="none"/>
                <w:u w:val="single"/>
              </w:rPr>
            </w:pPr>
            <w:r>
              <w:rPr>
                <w:rFonts w:hint="eastAsia" w:ascii="宋体" w:hAnsi="宋体" w:cs="宋体"/>
                <w:sz w:val="22"/>
                <w:szCs w:val="22"/>
                <w:highlight w:val="none"/>
                <w:u w:val="single"/>
              </w:rPr>
              <w:t>合同签订后，乙方5个工作日内支付</w:t>
            </w:r>
            <w:r>
              <w:rPr>
                <w:rFonts w:hint="eastAsia" w:ascii="宋体" w:hAnsi="宋体" w:cs="宋体"/>
                <w:sz w:val="22"/>
                <w:szCs w:val="22"/>
                <w:highlight w:val="none"/>
                <w:u w:val="single"/>
                <w:lang w:eastAsia="zh-CN"/>
              </w:rPr>
              <w:t>预算</w:t>
            </w:r>
            <w:r>
              <w:rPr>
                <w:rFonts w:hint="eastAsia" w:ascii="宋体" w:hAnsi="宋体" w:cs="宋体"/>
                <w:sz w:val="22"/>
                <w:szCs w:val="22"/>
                <w:highlight w:val="none"/>
                <w:u w:val="single"/>
              </w:rPr>
              <w:t>金额的1%或保函作为履约保证金，履约保证金自项目验收合格之日起无质量问题，甲方按程序在7个工作日内无息退还或退还保函。</w:t>
            </w:r>
          </w:p>
          <w:p>
            <w:pPr>
              <w:pStyle w:val="12"/>
              <w:spacing w:line="360" w:lineRule="exact"/>
              <w:ind w:left="440" w:hanging="440"/>
              <w:rPr>
                <w:rFonts w:hint="eastAsia" w:ascii="宋体" w:hAnsi="宋体" w:cs="宋体"/>
                <w:sz w:val="22"/>
                <w:highlight w:val="none"/>
                <w:u w:val="single"/>
              </w:rPr>
            </w:pPr>
            <w:r>
              <w:rPr>
                <w:rFonts w:hint="eastAsia" w:ascii="宋体" w:hAnsi="宋体" w:cs="宋体"/>
                <w:sz w:val="22"/>
                <w:highlight w:val="none"/>
                <w:u w:val="single"/>
              </w:rPr>
              <w:t>2、合同金额结算及支付方式：</w:t>
            </w:r>
          </w:p>
          <w:p>
            <w:pPr>
              <w:pStyle w:val="12"/>
              <w:spacing w:line="360" w:lineRule="exact"/>
              <w:ind w:left="0" w:firstLine="0" w:firstLineChars="0"/>
              <w:rPr>
                <w:rFonts w:ascii="宋体" w:hAnsi="宋体" w:cs="宋体"/>
                <w:sz w:val="22"/>
                <w:highlight w:val="none"/>
                <w:u w:val="single"/>
              </w:rPr>
            </w:pPr>
            <w:r>
              <w:rPr>
                <w:rFonts w:hint="eastAsia" w:ascii="宋体" w:hAnsi="宋体" w:cs="宋体"/>
                <w:sz w:val="22"/>
                <w:szCs w:val="22"/>
                <w:highlight w:val="none"/>
                <w:u w:val="single"/>
              </w:rPr>
              <w:t>合同签订后，甲方</w:t>
            </w:r>
            <w:r>
              <w:rPr>
                <w:rFonts w:hint="eastAsia" w:ascii="宋体" w:hAnsi="宋体" w:cs="宋体"/>
                <w:sz w:val="22"/>
                <w:szCs w:val="22"/>
                <w:highlight w:val="none"/>
                <w:u w:val="single"/>
                <w:lang w:eastAsia="zh-CN"/>
              </w:rPr>
              <w:t>收到乙方出具</w:t>
            </w:r>
            <w:r>
              <w:rPr>
                <w:rFonts w:hint="eastAsia" w:ascii="宋体" w:hAnsi="宋体" w:cs="宋体"/>
                <w:sz w:val="22"/>
                <w:szCs w:val="22"/>
                <w:highlight w:val="none"/>
                <w:u w:val="single"/>
              </w:rPr>
              <w:t>的</w:t>
            </w:r>
            <w:r>
              <w:rPr>
                <w:rFonts w:hint="eastAsia" w:ascii="宋体" w:hAnsi="宋体" w:cs="宋体"/>
                <w:sz w:val="22"/>
                <w:szCs w:val="22"/>
                <w:highlight w:val="none"/>
                <w:u w:val="single"/>
                <w:lang w:eastAsia="zh-CN"/>
              </w:rPr>
              <w:t>预算</w:t>
            </w:r>
            <w:r>
              <w:rPr>
                <w:rFonts w:hint="eastAsia" w:ascii="宋体" w:hAnsi="宋体" w:cs="宋体"/>
                <w:sz w:val="22"/>
                <w:szCs w:val="22"/>
                <w:highlight w:val="none"/>
                <w:u w:val="single"/>
              </w:rPr>
              <w:t>金额</w:t>
            </w:r>
            <w:r>
              <w:rPr>
                <w:rFonts w:hint="eastAsia" w:ascii="宋体" w:hAnsi="宋体" w:cs="宋体"/>
                <w:sz w:val="22"/>
                <w:szCs w:val="22"/>
                <w:highlight w:val="none"/>
                <w:u w:val="single"/>
                <w:lang w:val="en-US" w:eastAsia="zh-CN"/>
              </w:rPr>
              <w:t>4</w:t>
            </w:r>
            <w:r>
              <w:rPr>
                <w:rFonts w:hint="eastAsia" w:ascii="宋体" w:hAnsi="宋体" w:cs="宋体"/>
                <w:sz w:val="22"/>
                <w:szCs w:val="22"/>
                <w:highlight w:val="none"/>
                <w:u w:val="single"/>
              </w:rPr>
              <w:t>0%保函</w:t>
            </w:r>
            <w:r>
              <w:rPr>
                <w:rFonts w:hint="eastAsia" w:ascii="宋体" w:hAnsi="宋体" w:cs="宋体"/>
                <w:sz w:val="22"/>
                <w:szCs w:val="22"/>
                <w:highlight w:val="none"/>
                <w:u w:val="single"/>
                <w:lang w:eastAsia="zh-CN"/>
              </w:rPr>
              <w:t>和</w:t>
            </w:r>
            <w:r>
              <w:rPr>
                <w:rFonts w:hint="eastAsia" w:ascii="宋体" w:hAnsi="宋体" w:cs="宋体"/>
                <w:sz w:val="22"/>
                <w:szCs w:val="22"/>
                <w:highlight w:val="none"/>
                <w:u w:val="single"/>
              </w:rPr>
              <w:t>具备实施条件后</w:t>
            </w:r>
            <w:r>
              <w:rPr>
                <w:rFonts w:hint="eastAsia" w:ascii="宋体" w:hAnsi="宋体" w:cs="宋体"/>
                <w:sz w:val="22"/>
                <w:szCs w:val="22"/>
                <w:highlight w:val="none"/>
                <w:u w:val="single"/>
                <w:lang w:val="en-US" w:eastAsia="zh-CN"/>
              </w:rPr>
              <w:t>7个工作</w:t>
            </w:r>
            <w:r>
              <w:rPr>
                <w:rFonts w:hint="eastAsia" w:ascii="宋体" w:hAnsi="宋体" w:cs="宋体"/>
                <w:sz w:val="22"/>
                <w:szCs w:val="22"/>
                <w:highlight w:val="none"/>
                <w:u w:val="single"/>
              </w:rPr>
              <w:t>日内，向乙方支付</w:t>
            </w:r>
            <w:r>
              <w:rPr>
                <w:rFonts w:hint="eastAsia" w:ascii="宋体" w:hAnsi="宋体" w:cs="宋体"/>
                <w:sz w:val="22"/>
                <w:szCs w:val="22"/>
                <w:highlight w:val="none"/>
                <w:u w:val="single"/>
                <w:lang w:eastAsia="zh-CN"/>
              </w:rPr>
              <w:t>预算金额</w:t>
            </w:r>
            <w:r>
              <w:rPr>
                <w:rFonts w:hint="eastAsia" w:ascii="宋体" w:hAnsi="宋体" w:cs="宋体"/>
                <w:sz w:val="22"/>
                <w:szCs w:val="22"/>
                <w:highlight w:val="none"/>
                <w:u w:val="single"/>
                <w:lang w:val="en-US" w:eastAsia="zh-CN"/>
              </w:rPr>
              <w:t>4</w:t>
            </w:r>
            <w:r>
              <w:rPr>
                <w:rFonts w:hint="eastAsia" w:ascii="宋体" w:hAnsi="宋体" w:cs="宋体"/>
                <w:sz w:val="22"/>
                <w:szCs w:val="22"/>
                <w:highlight w:val="none"/>
                <w:u w:val="single"/>
              </w:rPr>
              <w:t>0%的预付款；乙方完成全部服务，甲方验收合格并收到乙方出具增值税发票后7个工作日内，甲方</w:t>
            </w:r>
            <w:r>
              <w:rPr>
                <w:rFonts w:hint="eastAsia" w:ascii="宋体" w:hAnsi="宋体" w:eastAsia="宋体" w:cs="宋体"/>
                <w:color w:val="auto"/>
                <w:sz w:val="22"/>
                <w:szCs w:val="22"/>
                <w:highlight w:val="none"/>
                <w:u w:val="single"/>
                <w:lang w:eastAsia="zh-CN"/>
              </w:rPr>
              <w:t>支付剩余的合同款并退还保函</w:t>
            </w:r>
            <w:r>
              <w:rPr>
                <w:rFonts w:hint="eastAsia" w:ascii="宋体" w:hAnsi="宋体" w:cs="宋体"/>
                <w:sz w:val="22"/>
                <w:szCs w:val="22"/>
                <w:highlight w:val="none"/>
                <w:u w:val="single"/>
              </w:rPr>
              <w:t>。</w:t>
            </w:r>
            <w:r>
              <w:rPr>
                <w:rFonts w:hint="eastAsia" w:ascii="宋体" w:hAnsi="宋体" w:cs="宋体"/>
                <w:color w:val="auto"/>
                <w:sz w:val="22"/>
                <w:szCs w:val="22"/>
                <w:highlight w:val="none"/>
                <w:u w:val="single"/>
                <w:lang w:val="en-US" w:eastAsia="zh-CN"/>
              </w:rPr>
              <w:t>注：</w:t>
            </w:r>
            <w:r>
              <w:rPr>
                <w:rFonts w:hint="eastAsia" w:ascii="宋体" w:hAnsi="宋体" w:eastAsia="宋体" w:cs="宋体"/>
                <w:color w:val="auto"/>
                <w:sz w:val="22"/>
                <w:szCs w:val="22"/>
                <w:highlight w:val="none"/>
                <w:u w:val="single"/>
                <w:lang w:eastAsia="zh-CN"/>
              </w:rPr>
              <w:t>在</w:t>
            </w:r>
            <w:r>
              <w:rPr>
                <w:rFonts w:hint="eastAsia" w:ascii="宋体" w:hAnsi="宋体" w:eastAsia="宋体" w:cs="宋体"/>
                <w:color w:val="auto"/>
                <w:sz w:val="22"/>
                <w:szCs w:val="22"/>
                <w:highlight w:val="none"/>
                <w:u w:val="single"/>
                <w:lang w:val="en-US" w:eastAsia="zh-CN"/>
              </w:rPr>
              <w:t>合同签订时，乙方明确表示无需预付款，乙方完成全部服务，甲方验收合格并收到乙方出具增值税发票后7个工作日内，甲方支付合同全款。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b/>
                <w:bCs/>
                <w:sz w:val="22"/>
                <w:highlight w:val="none"/>
              </w:rPr>
            </w:pPr>
            <w:r>
              <w:rPr>
                <w:rFonts w:hint="eastAsia" w:ascii="宋体" w:hAnsi="宋体" w:cs="宋体"/>
                <w:b/>
                <w:bCs/>
                <w:sz w:val="22"/>
                <w:highlight w:val="none"/>
              </w:rPr>
              <w:t>服务时间</w:t>
            </w:r>
          </w:p>
        </w:tc>
        <w:tc>
          <w:tcPr>
            <w:tcW w:w="8181"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exact"/>
              <w:rPr>
                <w:rFonts w:ascii="宋体" w:hAnsi="宋体" w:cs="宋体"/>
                <w:sz w:val="22"/>
                <w:highlight w:val="none"/>
                <w:lang w:val="en-US" w:eastAsia="zh-CN"/>
              </w:rPr>
            </w:pPr>
            <w:r>
              <w:rPr>
                <w:rFonts w:hint="eastAsia" w:ascii="宋体" w:hAnsi="宋体" w:cs="宋体"/>
                <w:bCs/>
                <w:sz w:val="22"/>
                <w:szCs w:val="22"/>
                <w:highlight w:val="none"/>
                <w:lang w:val="en-US" w:eastAsia="zh-CN"/>
              </w:rPr>
              <w:t>合同签订之日起至2023年12月3日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b/>
                <w:bCs/>
                <w:sz w:val="22"/>
                <w:highlight w:val="none"/>
              </w:rPr>
            </w:pPr>
            <w:r>
              <w:rPr>
                <w:rFonts w:hint="eastAsia" w:ascii="宋体" w:hAnsi="宋体" w:cs="宋体"/>
                <w:b/>
                <w:bCs/>
                <w:sz w:val="22"/>
                <w:highlight w:val="none"/>
              </w:rPr>
              <w:t>服务地点</w:t>
            </w:r>
          </w:p>
        </w:tc>
        <w:tc>
          <w:tcPr>
            <w:tcW w:w="8181"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exact"/>
              <w:rPr>
                <w:rFonts w:ascii="宋体" w:hAnsi="宋体" w:cs="宋体"/>
                <w:sz w:val="22"/>
                <w:highlight w:val="none"/>
                <w:lang w:val="en-US" w:eastAsia="zh-CN"/>
              </w:rPr>
            </w:pPr>
            <w:r>
              <w:rPr>
                <w:rFonts w:hint="eastAsia" w:ascii="宋体" w:hAnsi="宋体" w:cs="宋体"/>
                <w:sz w:val="22"/>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b/>
                <w:bCs/>
                <w:sz w:val="22"/>
                <w:highlight w:val="none"/>
              </w:rPr>
            </w:pPr>
            <w:r>
              <w:rPr>
                <w:rFonts w:hint="eastAsia" w:ascii="宋体" w:hAnsi="宋体" w:cs="宋体"/>
                <w:b/>
                <w:bCs/>
                <w:spacing w:val="-6"/>
                <w:sz w:val="22"/>
                <w:highlight w:val="none"/>
              </w:rPr>
              <w:t>验收标准</w:t>
            </w:r>
          </w:p>
        </w:tc>
        <w:tc>
          <w:tcPr>
            <w:tcW w:w="81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 w:val="22"/>
                <w:highlight w:val="none"/>
              </w:rPr>
            </w:pPr>
            <w:r>
              <w:rPr>
                <w:rFonts w:hint="eastAsia" w:ascii="宋体" w:hAnsi="宋体" w:cs="宋体"/>
                <w:sz w:val="22"/>
                <w:highlight w:val="none"/>
              </w:rPr>
              <w:t>按满意度调查表确认（满意度调查表详见附表一）</w:t>
            </w:r>
          </w:p>
        </w:tc>
      </w:tr>
    </w:tbl>
    <w:p>
      <w:pPr>
        <w:keepNext w:val="0"/>
        <w:keepLines w:val="0"/>
        <w:pageBreakBefore w:val="0"/>
        <w:widowControl w:val="0"/>
        <w:kinsoku/>
        <w:wordWrap/>
        <w:overflowPunct/>
        <w:topLinePunct w:val="0"/>
        <w:autoSpaceDE/>
        <w:bidi w:val="0"/>
        <w:adjustRightInd/>
        <w:snapToGrid w:val="0"/>
        <w:spacing w:line="360" w:lineRule="exact"/>
        <w:textAlignment w:val="baseline"/>
        <w:outlineLvl w:val="9"/>
        <w:rPr>
          <w:rStyle w:val="74"/>
          <w:rFonts w:hint="eastAsia" w:ascii="宋体" w:hAnsi="宋体" w:eastAsia="宋体" w:cs="宋体"/>
          <w:bCs/>
          <w:color w:val="auto"/>
          <w:sz w:val="22"/>
          <w:szCs w:val="22"/>
          <w:highlight w:val="none"/>
        </w:rPr>
      </w:pPr>
      <w:r>
        <w:rPr>
          <w:rStyle w:val="74"/>
          <w:rFonts w:hint="eastAsia" w:ascii="宋体" w:hAnsi="宋体" w:eastAsia="宋体" w:cs="宋体"/>
          <w:bCs/>
          <w:color w:val="auto"/>
          <w:sz w:val="22"/>
          <w:szCs w:val="22"/>
          <w:highlight w:val="none"/>
        </w:rPr>
        <w:t>三、服务标准</w:t>
      </w:r>
    </w:p>
    <w:p>
      <w:pPr>
        <w:keepNext w:val="0"/>
        <w:keepLines w:val="0"/>
        <w:pageBreakBefore w:val="0"/>
        <w:widowControl w:val="0"/>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lang w:val="en-US" w:eastAsia="zh-CN"/>
        </w:rPr>
        <w:t>1、</w:t>
      </w:r>
      <w:r>
        <w:rPr>
          <w:rFonts w:hint="eastAsia" w:ascii="宋体" w:hAnsi="宋体" w:eastAsia="宋体" w:cs="宋体"/>
          <w:sz w:val="22"/>
          <w:highlight w:val="none"/>
        </w:rPr>
        <w:t>实施原则（标项一、标项二、标项三适用）：</w:t>
      </w:r>
    </w:p>
    <w:p>
      <w:pPr>
        <w:keepNext w:val="0"/>
        <w:keepLines w:val="0"/>
        <w:pageBreakBefore w:val="0"/>
        <w:widowControl w:val="0"/>
        <w:kinsoku/>
        <w:wordWrap/>
        <w:overflowPunct/>
        <w:topLinePunct w:val="0"/>
        <w:autoSpaceDE/>
        <w:autoSpaceDN w:val="0"/>
        <w:bidi w:val="0"/>
        <w:adjustRightInd/>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为维护教职工的劳动保护和休息休养权、贯彻《健康中国2030规划纲要》，</w:t>
      </w:r>
      <w:r>
        <w:rPr>
          <w:rFonts w:hint="eastAsia" w:ascii="宋体" w:hAnsi="宋体" w:eastAsia="宋体" w:cs="宋体"/>
          <w:sz w:val="22"/>
          <w:highlight w:val="none"/>
          <w:lang w:eastAsia="zh-CN"/>
        </w:rPr>
        <w:t>温州理工学院</w:t>
      </w:r>
      <w:r>
        <w:rPr>
          <w:rFonts w:hint="eastAsia" w:ascii="宋体" w:hAnsi="宋体" w:eastAsia="宋体" w:cs="宋体"/>
          <w:sz w:val="22"/>
          <w:highlight w:val="none"/>
        </w:rPr>
        <w:t>依法履行好党和政府赋予工会开展教职工疗休养的社会职责，保护和促进我市广大教职工身心健康，让教职工愉悦身心，休养生息。</w:t>
      </w:r>
    </w:p>
    <w:p>
      <w:pPr>
        <w:keepNext w:val="0"/>
        <w:keepLines w:val="0"/>
        <w:pageBreakBefore w:val="0"/>
        <w:widowControl w:val="0"/>
        <w:kinsoku/>
        <w:wordWrap/>
        <w:overflowPunct/>
        <w:topLinePunct w:val="0"/>
        <w:autoSpaceDE/>
        <w:autoSpaceDN w:val="0"/>
        <w:bidi w:val="0"/>
        <w:adjustRightInd/>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职工疗休养以休息休养为主，鼓励适当安排健康讲座、文体活动和就近参观学习、乡村体验等活动，将疗休养活动与爱国主义教育、提升职工素质结合起来。</w:t>
      </w:r>
    </w:p>
    <w:p>
      <w:pPr>
        <w:keepNext w:val="0"/>
        <w:keepLines w:val="0"/>
        <w:pageBreakBefore w:val="0"/>
        <w:widowControl w:val="0"/>
        <w:kinsoku/>
        <w:wordWrap/>
        <w:overflowPunct/>
        <w:topLinePunct w:val="0"/>
        <w:autoSpaceDE/>
        <w:autoSpaceDN w:val="0"/>
        <w:bidi w:val="0"/>
        <w:adjustRightInd/>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职工疗休养目的地：优先选择在温州市域内开展疗休养。鼓励教职工到我省山区26县开展疗休养活动，助力乡村振兴和山区26县跨越发展。在疫情防控许可前提下，可按照规定组织到邻省、对口帮扶（援助、合作）地区开展职工疗休养活动。严格控制跨省疗养人数，组织跨省疗养教职工人数不超过当年本单位参加疗休养职工总数的三分之一，跨省疗休养参加对象三年内不重复安排。</w:t>
      </w:r>
    </w:p>
    <w:p>
      <w:pPr>
        <w:keepNext w:val="0"/>
        <w:keepLines w:val="0"/>
        <w:pageBreakBefore w:val="0"/>
        <w:widowControl w:val="0"/>
        <w:kinsoku/>
        <w:wordWrap/>
        <w:overflowPunct/>
        <w:topLinePunct w:val="0"/>
        <w:autoSpaceDE/>
        <w:autoSpaceDN w:val="0"/>
        <w:bidi w:val="0"/>
        <w:adjustRightInd/>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教职工可携带家属，但教职工家属的全部费用由教职工自行负责，不在此项目的预算范围内。</w:t>
      </w:r>
    </w:p>
    <w:p>
      <w:pPr>
        <w:keepNext w:val="0"/>
        <w:keepLines w:val="0"/>
        <w:pageBreakBefore w:val="0"/>
        <w:widowControl w:val="0"/>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lang w:val="en-US" w:eastAsia="zh-CN"/>
        </w:rPr>
        <w:t>2</w:t>
      </w:r>
      <w:r>
        <w:rPr>
          <w:rFonts w:hint="eastAsia" w:ascii="宋体" w:hAnsi="宋体" w:eastAsia="宋体" w:cs="宋体"/>
          <w:sz w:val="22"/>
          <w:highlight w:val="none"/>
        </w:rPr>
        <w:t>、项目具体线路安排及要求（标项一、标项二、标项三适用）：</w:t>
      </w:r>
    </w:p>
    <w:p>
      <w:pPr>
        <w:keepNext w:val="0"/>
        <w:keepLines w:val="0"/>
        <w:pageBreakBefore w:val="0"/>
        <w:widowControl w:val="0"/>
        <w:kinsoku/>
        <w:wordWrap/>
        <w:overflowPunct/>
        <w:topLinePunct w:val="0"/>
        <w:autoSpaceDE/>
        <w:autoSpaceDN w:val="0"/>
        <w:bidi w:val="0"/>
        <w:adjustRightInd/>
        <w:spacing w:line="360" w:lineRule="exact"/>
        <w:ind w:firstLine="440" w:firstLineChars="200"/>
        <w:rPr>
          <w:rFonts w:hint="eastAsia" w:ascii="宋体" w:hAnsi="宋体" w:eastAsia="宋体" w:cs="宋体"/>
          <w:sz w:val="22"/>
          <w:highlight w:val="none"/>
          <w:lang w:val="zh-CN"/>
        </w:rPr>
      </w:pPr>
      <w:r>
        <w:rPr>
          <w:rFonts w:hint="eastAsia" w:ascii="宋体" w:hAnsi="宋体" w:eastAsia="宋体" w:cs="宋体"/>
          <w:sz w:val="22"/>
          <w:highlight w:val="none"/>
          <w:lang w:val="zh-CN"/>
        </w:rPr>
        <w:t>（</w:t>
      </w:r>
      <w:r>
        <w:rPr>
          <w:rFonts w:hint="eastAsia" w:ascii="宋体" w:hAnsi="宋体" w:eastAsia="宋体" w:cs="宋体"/>
          <w:sz w:val="22"/>
          <w:highlight w:val="none"/>
        </w:rPr>
        <w:t>1</w:t>
      </w:r>
      <w:r>
        <w:rPr>
          <w:rFonts w:hint="eastAsia" w:ascii="宋体" w:hAnsi="宋体" w:eastAsia="宋体" w:cs="宋体"/>
          <w:sz w:val="22"/>
          <w:highlight w:val="none"/>
          <w:lang w:val="zh-CN"/>
        </w:rPr>
        <w:t>）教职工疗休养标段划分及线路安排（含在途时间）见附表二。</w:t>
      </w:r>
    </w:p>
    <w:p>
      <w:pPr>
        <w:keepNext w:val="0"/>
        <w:keepLines w:val="0"/>
        <w:pageBreakBefore w:val="0"/>
        <w:widowControl w:val="0"/>
        <w:kinsoku/>
        <w:wordWrap/>
        <w:overflowPunct/>
        <w:topLinePunct w:val="0"/>
        <w:autoSpaceDE/>
        <w:autoSpaceDN w:val="0"/>
        <w:bidi w:val="0"/>
        <w:adjustRightInd/>
        <w:spacing w:line="360" w:lineRule="exact"/>
        <w:ind w:firstLine="440" w:firstLineChars="200"/>
        <w:rPr>
          <w:rFonts w:hint="eastAsia" w:ascii="宋体" w:hAnsi="宋体" w:eastAsia="宋体" w:cs="宋体"/>
          <w:sz w:val="22"/>
          <w:highlight w:val="none"/>
          <w:lang w:val="zh-CN"/>
        </w:rPr>
      </w:pPr>
      <w:r>
        <w:rPr>
          <w:rFonts w:hint="eastAsia" w:ascii="宋体" w:hAnsi="宋体" w:eastAsia="宋体" w:cs="宋体"/>
          <w:sz w:val="22"/>
          <w:highlight w:val="none"/>
          <w:lang w:val="zh-CN"/>
        </w:rPr>
        <w:t>（</w:t>
      </w:r>
      <w:r>
        <w:rPr>
          <w:rFonts w:hint="eastAsia" w:ascii="宋体" w:hAnsi="宋体" w:eastAsia="宋体" w:cs="宋体"/>
          <w:sz w:val="22"/>
          <w:highlight w:val="none"/>
        </w:rPr>
        <w:t>2</w:t>
      </w:r>
      <w:r>
        <w:rPr>
          <w:rFonts w:hint="eastAsia" w:ascii="宋体" w:hAnsi="宋体" w:eastAsia="宋体" w:cs="宋体"/>
          <w:sz w:val="22"/>
          <w:highlight w:val="none"/>
          <w:lang w:val="zh-CN"/>
        </w:rPr>
        <w:t>）本次招标分</w:t>
      </w:r>
      <w:r>
        <w:rPr>
          <w:rFonts w:hint="eastAsia" w:ascii="宋体" w:hAnsi="宋体" w:eastAsia="宋体" w:cs="宋体"/>
          <w:sz w:val="22"/>
          <w:highlight w:val="none"/>
          <w:lang w:eastAsia="zh-CN"/>
        </w:rPr>
        <w:t>三</w:t>
      </w:r>
      <w:r>
        <w:rPr>
          <w:rFonts w:hint="eastAsia" w:ascii="宋体" w:hAnsi="宋体" w:eastAsia="宋体" w:cs="宋体"/>
          <w:sz w:val="22"/>
          <w:highlight w:val="none"/>
          <w:lang w:val="zh-CN"/>
        </w:rPr>
        <w:t>个标项，每个标项具体人数不固定，按照参加每个线路的实际人数结算，投标人须自行承担投标风险。教职工疗休养按合同约定的线路、服务标准和其他要求，根据疗休养教职工实际报名的线路组团实施，按照实际组团的人次结算。</w:t>
      </w:r>
    </w:p>
    <w:p>
      <w:pPr>
        <w:keepNext w:val="0"/>
        <w:keepLines w:val="0"/>
        <w:pageBreakBefore w:val="0"/>
        <w:widowControl w:val="0"/>
        <w:kinsoku/>
        <w:wordWrap/>
        <w:overflowPunct/>
        <w:topLinePunct w:val="0"/>
        <w:autoSpaceDE/>
        <w:bidi w:val="0"/>
        <w:adjustRightInd/>
        <w:snapToGrid w:val="0"/>
        <w:spacing w:line="36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lang w:val="zh-CN"/>
        </w:rPr>
        <w:t>（</w:t>
      </w:r>
      <w:r>
        <w:rPr>
          <w:rFonts w:hint="eastAsia" w:ascii="宋体" w:hAnsi="宋体" w:eastAsia="宋体" w:cs="宋体"/>
          <w:sz w:val="22"/>
          <w:highlight w:val="none"/>
        </w:rPr>
        <w:t>3</w:t>
      </w:r>
      <w:r>
        <w:rPr>
          <w:rFonts w:hint="eastAsia" w:ascii="宋体" w:hAnsi="宋体" w:eastAsia="宋体" w:cs="宋体"/>
          <w:sz w:val="22"/>
          <w:highlight w:val="none"/>
          <w:lang w:val="zh-CN"/>
        </w:rPr>
        <w:t>）</w:t>
      </w:r>
      <w:r>
        <w:rPr>
          <w:rFonts w:hint="eastAsia" w:ascii="宋体" w:hAnsi="宋体" w:eastAsia="宋体" w:cs="宋体"/>
          <w:b/>
          <w:bCs/>
          <w:sz w:val="22"/>
          <w:highlight w:val="none"/>
          <w:lang w:val="zh-CN"/>
        </w:rPr>
        <w:t>本次采购为</w:t>
      </w:r>
      <w:r>
        <w:rPr>
          <w:rFonts w:hint="eastAsia" w:ascii="宋体" w:hAnsi="宋体" w:eastAsia="宋体" w:cs="宋体"/>
          <w:b/>
          <w:bCs/>
          <w:sz w:val="22"/>
          <w:highlight w:val="none"/>
          <w:u w:val="none"/>
        </w:rPr>
        <w:t>固定价格形式报价</w:t>
      </w:r>
      <w:r>
        <w:rPr>
          <w:rFonts w:hint="eastAsia" w:ascii="宋体" w:hAnsi="宋体" w:eastAsia="宋体" w:cs="宋体"/>
          <w:sz w:val="22"/>
          <w:highlight w:val="none"/>
          <w:u w:val="none"/>
        </w:rPr>
        <w:t>（温州市域、浙江省内疗休养合作城市、周边省市疗休养方案需按固定价格3000元/人为标准策划；对口援建城市疗休养方案按固定价格（重庆5300元/人，新疆9300元/人，四川5900元/人，青海6400元/人，湖北4700元/人）的标准策划，超出固定价格3000元/人部分费用由参加疗休养人员承担，中标人自行向参加疗休养人员收取。）</w:t>
      </w:r>
    </w:p>
    <w:p>
      <w:pPr>
        <w:keepNext w:val="0"/>
        <w:keepLines w:val="0"/>
        <w:pageBreakBefore w:val="0"/>
        <w:widowControl w:val="0"/>
        <w:kinsoku/>
        <w:wordWrap/>
        <w:overflowPunct/>
        <w:topLinePunct w:val="0"/>
        <w:autoSpaceDE/>
        <w:autoSpaceDN w:val="0"/>
        <w:bidi w:val="0"/>
        <w:adjustRightInd/>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具体要求如下：</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rPr>
        <w:t>线路：在实施阶段，教职工可任选温州市域、浙江省内疗休养合作城市、周边省市或对口援建城市某一线路。投标人应考虑教职工疗休养的公平性、均衡性（即保证温州市域任一线路的疗休养标准基本一致、浙江省内疗休养合作城市任一线路的疗休养标准基本一致、周边省市任一线路的疗休养标准基本一致、对口援建城市任一线路的疗休养标准基本一致），自行安排上述线路的具体方案。中标人的方案应获得采购人的认可，采购人保留对中标人的某一线路指定其他方案的权利。</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rPr>
        <w:t>交通：具体见附表二。含当地旅游车、温州指定地点到疗养地点接送、景区交通等全过程交通出行工具。</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rPr>
        <w:t>住宿：住宿标准为两人一间（温州市域范围内一人一间），主要安排标准间。要求4星或相应标准，交通便利、环境较好、干净卫生、服务优质，有较强的接待能力，同时配套设施齐全、使用安全方便</w:t>
      </w:r>
      <w:r>
        <w:rPr>
          <w:rFonts w:hint="eastAsia" w:ascii="宋体" w:hAnsi="宋体" w:eastAsia="宋体" w:cs="宋体"/>
          <w:b/>
          <w:bCs/>
          <w:sz w:val="22"/>
          <w:highlight w:val="none"/>
        </w:rPr>
        <w:t>。</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rPr>
        <w:t>时间：具体见附表二。组团按采购人计划实施，具体出团及返回时间根据投标人编制并获得采购人认可的方案为准。疗休养期间采购人会尽量避开双休日。</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b/>
          <w:bCs/>
          <w:sz w:val="22"/>
          <w:highlight w:val="none"/>
        </w:rPr>
      </w:pPr>
      <w:r>
        <w:rPr>
          <w:rFonts w:hint="eastAsia" w:ascii="宋体" w:hAnsi="宋体" w:eastAsia="宋体" w:cs="宋体"/>
          <w:sz w:val="22"/>
          <w:highlight w:val="none"/>
        </w:rPr>
        <w:t>餐标：早餐自助，中、晚餐全部桌餐。浙江省内（含温州市域）每天正餐餐标不低于150元/人·天，周边省份每天正餐餐标不低于120元/人·天，对口援建城市每天正餐餐标不低于100元/人·天，晚餐配备饮料，食物要求新鲜、安全，适合老师口味。要求菜品多样。餐厅交通便利，环境较好。具体餐标以投标人编制并获得采购人认可的方案为准。</w:t>
      </w:r>
      <w:r>
        <w:rPr>
          <w:rFonts w:hint="eastAsia" w:ascii="宋体" w:hAnsi="宋体" w:eastAsia="宋体" w:cs="宋体"/>
          <w:b/>
          <w:bCs/>
          <w:sz w:val="22"/>
          <w:highlight w:val="none"/>
        </w:rPr>
        <w:t>疗休养最后一天的晚餐不包含在投标报价中，该部分餐费均摊到前几天的正餐中，并在投标文件中</w:t>
      </w:r>
      <w:r>
        <w:rPr>
          <w:rFonts w:hint="eastAsia" w:ascii="宋体" w:hAnsi="宋体" w:eastAsia="宋体" w:cs="宋体"/>
          <w:b/>
          <w:bCs/>
          <w:sz w:val="22"/>
          <w:highlight w:val="none"/>
          <w:lang w:val="en-US" w:eastAsia="zh-CN"/>
        </w:rPr>
        <w:t>以“原正餐餐标金额+均摊餐费金额”的形式填写最终正餐餐标金额。</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rPr>
        <w:t>景点：包含线路安排的主要景区，至少包括一处4A级及以上景点，其他沿途景点或周边景点以投标人编制并获得采购人认可的方案为准，</w:t>
      </w:r>
      <w:r>
        <w:rPr>
          <w:rFonts w:hint="eastAsia" w:ascii="宋体" w:hAnsi="宋体" w:eastAsia="宋体" w:cs="宋体"/>
          <w:b/>
          <w:sz w:val="22"/>
          <w:highlight w:val="none"/>
        </w:rPr>
        <w:t>不得安排购物点</w:t>
      </w:r>
      <w:r>
        <w:rPr>
          <w:rFonts w:hint="eastAsia" w:ascii="宋体" w:hAnsi="宋体" w:eastAsia="宋体" w:cs="宋体"/>
          <w:sz w:val="22"/>
          <w:highlight w:val="none"/>
        </w:rPr>
        <w:t>。景点门票包括大门票和景点内必游的小门票，以及索道（如有）、电瓶车（如有）、游船（如有）等，自费的娱乐项目除外。方案应针对每条线路具体编制，并列出每个参观景点及计划参观时间等。</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rPr>
        <w:t>服务人员：设本项目服务专员（项目负责人），要求具备一定的资历资格和丰富的从业经验，加强双方沟通，根据采购人要求及时调整方案并获得采购人认可，应急处理相关事务等。具体出团全程（高铁除外）配导游（地陪），要求不少于三年导游经验，引导、讲解景点山水、典故等，解决旅途中可能出现的突发事件，并给予游客食、宿、行等方面的帮助。</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rPr>
        <w:t>导游：全程陪同及当地优秀资质公司有导游资格的专业导游讲解服务。</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rPr>
        <w:t>组团：采购人内部公布线路和投标人方案后，由教职工自由报名组团，座位45座及以上旅游车（若团员人数少，可根据情况适当调整车辆，但须提前报学校经同意后方可调整，投标人可提前在标书中做好预案供采购人参考），</w:t>
      </w:r>
      <w:r>
        <w:rPr>
          <w:rFonts w:hint="eastAsia" w:ascii="宋体" w:hAnsi="宋体" w:eastAsia="宋体" w:cs="宋体"/>
          <w:b/>
          <w:bCs/>
          <w:sz w:val="22"/>
          <w:highlight w:val="none"/>
        </w:rPr>
        <w:t>最低组团人数不低于20人（已报名成团的，因临时退团不足20人的，该团继续出行），20人（不含）经学校或者老师同意后与其他单位共同组团成功（前提是学校或者老师与其他单位达成一致的情况下）</w:t>
      </w:r>
      <w:r>
        <w:rPr>
          <w:rFonts w:hint="eastAsia" w:ascii="宋体" w:hAnsi="宋体" w:eastAsia="宋体" w:cs="宋体"/>
          <w:sz w:val="22"/>
          <w:highlight w:val="none"/>
        </w:rPr>
        <w:t>，投标人可提出更灵活更优惠的方案。因采购人工作的特殊性，组团后可能出现临时退团的情形，临时退团产生的费用不足3000元的在此费用中直接扣除（超3000元部分由退团教职工自负），</w:t>
      </w:r>
      <w:r>
        <w:rPr>
          <w:rFonts w:hint="eastAsia" w:ascii="宋体" w:hAnsi="宋体" w:eastAsia="宋体" w:cs="宋体"/>
          <w:sz w:val="22"/>
          <w:highlight w:val="none"/>
          <w:u w:val="none"/>
        </w:rPr>
        <w:t>退团后再次参团产生的费用（</w:t>
      </w:r>
      <w:r>
        <w:rPr>
          <w:rFonts w:hint="eastAsia" w:ascii="宋体" w:hAnsi="宋体" w:eastAsia="宋体" w:cs="宋体"/>
          <w:sz w:val="22"/>
          <w:highlight w:val="none"/>
        </w:rPr>
        <w:t>含退团费）超3000元部分由退团教职工自负，并保证不得降低未退团教职工约定的疗休养标准，由以上原因产生的风险由投标人综合考虑进行报价。</w:t>
      </w:r>
    </w:p>
    <w:p>
      <w:pPr>
        <w:keepNext w:val="0"/>
        <w:keepLines w:val="0"/>
        <w:pageBreakBefore w:val="0"/>
        <w:widowControl w:val="0"/>
        <w:kinsoku/>
        <w:wordWrap/>
        <w:overflowPunct/>
        <w:topLinePunct w:val="0"/>
        <w:autoSpaceDE/>
        <w:autoSpaceDN w:val="0"/>
        <w:bidi w:val="0"/>
        <w:adjustRightInd/>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除上述外，投标人还应提出相应的应急方案，如出团前提出退团的或因退团导致出团人数过少的解决方案或应急措施，以投标人编制并获得采购人认可的方案为准。</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rPr>
        <w:t>费用：报价包括以上参团教职工吃、住、行及景点门票费、导游费、保险费（旅游全程保险费）、服务人员（导游、司机等）吃、住、行费用、投标人预计的其他费用和风险费用。投标人应根据自身编制的方案并考虑教职工疗休养的公平性、均衡性，对省内线路、邻省线路和对口援建城市线路分别综合报价。</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rPr>
        <w:t>保险：为每位参加人员购买保障金额不低于100万元的人身意外保险，乘坐飞机、火车、客车等公共交通工具的，必须购买公共交通意外保险。</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rPr>
        <w:t>参加疗休养人员名单和个人信息不得外泄。</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rPr>
        <w:t>服务结束后进行满意度测评。</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rPr>
        <w:t>项目实施方案中标后一周内报采购人做确认，如遇恶劣天气等特殊情况，无法成团出行目的地的，需及时调整出行方案，采购人认可后可调整目的地或视情况取消出行。</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b/>
          <w:bCs/>
          <w:sz w:val="22"/>
          <w:highlight w:val="none"/>
        </w:rPr>
      </w:pPr>
      <w:r>
        <w:rPr>
          <w:rFonts w:hint="eastAsia" w:ascii="宋体" w:hAnsi="宋体" w:eastAsia="宋体" w:cs="宋体"/>
          <w:sz w:val="22"/>
          <w:highlight w:val="none"/>
          <w:u w:val="none"/>
        </w:rPr>
        <w:t>在温州市域内疗休养应选择温州市总工会或浙江省教育工会公布的疗休养基地（点），温州市域内疗休养教职工选择自驾游的，投标人按照自驾游方式制定合理的线路方案、食宿安排和经费预算，并得到教职工认可后执行。</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b/>
          <w:bCs/>
          <w:sz w:val="22"/>
          <w:highlight w:val="none"/>
        </w:rPr>
      </w:pPr>
      <w:r>
        <w:rPr>
          <w:rFonts w:hint="eastAsia" w:ascii="宋体" w:hAnsi="宋体" w:eastAsia="宋体" w:cs="宋体"/>
          <w:b/>
          <w:bCs/>
          <w:sz w:val="22"/>
          <w:highlight w:val="none"/>
        </w:rPr>
        <w:t>温州市域内疗休养线路方案：必须在投标文件中制定“一次性路线：四夜五天”和“两次路线：一夜两天+两夜三天”两种方案，教职工如选择温州市域内疗休养线路的，在两种方案中任选。</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b/>
          <w:bCs/>
          <w:sz w:val="22"/>
          <w:highlight w:val="none"/>
        </w:rPr>
      </w:pPr>
      <w:r>
        <w:rPr>
          <w:rFonts w:hint="eastAsia" w:ascii="宋体" w:hAnsi="宋体" w:eastAsia="宋体" w:cs="宋体"/>
          <w:b/>
          <w:bCs/>
          <w:sz w:val="22"/>
          <w:highlight w:val="none"/>
        </w:rPr>
        <w:t>温州市域、浙江省内疗休养合作城市、周边省市疗休养方案需按固定价格3000元/人为标准策划；</w:t>
      </w:r>
    </w:p>
    <w:p>
      <w:pPr>
        <w:keepNext w:val="0"/>
        <w:keepLines w:val="0"/>
        <w:pageBreakBefore w:val="0"/>
        <w:widowControl w:val="0"/>
        <w:kinsoku/>
        <w:wordWrap/>
        <w:overflowPunct/>
        <w:topLinePunct w:val="0"/>
        <w:autoSpaceDE/>
        <w:autoSpaceDN w:val="0"/>
        <w:bidi w:val="0"/>
        <w:adjustRightInd/>
        <w:spacing w:line="360" w:lineRule="exact"/>
        <w:ind w:firstLine="442" w:firstLineChars="200"/>
        <w:rPr>
          <w:rFonts w:hint="eastAsia" w:ascii="宋体" w:hAnsi="宋体" w:eastAsia="宋体" w:cs="宋体"/>
          <w:b/>
          <w:bCs/>
          <w:sz w:val="22"/>
          <w:highlight w:val="none"/>
        </w:rPr>
      </w:pPr>
      <w:r>
        <w:rPr>
          <w:rFonts w:hint="eastAsia" w:ascii="宋体" w:hAnsi="宋体" w:eastAsia="宋体" w:cs="宋体"/>
          <w:b/>
          <w:bCs/>
          <w:sz w:val="22"/>
          <w:highlight w:val="none"/>
        </w:rPr>
        <w:t>对口援建城市疗休养方案按固定价格（重庆5300元/人，新疆9300元/人，四川5900元/人，青海6400元/人，湖北4700元/人）的标准策划，超出固定价格3000元/人部分费用由参加疗休养人员承担，中标人自行向参加疗休养人员收取。</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rPr>
        <w:t>其他要求：所有疗休养必须按照《关于做好2023年浙江省教职工疗休养工作的通知》（浙教工【2023】5号）、《关于做好2023年度职工疗休养工作的通知》（温总工办[2023]2号）文件的规定执行。</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sz w:val="22"/>
          <w:highlight w:val="none"/>
        </w:rPr>
      </w:pPr>
      <w:r>
        <w:rPr>
          <w:rFonts w:hint="eastAsia" w:ascii="宋体" w:hAnsi="宋体" w:eastAsia="宋体" w:cs="宋体"/>
          <w:sz w:val="22"/>
          <w:highlight w:val="none"/>
        </w:rPr>
        <w:t>当疗养服务后，由采购人对投标人提供的服务对象进行《满意度调查表》。</w:t>
      </w:r>
    </w:p>
    <w:p>
      <w:pPr>
        <w:keepNext w:val="0"/>
        <w:keepLines w:val="0"/>
        <w:pageBreakBefore w:val="0"/>
        <w:widowControl w:val="0"/>
        <w:numPr>
          <w:ilvl w:val="0"/>
          <w:numId w:val="11"/>
        </w:numPr>
        <w:kinsoku/>
        <w:wordWrap/>
        <w:overflowPunct/>
        <w:topLinePunct w:val="0"/>
        <w:autoSpaceDE/>
        <w:autoSpaceDN w:val="0"/>
        <w:bidi w:val="0"/>
        <w:adjustRightInd/>
        <w:spacing w:line="360" w:lineRule="exact"/>
        <w:rPr>
          <w:rFonts w:hint="eastAsia" w:ascii="宋体" w:hAnsi="宋体" w:eastAsia="宋体" w:cs="宋体"/>
          <w:b/>
          <w:bCs/>
          <w:sz w:val="22"/>
          <w:highlight w:val="none"/>
          <w:u w:val="single"/>
        </w:rPr>
      </w:pPr>
      <w:r>
        <w:rPr>
          <w:rFonts w:hint="eastAsia" w:ascii="宋体" w:hAnsi="宋体" w:eastAsia="宋体" w:cs="宋体"/>
          <w:spacing w:val="-6"/>
          <w:sz w:val="22"/>
          <w:highlight w:val="none"/>
          <w:u w:val="single"/>
        </w:rPr>
        <w:t>▲</w:t>
      </w:r>
      <w:r>
        <w:rPr>
          <w:rFonts w:hint="eastAsia" w:ascii="宋体" w:hAnsi="宋体" w:eastAsia="宋体" w:cs="宋体"/>
          <w:b/>
          <w:bCs/>
          <w:sz w:val="22"/>
          <w:highlight w:val="none"/>
          <w:u w:val="single"/>
        </w:rPr>
        <w:t>中标人不得对2023年温大教职工疗休养项目虚开发票，不得以现金、实物、消费券、购物卡、自助餐券等非疗休养形式变相套取疗休养费用。否则采购人有权解除合同，并取消其中标资格。</w:t>
      </w:r>
    </w:p>
    <w:p>
      <w:pPr>
        <w:keepNext w:val="0"/>
        <w:keepLines w:val="0"/>
        <w:pageBreakBefore w:val="0"/>
        <w:widowControl w:val="0"/>
        <w:numPr>
          <w:ilvl w:val="0"/>
          <w:numId w:val="12"/>
        </w:numPr>
        <w:kinsoku/>
        <w:wordWrap/>
        <w:overflowPunct/>
        <w:topLinePunct w:val="0"/>
        <w:autoSpaceDE/>
        <w:bidi w:val="0"/>
        <w:adjustRightInd/>
        <w:spacing w:line="360" w:lineRule="exact"/>
        <w:rPr>
          <w:rFonts w:hint="eastAsia" w:ascii="宋体" w:hAnsi="宋体" w:eastAsia="宋体" w:cs="宋体"/>
          <w:sz w:val="22"/>
          <w:highlight w:val="none"/>
        </w:rPr>
      </w:pPr>
      <w:r>
        <w:rPr>
          <w:rFonts w:hint="eastAsia" w:ascii="宋体" w:hAnsi="宋体" w:eastAsia="宋体" w:cs="宋体"/>
          <w:spacing w:val="-6"/>
          <w:sz w:val="22"/>
          <w:highlight w:val="none"/>
          <w:u w:val="single"/>
        </w:rPr>
        <w:t>▲投标人必须对所投标项中的每条路线做出方案</w:t>
      </w:r>
      <w:r>
        <w:rPr>
          <w:rFonts w:hint="eastAsia" w:ascii="宋体" w:hAnsi="宋体" w:eastAsia="宋体" w:cs="宋体"/>
          <w:sz w:val="22"/>
          <w:highlight w:val="none"/>
        </w:rPr>
        <w:t>。</w:t>
      </w:r>
    </w:p>
    <w:p>
      <w:pPr>
        <w:keepNext w:val="0"/>
        <w:keepLines w:val="0"/>
        <w:pageBreakBefore w:val="0"/>
        <w:kinsoku/>
        <w:wordWrap/>
        <w:overflowPunct/>
        <w:topLinePunct w:val="0"/>
        <w:bidi w:val="0"/>
        <w:adjustRightInd/>
        <w:snapToGrid w:val="0"/>
        <w:spacing w:line="360" w:lineRule="exact"/>
        <w:ind w:firstLine="440" w:firstLineChars="200"/>
        <w:textAlignment w:val="baseline"/>
        <w:outlineLvl w:val="9"/>
        <w:rPr>
          <w:rStyle w:val="74"/>
          <w:rFonts w:hint="eastAsia" w:ascii="宋体" w:hAnsi="宋体" w:eastAsia="宋体" w:cs="宋体"/>
          <w:bCs/>
          <w:color w:val="auto"/>
          <w:sz w:val="22"/>
          <w:szCs w:val="22"/>
          <w:highlight w:val="none"/>
        </w:rPr>
      </w:pPr>
    </w:p>
    <w:p>
      <w:pPr>
        <w:spacing w:line="360" w:lineRule="exact"/>
        <w:jc w:val="both"/>
        <w:rPr>
          <w:rFonts w:ascii="宋体" w:hAnsi="宋体"/>
          <w:bCs/>
          <w:sz w:val="22"/>
          <w:szCs w:val="22"/>
          <w:highlight w:val="none"/>
        </w:rPr>
      </w:pPr>
      <w:r>
        <w:rPr>
          <w:rFonts w:hint="eastAsia" w:ascii="宋体" w:hAnsi="宋体" w:cs="宋体"/>
          <w:caps/>
          <w:sz w:val="22"/>
          <w:szCs w:val="22"/>
          <w:highlight w:val="none"/>
          <w:lang w:eastAsia="zh-CN"/>
        </w:rPr>
        <w:t>附表一</w:t>
      </w:r>
      <w:r>
        <w:rPr>
          <w:rFonts w:hint="eastAsia" w:ascii="宋体" w:hAnsi="宋体" w:cs="宋体"/>
          <w:caps/>
          <w:sz w:val="22"/>
          <w:szCs w:val="22"/>
          <w:highlight w:val="none"/>
          <w:lang w:val="en-US" w:eastAsia="zh-CN"/>
        </w:rPr>
        <w:t xml:space="preserve">                                     </w:t>
      </w:r>
      <w:r>
        <w:rPr>
          <w:rFonts w:hint="eastAsia" w:ascii="宋体" w:hAnsi="宋体"/>
          <w:bCs/>
          <w:sz w:val="22"/>
          <w:szCs w:val="22"/>
          <w:highlight w:val="none"/>
        </w:rPr>
        <w:t>满意度调查表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956"/>
        <w:gridCol w:w="770"/>
        <w:gridCol w:w="863"/>
        <w:gridCol w:w="671"/>
        <w:gridCol w:w="192"/>
        <w:gridCol w:w="517"/>
        <w:gridCol w:w="346"/>
        <w:gridCol w:w="863"/>
        <w:gridCol w:w="863"/>
        <w:gridCol w:w="863"/>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疗休养</w:t>
            </w:r>
            <w:r>
              <w:rPr>
                <w:rFonts w:ascii="宋体" w:hAnsi="宋体" w:cs="新宋体"/>
                <w:sz w:val="22"/>
                <w:szCs w:val="22"/>
                <w:highlight w:val="none"/>
              </w:rPr>
              <w:t>服务单位</w:t>
            </w:r>
          </w:p>
        </w:tc>
        <w:tc>
          <w:tcPr>
            <w:tcW w:w="6910" w:type="dxa"/>
            <w:gridSpan w:val="11"/>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疗养地点</w:t>
            </w:r>
          </w:p>
        </w:tc>
        <w:tc>
          <w:tcPr>
            <w:tcW w:w="3260" w:type="dxa"/>
            <w:gridSpan w:val="4"/>
            <w:noWrap w:val="0"/>
            <w:vAlign w:val="center"/>
          </w:tcPr>
          <w:p>
            <w:pPr>
              <w:spacing w:after="0" w:line="360" w:lineRule="exact"/>
              <w:ind w:firstLine="570"/>
              <w:jc w:val="center"/>
              <w:rPr>
                <w:rFonts w:hint="eastAsia" w:ascii="宋体" w:hAnsi="宋体" w:cs="新宋体"/>
                <w:sz w:val="22"/>
                <w:szCs w:val="22"/>
                <w:highlight w:val="none"/>
              </w:rPr>
            </w:pPr>
          </w:p>
        </w:tc>
        <w:tc>
          <w:tcPr>
            <w:tcW w:w="709" w:type="dxa"/>
            <w:gridSpan w:val="2"/>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人数</w:t>
            </w:r>
          </w:p>
        </w:tc>
        <w:tc>
          <w:tcPr>
            <w:tcW w:w="2941" w:type="dxa"/>
            <w:gridSpan w:val="5"/>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疗养时间</w:t>
            </w:r>
          </w:p>
        </w:tc>
        <w:tc>
          <w:tcPr>
            <w:tcW w:w="6910" w:type="dxa"/>
            <w:gridSpan w:val="11"/>
            <w:noWrap w:val="0"/>
            <w:vAlign w:val="center"/>
          </w:tcPr>
          <w:p>
            <w:pPr>
              <w:spacing w:after="0" w:line="360" w:lineRule="exact"/>
              <w:ind w:firstLine="570"/>
              <w:jc w:val="center"/>
              <w:rPr>
                <w:rFonts w:hint="eastAsia" w:ascii="宋体" w:hAnsi="宋体" w:cs="新宋体"/>
                <w:sz w:val="22"/>
                <w:szCs w:val="22"/>
                <w:highlight w:val="none"/>
              </w:rPr>
            </w:pPr>
            <w:r>
              <w:rPr>
                <w:rFonts w:hint="eastAsia" w:ascii="宋体" w:hAnsi="宋体" w:cs="新宋体"/>
                <w:sz w:val="22"/>
                <w:szCs w:val="22"/>
                <w:highlight w:val="none"/>
              </w:rPr>
              <w:t>_____ 年___ 月  ____日至 ___ 月  ____日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1" w:type="dxa"/>
            <w:vMerge w:val="restart"/>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评分</w:t>
            </w:r>
            <w:r>
              <w:rPr>
                <w:rFonts w:ascii="宋体" w:hAnsi="宋体" w:cs="新宋体"/>
                <w:sz w:val="22"/>
                <w:szCs w:val="22"/>
                <w:highlight w:val="none"/>
              </w:rPr>
              <w:t>项目及分值（</w:t>
            </w:r>
            <w:r>
              <w:rPr>
                <w:rFonts w:hint="eastAsia" w:ascii="宋体" w:hAnsi="宋体" w:cs="新宋体"/>
                <w:sz w:val="22"/>
                <w:szCs w:val="22"/>
                <w:highlight w:val="none"/>
              </w:rPr>
              <w:t>100分</w:t>
            </w:r>
            <w:r>
              <w:rPr>
                <w:rFonts w:ascii="宋体" w:hAnsi="宋体" w:cs="新宋体"/>
                <w:sz w:val="22"/>
                <w:szCs w:val="22"/>
                <w:highlight w:val="none"/>
              </w:rPr>
              <w:t>）</w:t>
            </w:r>
          </w:p>
        </w:tc>
        <w:tc>
          <w:tcPr>
            <w:tcW w:w="6910" w:type="dxa"/>
            <w:gridSpan w:val="11"/>
            <w:noWrap w:val="0"/>
            <w:vAlign w:val="center"/>
          </w:tcPr>
          <w:p>
            <w:pPr>
              <w:spacing w:after="0" w:line="360" w:lineRule="exact"/>
              <w:ind w:firstLine="570"/>
              <w:jc w:val="center"/>
              <w:rPr>
                <w:rFonts w:hint="eastAsia" w:ascii="宋体" w:hAnsi="宋体" w:cs="新宋体"/>
                <w:sz w:val="22"/>
                <w:szCs w:val="22"/>
                <w:highlight w:val="none"/>
              </w:rPr>
            </w:pPr>
            <w:r>
              <w:rPr>
                <w:rFonts w:hint="eastAsia" w:ascii="宋体" w:hAnsi="宋体" w:cs="新宋体"/>
                <w:sz w:val="22"/>
                <w:szCs w:val="22"/>
                <w:highlight w:val="none"/>
              </w:rPr>
              <w:t>满意度</w:t>
            </w:r>
            <w:r>
              <w:rPr>
                <w:rFonts w:ascii="宋体" w:hAnsi="宋体" w:cs="新宋体"/>
                <w:sz w:val="22"/>
                <w:szCs w:val="22"/>
                <w:highlight w:val="none"/>
              </w:rPr>
              <w:t>评价（</w:t>
            </w:r>
            <w:r>
              <w:rPr>
                <w:rFonts w:hint="eastAsia" w:ascii="宋体" w:hAnsi="宋体" w:cs="新宋体"/>
                <w:sz w:val="22"/>
                <w:szCs w:val="22"/>
                <w:highlight w:val="none"/>
              </w:rPr>
              <w:t>请您</w:t>
            </w:r>
            <w:r>
              <w:rPr>
                <w:rFonts w:ascii="宋体" w:hAnsi="宋体" w:cs="新宋体"/>
                <w:sz w:val="22"/>
                <w:szCs w:val="22"/>
                <w:highlight w:val="none"/>
              </w:rPr>
              <w:t>在</w:t>
            </w:r>
            <w:r>
              <w:rPr>
                <w:rFonts w:hint="eastAsia" w:ascii="宋体" w:hAnsi="宋体" w:cs="新宋体"/>
                <w:sz w:val="22"/>
                <w:szCs w:val="22"/>
                <w:highlight w:val="none"/>
              </w:rPr>
              <w:t>以下</w:t>
            </w:r>
            <w:r>
              <w:rPr>
                <w:rFonts w:ascii="宋体" w:hAnsi="宋体" w:cs="新宋体"/>
                <w:sz w:val="22"/>
                <w:szCs w:val="22"/>
                <w:highlight w:val="none"/>
              </w:rPr>
              <w:t>的选项后空格内评分）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1" w:type="dxa"/>
            <w:vMerge w:val="continue"/>
            <w:noWrap w:val="0"/>
            <w:vAlign w:val="center"/>
          </w:tcPr>
          <w:p>
            <w:pPr>
              <w:spacing w:after="0" w:line="360" w:lineRule="exact"/>
              <w:jc w:val="center"/>
              <w:rPr>
                <w:rFonts w:hint="eastAsia" w:ascii="宋体" w:hAnsi="宋体" w:cs="新宋体"/>
                <w:sz w:val="22"/>
                <w:szCs w:val="22"/>
                <w:highlight w:val="none"/>
              </w:rPr>
            </w:pPr>
          </w:p>
        </w:tc>
        <w:tc>
          <w:tcPr>
            <w:tcW w:w="1726" w:type="dxa"/>
            <w:gridSpan w:val="2"/>
            <w:noWrap w:val="0"/>
            <w:vAlign w:val="center"/>
          </w:tcPr>
          <w:p>
            <w:pPr>
              <w:spacing w:after="0" w:line="360" w:lineRule="exact"/>
              <w:ind w:firstLine="570"/>
              <w:jc w:val="center"/>
              <w:rPr>
                <w:rFonts w:hint="eastAsia" w:ascii="宋体" w:hAnsi="宋体" w:cs="新宋体"/>
                <w:sz w:val="22"/>
                <w:szCs w:val="22"/>
                <w:highlight w:val="none"/>
              </w:rPr>
            </w:pPr>
            <w:r>
              <w:rPr>
                <w:rFonts w:hint="eastAsia" w:ascii="宋体" w:hAnsi="宋体" w:cs="新宋体"/>
                <w:sz w:val="22"/>
                <w:szCs w:val="22"/>
                <w:highlight w:val="none"/>
              </w:rPr>
              <w:t>好</w:t>
            </w:r>
          </w:p>
        </w:tc>
        <w:tc>
          <w:tcPr>
            <w:tcW w:w="1726" w:type="dxa"/>
            <w:gridSpan w:val="3"/>
            <w:noWrap w:val="0"/>
            <w:vAlign w:val="center"/>
          </w:tcPr>
          <w:p>
            <w:pPr>
              <w:spacing w:after="0" w:line="360" w:lineRule="exact"/>
              <w:ind w:firstLine="570"/>
              <w:jc w:val="center"/>
              <w:rPr>
                <w:rFonts w:hint="eastAsia" w:ascii="宋体" w:hAnsi="宋体" w:cs="新宋体"/>
                <w:sz w:val="22"/>
                <w:szCs w:val="22"/>
                <w:highlight w:val="none"/>
              </w:rPr>
            </w:pPr>
            <w:r>
              <w:rPr>
                <w:rFonts w:hint="eastAsia" w:ascii="宋体" w:hAnsi="宋体" w:cs="新宋体"/>
                <w:sz w:val="22"/>
                <w:szCs w:val="22"/>
                <w:highlight w:val="none"/>
              </w:rPr>
              <w:t>较好</w:t>
            </w:r>
          </w:p>
        </w:tc>
        <w:tc>
          <w:tcPr>
            <w:tcW w:w="1726" w:type="dxa"/>
            <w:gridSpan w:val="3"/>
            <w:noWrap w:val="0"/>
            <w:vAlign w:val="center"/>
          </w:tcPr>
          <w:p>
            <w:pPr>
              <w:spacing w:after="0" w:line="360" w:lineRule="exact"/>
              <w:ind w:firstLine="570"/>
              <w:jc w:val="center"/>
              <w:rPr>
                <w:rFonts w:hint="eastAsia" w:ascii="宋体" w:hAnsi="宋体" w:cs="新宋体"/>
                <w:sz w:val="22"/>
                <w:szCs w:val="22"/>
                <w:highlight w:val="none"/>
              </w:rPr>
            </w:pPr>
            <w:r>
              <w:rPr>
                <w:rFonts w:hint="eastAsia" w:ascii="宋体" w:hAnsi="宋体" w:cs="新宋体"/>
                <w:sz w:val="22"/>
                <w:szCs w:val="22"/>
                <w:highlight w:val="none"/>
              </w:rPr>
              <w:t>一般</w:t>
            </w:r>
          </w:p>
        </w:tc>
        <w:tc>
          <w:tcPr>
            <w:tcW w:w="1732" w:type="dxa"/>
            <w:gridSpan w:val="3"/>
            <w:noWrap w:val="0"/>
            <w:vAlign w:val="center"/>
          </w:tcPr>
          <w:p>
            <w:pPr>
              <w:spacing w:after="0" w:line="360" w:lineRule="exact"/>
              <w:ind w:firstLine="570"/>
              <w:jc w:val="center"/>
              <w:rPr>
                <w:rFonts w:hint="eastAsia" w:ascii="宋体" w:hAnsi="宋体" w:cs="新宋体"/>
                <w:sz w:val="22"/>
                <w:szCs w:val="22"/>
                <w:highlight w:val="none"/>
              </w:rPr>
            </w:pPr>
            <w:r>
              <w:rPr>
                <w:rFonts w:hint="eastAsia" w:ascii="宋体" w:hAnsi="宋体" w:cs="新宋体"/>
                <w:sz w:val="22"/>
                <w:szCs w:val="22"/>
                <w:highlight w:val="none"/>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住宿条件</w:t>
            </w:r>
            <w:r>
              <w:rPr>
                <w:rFonts w:ascii="宋体" w:hAnsi="宋体" w:cs="新宋体"/>
                <w:sz w:val="22"/>
                <w:szCs w:val="22"/>
                <w:highlight w:val="none"/>
              </w:rPr>
              <w:t>（</w:t>
            </w:r>
            <w:r>
              <w:rPr>
                <w:rFonts w:hint="eastAsia" w:ascii="宋体" w:hAnsi="宋体" w:cs="新宋体"/>
                <w:sz w:val="22"/>
                <w:szCs w:val="22"/>
                <w:highlight w:val="none"/>
              </w:rPr>
              <w:t>20分</w:t>
            </w:r>
            <w:r>
              <w:rPr>
                <w:rFonts w:ascii="宋体" w:hAnsi="宋体" w:cs="新宋体"/>
                <w:sz w:val="22"/>
                <w:szCs w:val="22"/>
                <w:highlight w:val="none"/>
              </w:rPr>
              <w:t>）</w:t>
            </w:r>
          </w:p>
        </w:tc>
        <w:tc>
          <w:tcPr>
            <w:tcW w:w="956"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20-18</w:t>
            </w:r>
          </w:p>
        </w:tc>
        <w:tc>
          <w:tcPr>
            <w:tcW w:w="770"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17-16</w:t>
            </w:r>
          </w:p>
        </w:tc>
        <w:tc>
          <w:tcPr>
            <w:tcW w:w="863" w:type="dxa"/>
            <w:gridSpan w:val="2"/>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gridSpan w:val="2"/>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15-12</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ascii="宋体" w:hAnsi="宋体" w:cs="新宋体"/>
                <w:sz w:val="22"/>
                <w:szCs w:val="22"/>
                <w:highlight w:val="none"/>
              </w:rPr>
              <w:t>&lt;</w:t>
            </w:r>
            <w:r>
              <w:rPr>
                <w:rFonts w:hint="eastAsia" w:ascii="宋体" w:hAnsi="宋体" w:cs="新宋体"/>
                <w:sz w:val="22"/>
                <w:szCs w:val="22"/>
                <w:highlight w:val="none"/>
              </w:rPr>
              <w:t>12</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餐饮状况（20分）</w:t>
            </w:r>
          </w:p>
        </w:tc>
        <w:tc>
          <w:tcPr>
            <w:tcW w:w="956"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20-18</w:t>
            </w:r>
          </w:p>
        </w:tc>
        <w:tc>
          <w:tcPr>
            <w:tcW w:w="770"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17-16</w:t>
            </w:r>
          </w:p>
        </w:tc>
        <w:tc>
          <w:tcPr>
            <w:tcW w:w="863" w:type="dxa"/>
            <w:gridSpan w:val="2"/>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gridSpan w:val="2"/>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15-12</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ascii="宋体" w:hAnsi="宋体" w:cs="新宋体"/>
                <w:sz w:val="22"/>
                <w:szCs w:val="22"/>
                <w:highlight w:val="none"/>
              </w:rPr>
              <w:t>&lt;</w:t>
            </w:r>
            <w:r>
              <w:rPr>
                <w:rFonts w:hint="eastAsia" w:ascii="宋体" w:hAnsi="宋体" w:cs="新宋体"/>
                <w:sz w:val="22"/>
                <w:szCs w:val="22"/>
                <w:highlight w:val="none"/>
              </w:rPr>
              <w:t>12</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jc w:val="center"/>
        </w:trPr>
        <w:tc>
          <w:tcPr>
            <w:tcW w:w="2211" w:type="dxa"/>
            <w:noWrap w:val="0"/>
            <w:vAlign w:val="center"/>
          </w:tcPr>
          <w:p>
            <w:pPr>
              <w:spacing w:after="0" w:line="360" w:lineRule="exact"/>
              <w:jc w:val="center"/>
              <w:rPr>
                <w:rFonts w:ascii="宋体" w:hAnsi="宋体" w:cs="新宋体"/>
                <w:sz w:val="22"/>
                <w:szCs w:val="22"/>
                <w:highlight w:val="none"/>
              </w:rPr>
            </w:pPr>
            <w:r>
              <w:rPr>
                <w:rFonts w:hint="eastAsia" w:ascii="宋体" w:hAnsi="宋体" w:cs="新宋体"/>
                <w:sz w:val="22"/>
                <w:szCs w:val="22"/>
                <w:highlight w:val="none"/>
              </w:rPr>
              <w:t>行程景点</w:t>
            </w:r>
            <w:r>
              <w:rPr>
                <w:rFonts w:ascii="宋体" w:hAnsi="宋体" w:cs="新宋体"/>
                <w:sz w:val="22"/>
                <w:szCs w:val="22"/>
                <w:highlight w:val="none"/>
              </w:rPr>
              <w:t>安排</w:t>
            </w:r>
          </w:p>
          <w:p>
            <w:pPr>
              <w:spacing w:after="0" w:line="360" w:lineRule="exact"/>
              <w:jc w:val="center"/>
              <w:rPr>
                <w:rFonts w:hint="eastAsia" w:ascii="宋体" w:hAnsi="宋体" w:cs="新宋体"/>
                <w:sz w:val="22"/>
                <w:szCs w:val="22"/>
                <w:highlight w:val="none"/>
              </w:rPr>
            </w:pPr>
            <w:r>
              <w:rPr>
                <w:rFonts w:ascii="宋体" w:hAnsi="宋体" w:cs="新宋体"/>
                <w:sz w:val="22"/>
                <w:szCs w:val="22"/>
                <w:highlight w:val="none"/>
              </w:rPr>
              <w:t>（</w:t>
            </w:r>
            <w:r>
              <w:rPr>
                <w:rFonts w:hint="eastAsia" w:ascii="宋体" w:hAnsi="宋体" w:cs="新宋体"/>
                <w:sz w:val="22"/>
                <w:szCs w:val="22"/>
                <w:highlight w:val="none"/>
              </w:rPr>
              <w:t>30分</w:t>
            </w:r>
            <w:r>
              <w:rPr>
                <w:rFonts w:ascii="宋体" w:hAnsi="宋体" w:cs="新宋体"/>
                <w:sz w:val="22"/>
                <w:szCs w:val="22"/>
                <w:highlight w:val="none"/>
              </w:rPr>
              <w:t>）</w:t>
            </w:r>
          </w:p>
        </w:tc>
        <w:tc>
          <w:tcPr>
            <w:tcW w:w="956"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30-25</w:t>
            </w:r>
          </w:p>
        </w:tc>
        <w:tc>
          <w:tcPr>
            <w:tcW w:w="770"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24-20</w:t>
            </w:r>
          </w:p>
        </w:tc>
        <w:tc>
          <w:tcPr>
            <w:tcW w:w="863" w:type="dxa"/>
            <w:gridSpan w:val="2"/>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gridSpan w:val="2"/>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19-15</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&lt;15</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车辆</w:t>
            </w:r>
            <w:r>
              <w:rPr>
                <w:rFonts w:ascii="宋体" w:hAnsi="宋体" w:cs="新宋体"/>
                <w:sz w:val="22"/>
                <w:szCs w:val="22"/>
                <w:highlight w:val="none"/>
              </w:rPr>
              <w:t>状况和司机服务（</w:t>
            </w:r>
            <w:r>
              <w:rPr>
                <w:rFonts w:hint="eastAsia" w:ascii="宋体" w:hAnsi="宋体" w:cs="新宋体"/>
                <w:sz w:val="22"/>
                <w:szCs w:val="22"/>
                <w:highlight w:val="none"/>
              </w:rPr>
              <w:t>10分</w:t>
            </w:r>
            <w:r>
              <w:rPr>
                <w:rFonts w:ascii="宋体" w:hAnsi="宋体" w:cs="新宋体"/>
                <w:sz w:val="22"/>
                <w:szCs w:val="22"/>
                <w:highlight w:val="none"/>
              </w:rPr>
              <w:t>）</w:t>
            </w:r>
          </w:p>
        </w:tc>
        <w:tc>
          <w:tcPr>
            <w:tcW w:w="956"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10-9</w:t>
            </w:r>
          </w:p>
        </w:tc>
        <w:tc>
          <w:tcPr>
            <w:tcW w:w="770"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8-7</w:t>
            </w:r>
          </w:p>
        </w:tc>
        <w:tc>
          <w:tcPr>
            <w:tcW w:w="863" w:type="dxa"/>
            <w:gridSpan w:val="2"/>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gridSpan w:val="2"/>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6-5</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&lt;5</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导游</w:t>
            </w:r>
            <w:r>
              <w:rPr>
                <w:rFonts w:ascii="宋体" w:hAnsi="宋体" w:cs="新宋体"/>
                <w:sz w:val="22"/>
                <w:szCs w:val="22"/>
                <w:highlight w:val="none"/>
              </w:rPr>
              <w:t>服务（</w:t>
            </w:r>
            <w:r>
              <w:rPr>
                <w:rFonts w:hint="eastAsia" w:ascii="宋体" w:hAnsi="宋体" w:cs="新宋体"/>
                <w:sz w:val="22"/>
                <w:szCs w:val="22"/>
                <w:highlight w:val="none"/>
              </w:rPr>
              <w:t>10分</w:t>
            </w:r>
            <w:r>
              <w:rPr>
                <w:rFonts w:ascii="宋体" w:hAnsi="宋体" w:cs="新宋体"/>
                <w:sz w:val="22"/>
                <w:szCs w:val="22"/>
                <w:highlight w:val="none"/>
              </w:rPr>
              <w:t>）</w:t>
            </w:r>
          </w:p>
        </w:tc>
        <w:tc>
          <w:tcPr>
            <w:tcW w:w="956"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10-9</w:t>
            </w:r>
          </w:p>
        </w:tc>
        <w:tc>
          <w:tcPr>
            <w:tcW w:w="770"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8-7</w:t>
            </w:r>
          </w:p>
        </w:tc>
        <w:tc>
          <w:tcPr>
            <w:tcW w:w="863" w:type="dxa"/>
            <w:gridSpan w:val="2"/>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gridSpan w:val="2"/>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6-5</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&lt;5</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安全</w:t>
            </w:r>
            <w:r>
              <w:rPr>
                <w:rFonts w:ascii="宋体" w:hAnsi="宋体" w:cs="新宋体"/>
                <w:sz w:val="22"/>
                <w:szCs w:val="22"/>
                <w:highlight w:val="none"/>
              </w:rPr>
              <w:t>措施（</w:t>
            </w:r>
            <w:r>
              <w:rPr>
                <w:rFonts w:hint="eastAsia" w:ascii="宋体" w:hAnsi="宋体" w:cs="新宋体"/>
                <w:sz w:val="22"/>
                <w:szCs w:val="22"/>
                <w:highlight w:val="none"/>
              </w:rPr>
              <w:t>10分</w:t>
            </w:r>
            <w:r>
              <w:rPr>
                <w:rFonts w:ascii="宋体" w:hAnsi="宋体" w:cs="新宋体"/>
                <w:sz w:val="22"/>
                <w:szCs w:val="22"/>
                <w:highlight w:val="none"/>
              </w:rPr>
              <w:t>）</w:t>
            </w:r>
          </w:p>
        </w:tc>
        <w:tc>
          <w:tcPr>
            <w:tcW w:w="956"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10-9</w:t>
            </w:r>
          </w:p>
        </w:tc>
        <w:tc>
          <w:tcPr>
            <w:tcW w:w="770"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8-7</w:t>
            </w:r>
          </w:p>
        </w:tc>
        <w:tc>
          <w:tcPr>
            <w:tcW w:w="863" w:type="dxa"/>
            <w:gridSpan w:val="2"/>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gridSpan w:val="2"/>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6-5</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c>
          <w:tcPr>
            <w:tcW w:w="863"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&lt;5</w:t>
            </w:r>
          </w:p>
        </w:tc>
        <w:tc>
          <w:tcPr>
            <w:tcW w:w="863" w:type="dxa"/>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jc w:val="center"/>
        </w:trPr>
        <w:tc>
          <w:tcPr>
            <w:tcW w:w="2211" w:type="dxa"/>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合计</w:t>
            </w:r>
            <w:r>
              <w:rPr>
                <w:rFonts w:ascii="宋体" w:hAnsi="宋体" w:cs="新宋体"/>
                <w:sz w:val="22"/>
                <w:szCs w:val="22"/>
                <w:highlight w:val="none"/>
              </w:rPr>
              <w:t>得分</w:t>
            </w:r>
          </w:p>
        </w:tc>
        <w:tc>
          <w:tcPr>
            <w:tcW w:w="6904" w:type="dxa"/>
            <w:gridSpan w:val="10"/>
            <w:noWrap w:val="0"/>
            <w:vAlign w:val="center"/>
          </w:tcPr>
          <w:p>
            <w:pPr>
              <w:spacing w:after="0" w:line="360" w:lineRule="exact"/>
              <w:ind w:firstLine="570"/>
              <w:jc w:val="center"/>
              <w:rPr>
                <w:rFonts w:hint="eastAsia" w:ascii="宋体" w:hAnsi="宋体" w:cs="新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1" w:type="dxa"/>
            <w:gridSpan w:val="12"/>
            <w:noWrap w:val="0"/>
            <w:vAlign w:val="center"/>
          </w:tcPr>
          <w:p>
            <w:pPr>
              <w:spacing w:after="0" w:line="360" w:lineRule="exact"/>
              <w:jc w:val="left"/>
              <w:rPr>
                <w:rFonts w:ascii="宋体" w:hAnsi="宋体" w:cs="新宋体"/>
                <w:sz w:val="22"/>
                <w:szCs w:val="22"/>
                <w:highlight w:val="none"/>
              </w:rPr>
            </w:pPr>
            <w:r>
              <w:rPr>
                <w:rFonts w:hint="eastAsia" w:ascii="宋体" w:hAnsi="宋体" w:cs="新宋体"/>
                <w:sz w:val="22"/>
                <w:szCs w:val="22"/>
                <w:highlight w:val="none"/>
              </w:rPr>
              <w:t>对本次疗休养的整体评价及建议：</w:t>
            </w:r>
          </w:p>
          <w:p>
            <w:pPr>
              <w:spacing w:after="0" w:line="360" w:lineRule="exact"/>
              <w:jc w:val="both"/>
              <w:rPr>
                <w:rFonts w:ascii="宋体" w:hAnsi="宋体" w:cs="新宋体"/>
                <w:sz w:val="22"/>
                <w:szCs w:val="22"/>
                <w:highlight w:val="none"/>
              </w:rPr>
            </w:pPr>
          </w:p>
          <w:p>
            <w:pPr>
              <w:spacing w:after="0" w:line="360" w:lineRule="exact"/>
              <w:jc w:val="center"/>
              <w:rPr>
                <w:rFonts w:ascii="宋体" w:hAnsi="宋体" w:cs="新宋体"/>
                <w:sz w:val="22"/>
                <w:szCs w:val="22"/>
                <w:highlight w:val="none"/>
              </w:rPr>
            </w:pPr>
          </w:p>
          <w:p>
            <w:pPr>
              <w:spacing w:after="0" w:line="360" w:lineRule="exact"/>
              <w:jc w:val="center"/>
              <w:rPr>
                <w:rFonts w:ascii="宋体" w:hAnsi="宋体" w:cs="新宋体"/>
                <w:sz w:val="22"/>
                <w:szCs w:val="22"/>
                <w:highlight w:val="none"/>
              </w:rPr>
            </w:pPr>
            <w:r>
              <w:rPr>
                <w:rFonts w:hint="eastAsia" w:ascii="宋体" w:hAnsi="宋体" w:cs="新宋体"/>
                <w:sz w:val="22"/>
                <w:szCs w:val="22"/>
                <w:highlight w:val="none"/>
              </w:rPr>
              <w:t>签名</w:t>
            </w:r>
            <w:r>
              <w:rPr>
                <w:rFonts w:ascii="宋体" w:hAnsi="宋体" w:cs="新宋体"/>
                <w:sz w:val="22"/>
                <w:szCs w:val="22"/>
                <w:highlight w:val="none"/>
              </w:rPr>
              <w:t>：</w:t>
            </w:r>
            <w:r>
              <w:rPr>
                <w:rFonts w:hint="eastAsia" w:ascii="宋体" w:hAnsi="宋体" w:cs="新宋体"/>
                <w:sz w:val="22"/>
                <w:szCs w:val="22"/>
                <w:highlight w:val="none"/>
              </w:rPr>
              <w:t xml:space="preserve"> </w:t>
            </w:r>
            <w:r>
              <w:rPr>
                <w:rFonts w:ascii="宋体" w:hAnsi="宋体" w:cs="新宋体"/>
                <w:sz w:val="22"/>
                <w:szCs w:val="22"/>
                <w:highlight w:val="none"/>
              </w:rPr>
              <w:t xml:space="preserve">      </w:t>
            </w:r>
            <w:r>
              <w:rPr>
                <w:rFonts w:hint="eastAsia" w:ascii="宋体" w:hAnsi="宋体" w:cs="新宋体"/>
                <w:sz w:val="22"/>
                <w:szCs w:val="22"/>
                <w:highlight w:val="none"/>
              </w:rPr>
              <w:t xml:space="preserve">   联系</w:t>
            </w:r>
            <w:r>
              <w:rPr>
                <w:rFonts w:ascii="宋体" w:hAnsi="宋体" w:cs="新宋体"/>
                <w:sz w:val="22"/>
                <w:szCs w:val="22"/>
                <w:highlight w:val="none"/>
              </w:rPr>
              <w:t>电话</w:t>
            </w:r>
          </w:p>
          <w:p>
            <w:pPr>
              <w:spacing w:after="0" w:line="360" w:lineRule="exact"/>
              <w:jc w:val="right"/>
              <w:rPr>
                <w:rFonts w:hint="eastAsia" w:ascii="宋体" w:hAnsi="宋体" w:cs="新宋体"/>
                <w:sz w:val="22"/>
                <w:szCs w:val="22"/>
                <w:highlight w:val="none"/>
              </w:rPr>
            </w:pPr>
            <w:r>
              <w:rPr>
                <w:rFonts w:hint="eastAsia" w:ascii="宋体" w:hAnsi="宋体" w:cs="新宋体"/>
                <w:sz w:val="22"/>
                <w:szCs w:val="22"/>
                <w:highlight w:val="none"/>
              </w:rPr>
              <w:t xml:space="preserve">年  </w:t>
            </w:r>
            <w:r>
              <w:rPr>
                <w:rFonts w:ascii="宋体" w:hAnsi="宋体" w:cs="新宋体"/>
                <w:sz w:val="22"/>
                <w:szCs w:val="22"/>
                <w:highlight w:val="none"/>
              </w:rPr>
              <w:t xml:space="preserve">  </w:t>
            </w:r>
            <w:r>
              <w:rPr>
                <w:rFonts w:hint="eastAsia" w:ascii="宋体" w:hAnsi="宋体" w:cs="新宋体"/>
                <w:sz w:val="22"/>
                <w:szCs w:val="22"/>
                <w:highlight w:val="none"/>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1" w:type="dxa"/>
            <w:gridSpan w:val="12"/>
            <w:noWrap w:val="0"/>
            <w:vAlign w:val="center"/>
          </w:tcPr>
          <w:p>
            <w:pPr>
              <w:spacing w:after="0" w:line="360" w:lineRule="exact"/>
              <w:jc w:val="center"/>
              <w:rPr>
                <w:rFonts w:hint="eastAsia" w:ascii="宋体" w:hAnsi="宋体" w:cs="新宋体"/>
                <w:sz w:val="22"/>
                <w:szCs w:val="22"/>
                <w:highlight w:val="none"/>
              </w:rPr>
            </w:pPr>
            <w:r>
              <w:rPr>
                <w:rFonts w:hint="eastAsia" w:ascii="宋体" w:hAnsi="宋体" w:cs="新宋体"/>
                <w:sz w:val="22"/>
                <w:szCs w:val="22"/>
                <w:highlight w:val="none"/>
              </w:rPr>
              <w:t>备注</w:t>
            </w:r>
            <w:r>
              <w:rPr>
                <w:rFonts w:ascii="宋体" w:hAnsi="宋体" w:cs="新宋体"/>
                <w:sz w:val="22"/>
                <w:szCs w:val="22"/>
                <w:highlight w:val="none"/>
              </w:rPr>
              <w:t>：</w:t>
            </w:r>
            <w:r>
              <w:rPr>
                <w:rFonts w:hint="eastAsia" w:ascii="宋体" w:hAnsi="宋体" w:cs="新宋体"/>
                <w:sz w:val="22"/>
                <w:szCs w:val="22"/>
                <w:highlight w:val="none"/>
              </w:rPr>
              <w:t>此</w:t>
            </w:r>
            <w:r>
              <w:rPr>
                <w:rFonts w:ascii="宋体" w:hAnsi="宋体" w:cs="新宋体"/>
                <w:sz w:val="22"/>
                <w:szCs w:val="22"/>
                <w:highlight w:val="none"/>
              </w:rPr>
              <w:t>表作为对疗休养服务单位的评价依据，每批次疗休养完成后组织测评。得分85</w:t>
            </w:r>
            <w:r>
              <w:rPr>
                <w:rFonts w:hint="eastAsia" w:ascii="宋体" w:hAnsi="宋体" w:cs="新宋体"/>
                <w:sz w:val="22"/>
                <w:szCs w:val="22"/>
                <w:highlight w:val="none"/>
              </w:rPr>
              <w:t>分</w:t>
            </w:r>
            <w:r>
              <w:rPr>
                <w:rFonts w:ascii="宋体" w:hAnsi="宋体" w:cs="新宋体"/>
                <w:sz w:val="22"/>
                <w:szCs w:val="22"/>
                <w:highlight w:val="none"/>
              </w:rPr>
              <w:t>（</w:t>
            </w:r>
            <w:r>
              <w:rPr>
                <w:rFonts w:hint="eastAsia" w:ascii="宋体" w:hAnsi="宋体" w:cs="新宋体"/>
                <w:sz w:val="22"/>
                <w:szCs w:val="22"/>
                <w:highlight w:val="none"/>
              </w:rPr>
              <w:t>含</w:t>
            </w:r>
            <w:r>
              <w:rPr>
                <w:rFonts w:ascii="宋体" w:hAnsi="宋体" w:cs="新宋体"/>
                <w:sz w:val="22"/>
                <w:szCs w:val="22"/>
                <w:highlight w:val="none"/>
              </w:rPr>
              <w:t>）</w:t>
            </w:r>
            <w:r>
              <w:rPr>
                <w:rFonts w:hint="eastAsia" w:ascii="宋体" w:hAnsi="宋体" w:cs="新宋体"/>
                <w:sz w:val="22"/>
                <w:szCs w:val="22"/>
                <w:highlight w:val="none"/>
              </w:rPr>
              <w:t>以上</w:t>
            </w:r>
            <w:r>
              <w:rPr>
                <w:rFonts w:ascii="宋体" w:hAnsi="宋体" w:cs="新宋体"/>
                <w:sz w:val="22"/>
                <w:szCs w:val="22"/>
                <w:highlight w:val="none"/>
              </w:rPr>
              <w:t>为满意，70</w:t>
            </w:r>
            <w:r>
              <w:rPr>
                <w:rFonts w:hint="eastAsia" w:ascii="宋体" w:hAnsi="宋体" w:cs="新宋体"/>
                <w:sz w:val="22"/>
                <w:szCs w:val="22"/>
                <w:highlight w:val="none"/>
              </w:rPr>
              <w:t>分</w:t>
            </w:r>
            <w:r>
              <w:rPr>
                <w:rFonts w:ascii="宋体" w:hAnsi="宋体" w:cs="新宋体"/>
                <w:sz w:val="22"/>
                <w:szCs w:val="22"/>
                <w:highlight w:val="none"/>
              </w:rPr>
              <w:t>（</w:t>
            </w:r>
            <w:r>
              <w:rPr>
                <w:rFonts w:hint="eastAsia" w:ascii="宋体" w:hAnsi="宋体" w:cs="新宋体"/>
                <w:sz w:val="22"/>
                <w:szCs w:val="22"/>
                <w:highlight w:val="none"/>
              </w:rPr>
              <w:t>含</w:t>
            </w:r>
            <w:r>
              <w:rPr>
                <w:rFonts w:ascii="宋体" w:hAnsi="宋体" w:cs="新宋体"/>
                <w:sz w:val="22"/>
                <w:szCs w:val="22"/>
                <w:highlight w:val="none"/>
              </w:rPr>
              <w:t>）</w:t>
            </w:r>
            <w:r>
              <w:rPr>
                <w:rFonts w:hint="eastAsia" w:ascii="宋体" w:hAnsi="宋体" w:cs="新宋体"/>
                <w:sz w:val="22"/>
                <w:szCs w:val="22"/>
                <w:highlight w:val="none"/>
              </w:rPr>
              <w:t>-</w:t>
            </w:r>
            <w:r>
              <w:rPr>
                <w:rFonts w:ascii="宋体" w:hAnsi="宋体" w:cs="新宋体"/>
                <w:sz w:val="22"/>
                <w:szCs w:val="22"/>
                <w:highlight w:val="none"/>
              </w:rPr>
              <w:t>85</w:t>
            </w:r>
            <w:r>
              <w:rPr>
                <w:rFonts w:hint="eastAsia" w:ascii="宋体" w:hAnsi="宋体" w:cs="新宋体"/>
                <w:sz w:val="22"/>
                <w:szCs w:val="22"/>
                <w:highlight w:val="none"/>
              </w:rPr>
              <w:t>分</w:t>
            </w:r>
            <w:r>
              <w:rPr>
                <w:rFonts w:ascii="宋体" w:hAnsi="宋体" w:cs="新宋体"/>
                <w:sz w:val="22"/>
                <w:szCs w:val="22"/>
                <w:highlight w:val="none"/>
              </w:rPr>
              <w:t>为合格，70</w:t>
            </w:r>
            <w:r>
              <w:rPr>
                <w:rFonts w:hint="eastAsia" w:ascii="宋体" w:hAnsi="宋体" w:cs="新宋体"/>
                <w:sz w:val="22"/>
                <w:szCs w:val="22"/>
                <w:highlight w:val="none"/>
              </w:rPr>
              <w:t>分以</w:t>
            </w:r>
            <w:r>
              <w:rPr>
                <w:rFonts w:ascii="宋体" w:hAnsi="宋体" w:cs="新宋体"/>
                <w:sz w:val="22"/>
                <w:szCs w:val="22"/>
                <w:highlight w:val="none"/>
              </w:rPr>
              <w:t>下为不合格。合同期</w:t>
            </w:r>
            <w:r>
              <w:rPr>
                <w:rFonts w:hint="eastAsia" w:ascii="宋体" w:hAnsi="宋体" w:cs="新宋体"/>
                <w:sz w:val="22"/>
                <w:szCs w:val="22"/>
                <w:highlight w:val="none"/>
              </w:rPr>
              <w:t>内</w:t>
            </w:r>
            <w:r>
              <w:rPr>
                <w:rFonts w:ascii="宋体" w:hAnsi="宋体" w:cs="新宋体"/>
                <w:sz w:val="22"/>
                <w:szCs w:val="22"/>
                <w:highlight w:val="none"/>
              </w:rPr>
              <w:t>不合格数量达到</w:t>
            </w:r>
            <w:r>
              <w:rPr>
                <w:rFonts w:hint="eastAsia" w:ascii="宋体" w:hAnsi="宋体" w:cs="新宋体"/>
                <w:sz w:val="22"/>
                <w:szCs w:val="22"/>
                <w:highlight w:val="none"/>
              </w:rPr>
              <w:t>3次</w:t>
            </w:r>
            <w:r>
              <w:rPr>
                <w:rFonts w:ascii="宋体" w:hAnsi="宋体" w:cs="新宋体"/>
                <w:sz w:val="22"/>
                <w:szCs w:val="22"/>
                <w:highlight w:val="none"/>
              </w:rPr>
              <w:t>及以上，采购人有权解除合同。</w:t>
            </w:r>
          </w:p>
        </w:tc>
      </w:tr>
    </w:tbl>
    <w:p>
      <w:pPr>
        <w:keepNext w:val="0"/>
        <w:keepLines w:val="0"/>
        <w:pageBreakBefore w:val="0"/>
        <w:kinsoku/>
        <w:wordWrap/>
        <w:overflowPunct/>
        <w:topLinePunct w:val="0"/>
        <w:bidi w:val="0"/>
        <w:adjustRightInd/>
        <w:snapToGrid w:val="0"/>
        <w:spacing w:line="360" w:lineRule="exact"/>
        <w:textAlignment w:val="baseline"/>
        <w:outlineLvl w:val="9"/>
        <w:rPr>
          <w:rStyle w:val="74"/>
          <w:rFonts w:hint="eastAsia" w:ascii="宋体" w:hAnsi="宋体" w:cs="宋体"/>
          <w:bCs/>
          <w:color w:val="auto"/>
          <w:sz w:val="22"/>
          <w:szCs w:val="22"/>
          <w:highlight w:val="none"/>
          <w:lang w:eastAsia="zh-CN"/>
        </w:rPr>
      </w:pPr>
      <w:r>
        <w:rPr>
          <w:rStyle w:val="74"/>
          <w:rFonts w:hint="eastAsia" w:ascii="宋体" w:hAnsi="宋体" w:cs="宋体"/>
          <w:bCs/>
          <w:color w:val="auto"/>
          <w:sz w:val="22"/>
          <w:szCs w:val="22"/>
          <w:highlight w:val="none"/>
          <w:lang w:eastAsia="zh-CN"/>
        </w:rPr>
        <w:t>附表二</w:t>
      </w:r>
    </w:p>
    <w:tbl>
      <w:tblPr>
        <w:tblStyle w:val="31"/>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5549"/>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noWrap w:val="0"/>
            <w:vAlign w:val="center"/>
          </w:tcPr>
          <w:p>
            <w:pPr>
              <w:jc w:val="center"/>
              <w:rPr>
                <w:rFonts w:ascii="宋体" w:hAnsi="宋体" w:cs="宋体"/>
                <w:sz w:val="22"/>
                <w:highlight w:val="none"/>
              </w:rPr>
            </w:pPr>
            <w:r>
              <w:rPr>
                <w:rFonts w:hint="eastAsia" w:ascii="宋体" w:hAnsi="宋体" w:cs="宋体"/>
                <w:sz w:val="22"/>
                <w:highlight w:val="none"/>
              </w:rPr>
              <w:t>标项</w:t>
            </w:r>
          </w:p>
        </w:tc>
        <w:tc>
          <w:tcPr>
            <w:tcW w:w="5549" w:type="dxa"/>
            <w:noWrap w:val="0"/>
            <w:vAlign w:val="center"/>
          </w:tcPr>
          <w:p>
            <w:pPr>
              <w:jc w:val="center"/>
              <w:rPr>
                <w:rFonts w:ascii="宋体" w:hAnsi="宋体" w:cs="宋体"/>
                <w:sz w:val="22"/>
                <w:highlight w:val="none"/>
              </w:rPr>
            </w:pPr>
            <w:r>
              <w:rPr>
                <w:rFonts w:hint="eastAsia" w:ascii="宋体" w:hAnsi="宋体" w:cs="宋体"/>
                <w:sz w:val="22"/>
                <w:highlight w:val="none"/>
              </w:rPr>
              <w:t>疗休养目的地</w:t>
            </w:r>
          </w:p>
        </w:tc>
        <w:tc>
          <w:tcPr>
            <w:tcW w:w="2267" w:type="dxa"/>
            <w:noWrap w:val="0"/>
            <w:vAlign w:val="center"/>
          </w:tcPr>
          <w:p>
            <w:pPr>
              <w:jc w:val="center"/>
              <w:rPr>
                <w:rFonts w:ascii="宋体" w:hAnsi="宋体" w:cs="宋体"/>
                <w:sz w:val="22"/>
                <w:highlight w:val="none"/>
              </w:rPr>
            </w:pPr>
            <w:r>
              <w:rPr>
                <w:rFonts w:hint="eastAsia" w:ascii="宋体" w:hAnsi="宋体" w:cs="宋体"/>
                <w:sz w:val="22"/>
                <w:highlight w:val="none"/>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restart"/>
            <w:noWrap w:val="0"/>
            <w:vAlign w:val="center"/>
          </w:tcPr>
          <w:p>
            <w:pPr>
              <w:jc w:val="center"/>
              <w:rPr>
                <w:rFonts w:hint="eastAsia" w:ascii="宋体" w:hAnsi="宋体" w:cs="宋体"/>
                <w:sz w:val="22"/>
                <w:highlight w:val="none"/>
              </w:rPr>
            </w:pPr>
            <w:r>
              <w:rPr>
                <w:rFonts w:hint="eastAsia" w:ascii="宋体" w:hAnsi="宋体" w:cs="宋体"/>
                <w:sz w:val="22"/>
                <w:highlight w:val="none"/>
              </w:rPr>
              <w:t>标项一：</w:t>
            </w:r>
            <w:r>
              <w:rPr>
                <w:rFonts w:hint="eastAsia" w:ascii="宋体" w:hAnsi="宋体" w:cs="宋体"/>
                <w:bCs/>
                <w:sz w:val="22"/>
                <w:highlight w:val="none"/>
              </w:rPr>
              <w:t>2023年</w:t>
            </w:r>
            <w:r>
              <w:rPr>
                <w:rFonts w:hint="eastAsia" w:ascii="宋体" w:hAnsi="宋体" w:cs="宋体"/>
                <w:bCs/>
                <w:sz w:val="22"/>
                <w:highlight w:val="none"/>
                <w:lang w:eastAsia="zh-CN"/>
              </w:rPr>
              <w:t>温州理工学院</w:t>
            </w:r>
            <w:r>
              <w:rPr>
                <w:rFonts w:hint="eastAsia" w:ascii="宋体" w:hAnsi="宋体" w:cs="宋体"/>
                <w:bCs/>
                <w:sz w:val="22"/>
                <w:highlight w:val="none"/>
              </w:rPr>
              <w:t>教职工疗休养服务1</w:t>
            </w:r>
          </w:p>
        </w:tc>
        <w:tc>
          <w:tcPr>
            <w:tcW w:w="5549" w:type="dxa"/>
            <w:noWrap w:val="0"/>
            <w:vAlign w:val="center"/>
          </w:tcPr>
          <w:p>
            <w:pPr>
              <w:jc w:val="center"/>
              <w:rPr>
                <w:rFonts w:hint="eastAsia" w:ascii="宋体" w:hAnsi="宋体" w:eastAsia="宋体" w:cs="宋体"/>
                <w:sz w:val="22"/>
                <w:highlight w:val="none"/>
                <w:lang w:eastAsia="zh-CN"/>
              </w:rPr>
            </w:pPr>
            <w:r>
              <w:rPr>
                <w:rFonts w:hint="eastAsia" w:ascii="宋体" w:hAnsi="宋体" w:cs="宋体"/>
                <w:sz w:val="22"/>
                <w:highlight w:val="none"/>
              </w:rPr>
              <w:t>重庆双飞6日</w:t>
            </w:r>
          </w:p>
        </w:tc>
        <w:tc>
          <w:tcPr>
            <w:tcW w:w="2267" w:type="dxa"/>
            <w:vMerge w:val="restart"/>
            <w:noWrap w:val="0"/>
            <w:vAlign w:val="center"/>
          </w:tcPr>
          <w:p>
            <w:pPr>
              <w:jc w:val="center"/>
              <w:rPr>
                <w:rFonts w:ascii="宋体" w:hAnsi="宋体" w:cs="宋体"/>
                <w:sz w:val="22"/>
                <w:highlight w:val="none"/>
              </w:rPr>
            </w:pPr>
            <w:r>
              <w:rPr>
                <w:rFonts w:hint="eastAsia" w:ascii="宋体" w:hAnsi="宋体" w:cs="宋体"/>
                <w:sz w:val="22"/>
                <w:highlight w:val="none"/>
              </w:rPr>
              <w:t>对口援建城市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noWrap w:val="0"/>
            <w:vAlign w:val="center"/>
          </w:tcPr>
          <w:p>
            <w:pPr>
              <w:jc w:val="center"/>
              <w:rPr>
                <w:rFonts w:hint="eastAsia" w:ascii="宋体" w:hAnsi="宋体" w:cs="宋体"/>
                <w:sz w:val="22"/>
                <w:highlight w:val="none"/>
              </w:rPr>
            </w:pPr>
          </w:p>
        </w:tc>
        <w:tc>
          <w:tcPr>
            <w:tcW w:w="5549" w:type="dxa"/>
            <w:noWrap w:val="0"/>
            <w:vAlign w:val="center"/>
          </w:tcPr>
          <w:p>
            <w:pPr>
              <w:jc w:val="center"/>
              <w:rPr>
                <w:rFonts w:hint="eastAsia" w:ascii="宋体" w:hAnsi="宋体" w:cs="宋体"/>
                <w:sz w:val="22"/>
                <w:highlight w:val="none"/>
              </w:rPr>
            </w:pPr>
            <w:r>
              <w:rPr>
                <w:rFonts w:hint="eastAsia" w:ascii="宋体" w:hAnsi="宋体" w:cs="宋体"/>
                <w:kern w:val="0"/>
                <w:sz w:val="22"/>
                <w:highlight w:val="none"/>
              </w:rPr>
              <w:t>青海</w:t>
            </w:r>
            <w:r>
              <w:rPr>
                <w:rFonts w:hint="eastAsia" w:ascii="宋体" w:hAnsi="宋体" w:cs="宋体"/>
                <w:kern w:val="0"/>
                <w:sz w:val="22"/>
                <w:highlight w:val="none"/>
                <w:lang w:val="zh-CN"/>
              </w:rPr>
              <w:t>双飞</w:t>
            </w:r>
            <w:r>
              <w:rPr>
                <w:rFonts w:hint="eastAsia" w:ascii="宋体" w:hAnsi="宋体" w:cs="宋体"/>
                <w:kern w:val="0"/>
                <w:sz w:val="22"/>
                <w:highlight w:val="none"/>
              </w:rPr>
              <w:t>6</w:t>
            </w:r>
            <w:r>
              <w:rPr>
                <w:rFonts w:hint="eastAsia" w:ascii="宋体" w:hAnsi="宋体" w:cs="宋体"/>
                <w:kern w:val="0"/>
                <w:sz w:val="22"/>
                <w:highlight w:val="none"/>
                <w:lang w:val="zh-CN"/>
              </w:rPr>
              <w:t>日</w:t>
            </w:r>
          </w:p>
        </w:tc>
        <w:tc>
          <w:tcPr>
            <w:tcW w:w="2267" w:type="dxa"/>
            <w:vMerge w:val="continue"/>
            <w:noWrap w:val="0"/>
            <w:vAlign w:val="center"/>
          </w:tcPr>
          <w:p>
            <w:pPr>
              <w:jc w:val="center"/>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noWrap w:val="0"/>
            <w:vAlign w:val="center"/>
          </w:tcPr>
          <w:p>
            <w:pPr>
              <w:jc w:val="center"/>
              <w:rPr>
                <w:rFonts w:ascii="宋体" w:hAnsi="宋体" w:cs="宋体"/>
                <w:sz w:val="22"/>
                <w:highlight w:val="none"/>
              </w:rPr>
            </w:pPr>
          </w:p>
        </w:tc>
        <w:tc>
          <w:tcPr>
            <w:tcW w:w="5549" w:type="dxa"/>
            <w:noWrap w:val="0"/>
            <w:vAlign w:val="center"/>
          </w:tcPr>
          <w:p>
            <w:pPr>
              <w:jc w:val="center"/>
              <w:rPr>
                <w:rFonts w:ascii="宋体" w:hAnsi="宋体" w:cs="宋体"/>
                <w:sz w:val="22"/>
                <w:highlight w:val="none"/>
              </w:rPr>
            </w:pPr>
            <w:r>
              <w:rPr>
                <w:rFonts w:hint="eastAsia" w:ascii="宋体" w:hAnsi="宋体" w:cs="宋体"/>
                <w:sz w:val="22"/>
                <w:highlight w:val="none"/>
              </w:rPr>
              <w:t>安徽动车5日</w:t>
            </w:r>
          </w:p>
        </w:tc>
        <w:tc>
          <w:tcPr>
            <w:tcW w:w="2267" w:type="dxa"/>
            <w:noWrap w:val="0"/>
            <w:vAlign w:val="center"/>
          </w:tcPr>
          <w:p>
            <w:pPr>
              <w:jc w:val="center"/>
              <w:rPr>
                <w:rFonts w:ascii="宋体" w:hAnsi="宋体" w:cs="宋体"/>
                <w:sz w:val="22"/>
                <w:highlight w:val="none"/>
              </w:rPr>
            </w:pPr>
            <w:r>
              <w:rPr>
                <w:rFonts w:hint="eastAsia" w:ascii="宋体" w:hAnsi="宋体" w:cs="宋体"/>
                <w:sz w:val="22"/>
                <w:highlight w:val="none"/>
              </w:rPr>
              <w:t>周边省市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noWrap w:val="0"/>
            <w:vAlign w:val="center"/>
          </w:tcPr>
          <w:p>
            <w:pPr>
              <w:jc w:val="center"/>
              <w:rPr>
                <w:rFonts w:ascii="宋体" w:hAnsi="宋体" w:cs="宋体"/>
                <w:sz w:val="22"/>
                <w:highlight w:val="none"/>
              </w:rPr>
            </w:pPr>
          </w:p>
        </w:tc>
        <w:tc>
          <w:tcPr>
            <w:tcW w:w="5549" w:type="dxa"/>
            <w:noWrap w:val="0"/>
            <w:vAlign w:val="center"/>
          </w:tcPr>
          <w:p>
            <w:pPr>
              <w:pStyle w:val="12"/>
              <w:ind w:left="440" w:hanging="440"/>
              <w:jc w:val="center"/>
              <w:rPr>
                <w:rFonts w:hint="eastAsia" w:ascii="宋体" w:hAnsi="宋体" w:cs="宋体"/>
                <w:sz w:val="22"/>
                <w:highlight w:val="none"/>
              </w:rPr>
            </w:pPr>
            <w:r>
              <w:rPr>
                <w:rFonts w:hint="eastAsia" w:ascii="宋体" w:hAnsi="宋体" w:cs="宋体"/>
                <w:sz w:val="22"/>
                <w:highlight w:val="none"/>
              </w:rPr>
              <w:t>丽水、金华市动车5日</w:t>
            </w:r>
          </w:p>
          <w:p>
            <w:pPr>
              <w:pStyle w:val="12"/>
              <w:ind w:left="440" w:hanging="440"/>
              <w:jc w:val="center"/>
              <w:rPr>
                <w:rFonts w:ascii="宋体" w:hAnsi="宋体" w:cs="宋体"/>
                <w:highlight w:val="none"/>
              </w:rPr>
            </w:pPr>
            <w:r>
              <w:rPr>
                <w:rFonts w:hint="eastAsia" w:ascii="宋体" w:hAnsi="宋体" w:cs="宋体"/>
                <w:sz w:val="22"/>
                <w:highlight w:val="none"/>
              </w:rPr>
              <w:t>（行程可安排同一市区内，也可在标段范围内的不同市区穿连安排）</w:t>
            </w:r>
          </w:p>
        </w:tc>
        <w:tc>
          <w:tcPr>
            <w:tcW w:w="2267" w:type="dxa"/>
            <w:vMerge w:val="restart"/>
            <w:noWrap w:val="0"/>
            <w:vAlign w:val="center"/>
          </w:tcPr>
          <w:p>
            <w:pPr>
              <w:jc w:val="center"/>
              <w:rPr>
                <w:rFonts w:ascii="宋体" w:hAnsi="宋体" w:cs="宋体"/>
                <w:sz w:val="22"/>
                <w:highlight w:val="none"/>
              </w:rPr>
            </w:pPr>
            <w:r>
              <w:rPr>
                <w:rFonts w:hint="eastAsia" w:ascii="宋体" w:hAnsi="宋体" w:cs="宋体"/>
                <w:sz w:val="22"/>
                <w:highlight w:val="none"/>
              </w:rPr>
              <w:t>浙江省内疗休养合作城市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noWrap w:val="0"/>
            <w:vAlign w:val="center"/>
          </w:tcPr>
          <w:p>
            <w:pPr>
              <w:jc w:val="center"/>
              <w:rPr>
                <w:rFonts w:ascii="宋体" w:hAnsi="宋体" w:cs="宋体"/>
                <w:sz w:val="22"/>
                <w:highlight w:val="none"/>
              </w:rPr>
            </w:pPr>
          </w:p>
        </w:tc>
        <w:tc>
          <w:tcPr>
            <w:tcW w:w="5549" w:type="dxa"/>
            <w:noWrap w:val="0"/>
            <w:vAlign w:val="center"/>
          </w:tcPr>
          <w:p>
            <w:pPr>
              <w:pStyle w:val="12"/>
              <w:ind w:left="440" w:hanging="440"/>
              <w:jc w:val="center"/>
              <w:rPr>
                <w:rFonts w:hint="eastAsia" w:ascii="宋体" w:hAnsi="宋体" w:cs="宋体"/>
                <w:sz w:val="22"/>
                <w:highlight w:val="none"/>
              </w:rPr>
            </w:pPr>
            <w:r>
              <w:rPr>
                <w:rFonts w:hint="eastAsia" w:ascii="宋体" w:hAnsi="宋体" w:cs="宋体"/>
                <w:sz w:val="22"/>
                <w:highlight w:val="none"/>
              </w:rPr>
              <w:t>杭州、衢州市动车5日</w:t>
            </w:r>
          </w:p>
          <w:p>
            <w:pPr>
              <w:pStyle w:val="12"/>
              <w:ind w:left="440" w:hanging="440"/>
              <w:jc w:val="center"/>
              <w:rPr>
                <w:rFonts w:hint="eastAsia" w:ascii="宋体" w:hAnsi="宋体" w:cs="宋体"/>
                <w:sz w:val="22"/>
                <w:highlight w:val="none"/>
              </w:rPr>
            </w:pPr>
            <w:r>
              <w:rPr>
                <w:rFonts w:hint="eastAsia" w:ascii="宋体" w:hAnsi="宋体" w:cs="宋体"/>
                <w:sz w:val="22"/>
                <w:highlight w:val="none"/>
              </w:rPr>
              <w:t>（行程可安排同一市区内，也可在标段范围内的不同市区穿连安排）</w:t>
            </w:r>
          </w:p>
        </w:tc>
        <w:tc>
          <w:tcPr>
            <w:tcW w:w="2267" w:type="dxa"/>
            <w:vMerge w:val="continue"/>
            <w:noWrap w:val="0"/>
            <w:vAlign w:val="center"/>
          </w:tcPr>
          <w:p>
            <w:pPr>
              <w:jc w:val="center"/>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noWrap w:val="0"/>
            <w:vAlign w:val="center"/>
          </w:tcPr>
          <w:p>
            <w:pPr>
              <w:jc w:val="center"/>
              <w:rPr>
                <w:rFonts w:ascii="宋体" w:hAnsi="宋体" w:cs="宋体"/>
                <w:sz w:val="22"/>
                <w:highlight w:val="none"/>
              </w:rPr>
            </w:pPr>
          </w:p>
        </w:tc>
        <w:tc>
          <w:tcPr>
            <w:tcW w:w="5549" w:type="dxa"/>
            <w:noWrap w:val="0"/>
            <w:vAlign w:val="center"/>
          </w:tcPr>
          <w:p>
            <w:pPr>
              <w:jc w:val="center"/>
              <w:rPr>
                <w:rFonts w:ascii="宋体" w:hAnsi="宋体" w:cs="宋体"/>
                <w:sz w:val="22"/>
                <w:highlight w:val="none"/>
              </w:rPr>
            </w:pPr>
            <w:r>
              <w:rPr>
                <w:rFonts w:hint="eastAsia" w:ascii="宋体" w:hAnsi="宋体" w:cs="宋体"/>
                <w:sz w:val="22"/>
                <w:highlight w:val="none"/>
              </w:rPr>
              <w:t>温州市域线（两种方案：一次性路线：四夜五天，两次路线：一夜两天+两夜三天）</w:t>
            </w:r>
          </w:p>
        </w:tc>
        <w:tc>
          <w:tcPr>
            <w:tcW w:w="2267" w:type="dxa"/>
            <w:noWrap w:val="0"/>
            <w:vAlign w:val="center"/>
          </w:tcPr>
          <w:p>
            <w:pPr>
              <w:jc w:val="center"/>
              <w:rPr>
                <w:rFonts w:ascii="宋体" w:hAnsi="宋体" w:cs="宋体"/>
                <w:sz w:val="22"/>
                <w:highlight w:val="none"/>
              </w:rPr>
            </w:pPr>
            <w:r>
              <w:rPr>
                <w:rFonts w:hint="eastAsia" w:ascii="宋体" w:hAnsi="宋体" w:cs="宋体"/>
                <w:sz w:val="22"/>
                <w:highlight w:val="none"/>
              </w:rPr>
              <w:t>温州市域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restart"/>
            <w:noWrap w:val="0"/>
            <w:vAlign w:val="center"/>
          </w:tcPr>
          <w:p>
            <w:pPr>
              <w:jc w:val="center"/>
              <w:rPr>
                <w:rFonts w:hint="eastAsia" w:ascii="宋体" w:hAnsi="宋体" w:cs="宋体"/>
                <w:sz w:val="22"/>
                <w:highlight w:val="none"/>
              </w:rPr>
            </w:pPr>
            <w:r>
              <w:rPr>
                <w:rFonts w:hint="eastAsia" w:ascii="宋体" w:hAnsi="宋体" w:cs="宋体"/>
                <w:sz w:val="22"/>
                <w:highlight w:val="none"/>
              </w:rPr>
              <w:t>标项二：</w:t>
            </w:r>
            <w:r>
              <w:rPr>
                <w:rFonts w:hint="eastAsia" w:ascii="宋体" w:hAnsi="宋体" w:cs="宋体"/>
                <w:bCs/>
                <w:sz w:val="22"/>
                <w:highlight w:val="none"/>
              </w:rPr>
              <w:t>2023年</w:t>
            </w:r>
            <w:r>
              <w:rPr>
                <w:rFonts w:hint="eastAsia" w:ascii="宋体" w:hAnsi="宋体" w:cs="宋体"/>
                <w:bCs/>
                <w:sz w:val="22"/>
                <w:highlight w:val="none"/>
                <w:lang w:eastAsia="zh-CN"/>
              </w:rPr>
              <w:t>温州理工学院</w:t>
            </w:r>
            <w:r>
              <w:rPr>
                <w:rFonts w:hint="eastAsia" w:ascii="宋体" w:hAnsi="宋体" w:cs="宋体"/>
                <w:bCs/>
                <w:sz w:val="22"/>
                <w:highlight w:val="none"/>
              </w:rPr>
              <w:t>教职工疗休养服务2</w:t>
            </w:r>
          </w:p>
        </w:tc>
        <w:tc>
          <w:tcPr>
            <w:tcW w:w="5549" w:type="dxa"/>
            <w:noWrap w:val="0"/>
            <w:vAlign w:val="center"/>
          </w:tcPr>
          <w:p>
            <w:pPr>
              <w:jc w:val="center"/>
              <w:rPr>
                <w:rFonts w:ascii="宋体" w:hAnsi="宋体" w:cs="宋体"/>
                <w:sz w:val="22"/>
                <w:highlight w:val="none"/>
              </w:rPr>
            </w:pPr>
            <w:r>
              <w:rPr>
                <w:rFonts w:hint="eastAsia" w:ascii="宋体" w:hAnsi="宋体" w:cs="宋体"/>
                <w:sz w:val="22"/>
                <w:highlight w:val="none"/>
              </w:rPr>
              <w:t>新疆三飞8日</w:t>
            </w:r>
          </w:p>
        </w:tc>
        <w:tc>
          <w:tcPr>
            <w:tcW w:w="2267" w:type="dxa"/>
            <w:noWrap w:val="0"/>
            <w:vAlign w:val="center"/>
          </w:tcPr>
          <w:p>
            <w:pPr>
              <w:jc w:val="center"/>
              <w:rPr>
                <w:rFonts w:ascii="宋体" w:hAnsi="宋体" w:cs="宋体"/>
                <w:sz w:val="22"/>
                <w:highlight w:val="none"/>
              </w:rPr>
            </w:pPr>
            <w:r>
              <w:rPr>
                <w:rFonts w:hint="eastAsia" w:ascii="宋体" w:hAnsi="宋体" w:cs="宋体"/>
                <w:sz w:val="22"/>
                <w:highlight w:val="none"/>
              </w:rPr>
              <w:t>对口援建城市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noWrap w:val="0"/>
            <w:vAlign w:val="center"/>
          </w:tcPr>
          <w:p>
            <w:pPr>
              <w:jc w:val="center"/>
              <w:rPr>
                <w:rFonts w:ascii="宋体" w:hAnsi="宋体" w:cs="宋体"/>
                <w:sz w:val="22"/>
                <w:highlight w:val="none"/>
              </w:rPr>
            </w:pPr>
          </w:p>
        </w:tc>
        <w:tc>
          <w:tcPr>
            <w:tcW w:w="5549" w:type="dxa"/>
            <w:noWrap w:val="0"/>
            <w:vAlign w:val="center"/>
          </w:tcPr>
          <w:p>
            <w:pPr>
              <w:jc w:val="center"/>
              <w:rPr>
                <w:rFonts w:ascii="宋体" w:hAnsi="宋体" w:cs="宋体"/>
                <w:sz w:val="22"/>
                <w:highlight w:val="none"/>
              </w:rPr>
            </w:pPr>
            <w:r>
              <w:rPr>
                <w:rFonts w:hint="eastAsia" w:ascii="宋体" w:hAnsi="宋体" w:cs="宋体"/>
                <w:sz w:val="22"/>
                <w:highlight w:val="none"/>
              </w:rPr>
              <w:t>江苏动车5日</w:t>
            </w:r>
          </w:p>
        </w:tc>
        <w:tc>
          <w:tcPr>
            <w:tcW w:w="2267" w:type="dxa"/>
            <w:vMerge w:val="restart"/>
            <w:noWrap w:val="0"/>
            <w:vAlign w:val="center"/>
          </w:tcPr>
          <w:p>
            <w:pPr>
              <w:jc w:val="center"/>
              <w:rPr>
                <w:rFonts w:ascii="宋体" w:hAnsi="宋体" w:cs="宋体"/>
                <w:sz w:val="22"/>
                <w:highlight w:val="none"/>
              </w:rPr>
            </w:pPr>
            <w:r>
              <w:rPr>
                <w:rFonts w:hint="eastAsia" w:ascii="宋体" w:hAnsi="宋体" w:cs="宋体"/>
                <w:sz w:val="22"/>
                <w:highlight w:val="none"/>
              </w:rPr>
              <w:t>周边省市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noWrap w:val="0"/>
            <w:vAlign w:val="center"/>
          </w:tcPr>
          <w:p>
            <w:pPr>
              <w:jc w:val="center"/>
              <w:rPr>
                <w:rFonts w:ascii="宋体" w:hAnsi="宋体" w:cs="宋体"/>
                <w:sz w:val="22"/>
                <w:highlight w:val="none"/>
              </w:rPr>
            </w:pPr>
          </w:p>
        </w:tc>
        <w:tc>
          <w:tcPr>
            <w:tcW w:w="5549" w:type="dxa"/>
            <w:noWrap w:val="0"/>
            <w:vAlign w:val="center"/>
          </w:tcPr>
          <w:p>
            <w:pPr>
              <w:jc w:val="center"/>
              <w:rPr>
                <w:rFonts w:hint="eastAsia" w:ascii="宋体" w:hAnsi="宋体" w:cs="宋体"/>
                <w:sz w:val="22"/>
                <w:highlight w:val="none"/>
              </w:rPr>
            </w:pPr>
            <w:r>
              <w:rPr>
                <w:rFonts w:hint="eastAsia" w:ascii="宋体" w:hAnsi="宋体" w:cs="宋体"/>
                <w:sz w:val="22"/>
                <w:highlight w:val="none"/>
              </w:rPr>
              <w:t>江西动车5日</w:t>
            </w:r>
          </w:p>
        </w:tc>
        <w:tc>
          <w:tcPr>
            <w:tcW w:w="2267" w:type="dxa"/>
            <w:vMerge w:val="continue"/>
            <w:noWrap w:val="0"/>
            <w:vAlign w:val="center"/>
          </w:tcPr>
          <w:p>
            <w:pPr>
              <w:jc w:val="center"/>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noWrap w:val="0"/>
            <w:vAlign w:val="center"/>
          </w:tcPr>
          <w:p>
            <w:pPr>
              <w:jc w:val="center"/>
              <w:rPr>
                <w:rFonts w:ascii="宋体" w:hAnsi="宋体" w:cs="宋体"/>
                <w:sz w:val="22"/>
                <w:highlight w:val="none"/>
              </w:rPr>
            </w:pPr>
          </w:p>
        </w:tc>
        <w:tc>
          <w:tcPr>
            <w:tcW w:w="5549" w:type="dxa"/>
            <w:noWrap w:val="0"/>
            <w:vAlign w:val="center"/>
          </w:tcPr>
          <w:p>
            <w:pPr>
              <w:jc w:val="center"/>
              <w:rPr>
                <w:rFonts w:hint="eastAsia" w:ascii="宋体" w:hAnsi="宋体" w:cs="宋体"/>
                <w:sz w:val="22"/>
                <w:highlight w:val="none"/>
              </w:rPr>
            </w:pPr>
            <w:r>
              <w:rPr>
                <w:rFonts w:hint="eastAsia" w:ascii="宋体" w:hAnsi="宋体" w:cs="宋体"/>
                <w:sz w:val="22"/>
                <w:highlight w:val="none"/>
              </w:rPr>
              <w:t>台州、绍兴市动车5日</w:t>
            </w:r>
          </w:p>
          <w:p>
            <w:pPr>
              <w:jc w:val="center"/>
              <w:rPr>
                <w:rFonts w:ascii="宋体" w:hAnsi="宋体" w:cs="宋体"/>
                <w:sz w:val="22"/>
                <w:highlight w:val="none"/>
              </w:rPr>
            </w:pPr>
            <w:r>
              <w:rPr>
                <w:rFonts w:hint="eastAsia" w:ascii="宋体" w:hAnsi="宋体" w:cs="宋体"/>
                <w:sz w:val="22"/>
                <w:highlight w:val="none"/>
              </w:rPr>
              <w:t>（行程可安排同一市区内，也可在标段范围内的不同市区穿连安排）</w:t>
            </w:r>
          </w:p>
        </w:tc>
        <w:tc>
          <w:tcPr>
            <w:tcW w:w="2267" w:type="dxa"/>
            <w:vMerge w:val="restart"/>
            <w:noWrap w:val="0"/>
            <w:vAlign w:val="center"/>
          </w:tcPr>
          <w:p>
            <w:pPr>
              <w:jc w:val="center"/>
              <w:rPr>
                <w:rFonts w:ascii="宋体" w:hAnsi="宋体" w:cs="宋体"/>
                <w:sz w:val="22"/>
                <w:highlight w:val="none"/>
              </w:rPr>
            </w:pPr>
            <w:r>
              <w:rPr>
                <w:rFonts w:hint="eastAsia" w:ascii="宋体" w:hAnsi="宋体" w:cs="宋体"/>
                <w:sz w:val="22"/>
                <w:highlight w:val="none"/>
              </w:rPr>
              <w:t>浙江省内疗休养合作城市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noWrap w:val="0"/>
            <w:vAlign w:val="center"/>
          </w:tcPr>
          <w:p>
            <w:pPr>
              <w:jc w:val="center"/>
              <w:rPr>
                <w:rFonts w:ascii="宋体" w:hAnsi="宋体" w:cs="宋体"/>
                <w:sz w:val="22"/>
                <w:highlight w:val="none"/>
              </w:rPr>
            </w:pPr>
          </w:p>
        </w:tc>
        <w:tc>
          <w:tcPr>
            <w:tcW w:w="5549" w:type="dxa"/>
            <w:noWrap w:val="0"/>
            <w:vAlign w:val="center"/>
          </w:tcPr>
          <w:p>
            <w:pPr>
              <w:jc w:val="center"/>
              <w:rPr>
                <w:rFonts w:hint="eastAsia" w:ascii="宋体" w:hAnsi="宋体" w:cs="宋体"/>
                <w:sz w:val="22"/>
                <w:highlight w:val="none"/>
              </w:rPr>
            </w:pPr>
            <w:r>
              <w:rPr>
                <w:rFonts w:hint="eastAsia" w:ascii="宋体" w:hAnsi="宋体" w:cs="宋体"/>
                <w:sz w:val="22"/>
                <w:highlight w:val="none"/>
              </w:rPr>
              <w:t>湖州市动车5日</w:t>
            </w:r>
          </w:p>
          <w:p>
            <w:pPr>
              <w:jc w:val="center"/>
              <w:rPr>
                <w:rFonts w:hint="eastAsia" w:ascii="宋体" w:hAnsi="宋体" w:cs="宋体"/>
                <w:sz w:val="22"/>
                <w:highlight w:val="none"/>
              </w:rPr>
            </w:pPr>
            <w:r>
              <w:rPr>
                <w:rFonts w:hint="eastAsia" w:ascii="宋体" w:hAnsi="宋体" w:cs="宋体"/>
                <w:sz w:val="22"/>
                <w:highlight w:val="none"/>
              </w:rPr>
              <w:t>（行程可安排同一市区内，也可在标段范围内的不同市区穿连安排）</w:t>
            </w:r>
          </w:p>
        </w:tc>
        <w:tc>
          <w:tcPr>
            <w:tcW w:w="2267" w:type="dxa"/>
            <w:vMerge w:val="continue"/>
            <w:noWrap w:val="0"/>
            <w:vAlign w:val="center"/>
          </w:tcPr>
          <w:p>
            <w:pPr>
              <w:jc w:val="center"/>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noWrap w:val="0"/>
            <w:vAlign w:val="center"/>
          </w:tcPr>
          <w:p>
            <w:pPr>
              <w:jc w:val="center"/>
              <w:rPr>
                <w:rFonts w:ascii="宋体" w:hAnsi="宋体" w:cs="宋体"/>
                <w:sz w:val="22"/>
                <w:highlight w:val="none"/>
              </w:rPr>
            </w:pPr>
          </w:p>
        </w:tc>
        <w:tc>
          <w:tcPr>
            <w:tcW w:w="5549" w:type="dxa"/>
            <w:noWrap w:val="0"/>
            <w:vAlign w:val="center"/>
          </w:tcPr>
          <w:p>
            <w:pPr>
              <w:jc w:val="center"/>
              <w:rPr>
                <w:rFonts w:ascii="宋体" w:hAnsi="宋体" w:cs="宋体"/>
                <w:sz w:val="22"/>
                <w:highlight w:val="none"/>
              </w:rPr>
            </w:pPr>
            <w:r>
              <w:rPr>
                <w:rFonts w:hint="eastAsia" w:ascii="宋体" w:hAnsi="宋体" w:cs="宋体"/>
                <w:sz w:val="22"/>
                <w:highlight w:val="none"/>
              </w:rPr>
              <w:t>温州市域线（两种方案：一次性路线：四夜五天，两次路线：一夜两天+两夜三天）</w:t>
            </w:r>
          </w:p>
        </w:tc>
        <w:tc>
          <w:tcPr>
            <w:tcW w:w="2267" w:type="dxa"/>
            <w:noWrap w:val="0"/>
            <w:vAlign w:val="center"/>
          </w:tcPr>
          <w:p>
            <w:pPr>
              <w:jc w:val="center"/>
              <w:rPr>
                <w:rFonts w:ascii="宋体" w:hAnsi="宋体" w:cs="宋体"/>
                <w:sz w:val="22"/>
                <w:highlight w:val="none"/>
              </w:rPr>
            </w:pPr>
            <w:r>
              <w:rPr>
                <w:rFonts w:hint="eastAsia" w:ascii="宋体" w:hAnsi="宋体" w:cs="宋体"/>
                <w:sz w:val="22"/>
                <w:highlight w:val="none"/>
              </w:rPr>
              <w:t>温州市域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restart"/>
            <w:noWrap w:val="0"/>
            <w:vAlign w:val="center"/>
          </w:tcPr>
          <w:p>
            <w:pPr>
              <w:jc w:val="center"/>
              <w:rPr>
                <w:rFonts w:hint="eastAsia" w:ascii="宋体" w:hAnsi="宋体" w:cs="宋体"/>
                <w:sz w:val="22"/>
                <w:highlight w:val="none"/>
              </w:rPr>
            </w:pPr>
            <w:r>
              <w:rPr>
                <w:rFonts w:hint="eastAsia" w:ascii="宋体" w:hAnsi="宋体" w:cs="宋体"/>
                <w:sz w:val="22"/>
                <w:highlight w:val="none"/>
              </w:rPr>
              <w:t>标项三：</w:t>
            </w:r>
            <w:r>
              <w:rPr>
                <w:rFonts w:hint="eastAsia" w:ascii="宋体" w:hAnsi="宋体" w:cs="宋体"/>
                <w:bCs/>
                <w:sz w:val="22"/>
                <w:highlight w:val="none"/>
              </w:rPr>
              <w:t>2023年</w:t>
            </w:r>
            <w:r>
              <w:rPr>
                <w:rFonts w:hint="eastAsia" w:ascii="宋体" w:hAnsi="宋体" w:cs="宋体"/>
                <w:bCs/>
                <w:sz w:val="22"/>
                <w:highlight w:val="none"/>
                <w:lang w:eastAsia="zh-CN"/>
              </w:rPr>
              <w:t>温州理工学院</w:t>
            </w:r>
            <w:r>
              <w:rPr>
                <w:rFonts w:hint="eastAsia" w:ascii="宋体" w:hAnsi="宋体" w:cs="宋体"/>
                <w:bCs/>
                <w:sz w:val="22"/>
                <w:highlight w:val="none"/>
              </w:rPr>
              <w:t>教职工疗休养服务3</w:t>
            </w:r>
          </w:p>
        </w:tc>
        <w:tc>
          <w:tcPr>
            <w:tcW w:w="5549" w:type="dxa"/>
            <w:noWrap w:val="0"/>
            <w:vAlign w:val="center"/>
          </w:tcPr>
          <w:p>
            <w:pPr>
              <w:jc w:val="center"/>
              <w:rPr>
                <w:rFonts w:ascii="宋体" w:hAnsi="宋体" w:cs="宋体"/>
                <w:sz w:val="22"/>
                <w:highlight w:val="none"/>
              </w:rPr>
            </w:pPr>
            <w:r>
              <w:rPr>
                <w:rFonts w:hint="eastAsia" w:ascii="宋体" w:hAnsi="宋体" w:cs="宋体"/>
                <w:sz w:val="22"/>
                <w:highlight w:val="none"/>
              </w:rPr>
              <w:t>四川双飞6日</w:t>
            </w:r>
          </w:p>
        </w:tc>
        <w:tc>
          <w:tcPr>
            <w:tcW w:w="2267" w:type="dxa"/>
            <w:vMerge w:val="restart"/>
            <w:noWrap w:val="0"/>
            <w:vAlign w:val="center"/>
          </w:tcPr>
          <w:p>
            <w:pPr>
              <w:jc w:val="center"/>
              <w:rPr>
                <w:rFonts w:ascii="宋体" w:hAnsi="宋体" w:cs="宋体"/>
                <w:sz w:val="22"/>
                <w:highlight w:val="none"/>
              </w:rPr>
            </w:pPr>
            <w:r>
              <w:rPr>
                <w:rFonts w:hint="eastAsia" w:ascii="宋体" w:hAnsi="宋体" w:cs="宋体"/>
                <w:sz w:val="22"/>
                <w:highlight w:val="none"/>
              </w:rPr>
              <w:t>对口援建城市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noWrap w:val="0"/>
            <w:vAlign w:val="center"/>
          </w:tcPr>
          <w:p>
            <w:pPr>
              <w:jc w:val="center"/>
              <w:rPr>
                <w:rFonts w:hint="eastAsia" w:ascii="宋体" w:hAnsi="宋体" w:cs="宋体"/>
                <w:sz w:val="22"/>
                <w:highlight w:val="none"/>
              </w:rPr>
            </w:pPr>
          </w:p>
        </w:tc>
        <w:tc>
          <w:tcPr>
            <w:tcW w:w="5549" w:type="dxa"/>
            <w:noWrap w:val="0"/>
            <w:vAlign w:val="center"/>
          </w:tcPr>
          <w:p>
            <w:pPr>
              <w:jc w:val="center"/>
              <w:rPr>
                <w:rFonts w:hint="eastAsia" w:ascii="宋体" w:hAnsi="宋体" w:cs="宋体"/>
                <w:sz w:val="22"/>
                <w:highlight w:val="none"/>
              </w:rPr>
            </w:pPr>
            <w:r>
              <w:rPr>
                <w:rFonts w:hint="eastAsia" w:ascii="宋体" w:hAnsi="宋体" w:cs="宋体"/>
                <w:kern w:val="0"/>
                <w:sz w:val="22"/>
                <w:highlight w:val="none"/>
              </w:rPr>
              <w:t>湖北</w:t>
            </w:r>
            <w:r>
              <w:rPr>
                <w:rFonts w:hint="eastAsia" w:ascii="宋体" w:hAnsi="宋体" w:cs="宋体"/>
                <w:kern w:val="0"/>
                <w:sz w:val="22"/>
                <w:highlight w:val="none"/>
                <w:lang w:val="zh-CN"/>
              </w:rPr>
              <w:t>双飞</w:t>
            </w:r>
            <w:r>
              <w:rPr>
                <w:rFonts w:hint="eastAsia" w:ascii="宋体" w:hAnsi="宋体" w:cs="宋体"/>
                <w:kern w:val="0"/>
                <w:sz w:val="22"/>
                <w:highlight w:val="none"/>
              </w:rPr>
              <w:t>6</w:t>
            </w:r>
            <w:r>
              <w:rPr>
                <w:rFonts w:hint="eastAsia" w:ascii="宋体" w:hAnsi="宋体" w:cs="宋体"/>
                <w:kern w:val="0"/>
                <w:sz w:val="22"/>
                <w:highlight w:val="none"/>
                <w:lang w:val="zh-CN"/>
              </w:rPr>
              <w:t>日</w:t>
            </w:r>
          </w:p>
        </w:tc>
        <w:tc>
          <w:tcPr>
            <w:tcW w:w="2267" w:type="dxa"/>
            <w:vMerge w:val="continue"/>
            <w:noWrap w:val="0"/>
            <w:vAlign w:val="center"/>
          </w:tcPr>
          <w:p>
            <w:pPr>
              <w:jc w:val="center"/>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noWrap w:val="0"/>
            <w:vAlign w:val="center"/>
          </w:tcPr>
          <w:p>
            <w:pPr>
              <w:jc w:val="center"/>
              <w:rPr>
                <w:rFonts w:ascii="宋体" w:hAnsi="宋体" w:cs="宋体"/>
                <w:sz w:val="22"/>
                <w:highlight w:val="none"/>
              </w:rPr>
            </w:pPr>
          </w:p>
        </w:tc>
        <w:tc>
          <w:tcPr>
            <w:tcW w:w="5549" w:type="dxa"/>
            <w:noWrap w:val="0"/>
            <w:vAlign w:val="center"/>
          </w:tcPr>
          <w:p>
            <w:pPr>
              <w:jc w:val="center"/>
              <w:rPr>
                <w:rFonts w:ascii="宋体" w:hAnsi="宋体" w:cs="宋体"/>
                <w:sz w:val="22"/>
                <w:highlight w:val="none"/>
              </w:rPr>
            </w:pPr>
            <w:r>
              <w:rPr>
                <w:rFonts w:hint="eastAsia" w:ascii="宋体" w:hAnsi="宋体" w:cs="宋体"/>
                <w:sz w:val="22"/>
                <w:highlight w:val="none"/>
              </w:rPr>
              <w:t>上海动车5日</w:t>
            </w:r>
          </w:p>
        </w:tc>
        <w:tc>
          <w:tcPr>
            <w:tcW w:w="2267" w:type="dxa"/>
            <w:vMerge w:val="restart"/>
            <w:noWrap w:val="0"/>
            <w:vAlign w:val="center"/>
          </w:tcPr>
          <w:p>
            <w:pPr>
              <w:jc w:val="center"/>
              <w:rPr>
                <w:rFonts w:ascii="宋体" w:hAnsi="宋体" w:cs="宋体"/>
                <w:sz w:val="22"/>
                <w:highlight w:val="none"/>
              </w:rPr>
            </w:pPr>
            <w:r>
              <w:rPr>
                <w:rFonts w:hint="eastAsia" w:ascii="宋体" w:hAnsi="宋体" w:cs="宋体"/>
                <w:sz w:val="22"/>
                <w:highlight w:val="none"/>
              </w:rPr>
              <w:t>周边省市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noWrap w:val="0"/>
            <w:vAlign w:val="center"/>
          </w:tcPr>
          <w:p>
            <w:pPr>
              <w:jc w:val="center"/>
              <w:rPr>
                <w:rFonts w:ascii="宋体" w:hAnsi="宋体" w:cs="宋体"/>
                <w:sz w:val="22"/>
                <w:highlight w:val="none"/>
              </w:rPr>
            </w:pPr>
          </w:p>
        </w:tc>
        <w:tc>
          <w:tcPr>
            <w:tcW w:w="5549" w:type="dxa"/>
            <w:noWrap w:val="0"/>
            <w:vAlign w:val="center"/>
          </w:tcPr>
          <w:p>
            <w:pPr>
              <w:jc w:val="center"/>
              <w:rPr>
                <w:rFonts w:hint="eastAsia" w:ascii="宋体" w:hAnsi="宋体" w:cs="宋体"/>
                <w:sz w:val="22"/>
                <w:highlight w:val="none"/>
              </w:rPr>
            </w:pPr>
            <w:r>
              <w:rPr>
                <w:rFonts w:hint="eastAsia" w:ascii="宋体" w:hAnsi="宋体" w:cs="宋体"/>
                <w:sz w:val="22"/>
                <w:highlight w:val="none"/>
              </w:rPr>
              <w:t>福建动车5日</w:t>
            </w:r>
          </w:p>
        </w:tc>
        <w:tc>
          <w:tcPr>
            <w:tcW w:w="2267" w:type="dxa"/>
            <w:vMerge w:val="continue"/>
            <w:noWrap w:val="0"/>
            <w:vAlign w:val="center"/>
          </w:tcPr>
          <w:p>
            <w:pPr>
              <w:jc w:val="center"/>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noWrap w:val="0"/>
            <w:vAlign w:val="center"/>
          </w:tcPr>
          <w:p>
            <w:pPr>
              <w:jc w:val="center"/>
              <w:rPr>
                <w:rFonts w:ascii="宋体" w:hAnsi="宋体" w:cs="宋体"/>
                <w:sz w:val="22"/>
                <w:highlight w:val="none"/>
              </w:rPr>
            </w:pPr>
          </w:p>
        </w:tc>
        <w:tc>
          <w:tcPr>
            <w:tcW w:w="5549" w:type="dxa"/>
            <w:noWrap w:val="0"/>
            <w:vAlign w:val="center"/>
          </w:tcPr>
          <w:p>
            <w:pPr>
              <w:jc w:val="center"/>
              <w:rPr>
                <w:rFonts w:hint="eastAsia" w:ascii="宋体" w:hAnsi="宋体" w:cs="宋体"/>
                <w:sz w:val="22"/>
                <w:highlight w:val="none"/>
              </w:rPr>
            </w:pPr>
            <w:r>
              <w:rPr>
                <w:rFonts w:hint="eastAsia" w:ascii="宋体" w:hAnsi="宋体" w:cs="宋体"/>
                <w:sz w:val="22"/>
                <w:highlight w:val="none"/>
              </w:rPr>
              <w:t>宁波、舟山市动车5日</w:t>
            </w:r>
          </w:p>
          <w:p>
            <w:pPr>
              <w:jc w:val="center"/>
              <w:rPr>
                <w:rFonts w:ascii="宋体" w:hAnsi="宋体" w:cs="宋体"/>
                <w:sz w:val="22"/>
                <w:highlight w:val="none"/>
              </w:rPr>
            </w:pPr>
            <w:r>
              <w:rPr>
                <w:rFonts w:hint="eastAsia" w:ascii="宋体" w:hAnsi="宋体" w:cs="宋体"/>
                <w:sz w:val="22"/>
                <w:highlight w:val="none"/>
              </w:rPr>
              <w:t>（行程可安排同一市区内，也可在标段范围内的不同市区穿连安排）</w:t>
            </w:r>
          </w:p>
        </w:tc>
        <w:tc>
          <w:tcPr>
            <w:tcW w:w="2267" w:type="dxa"/>
            <w:vMerge w:val="restart"/>
            <w:noWrap w:val="0"/>
            <w:vAlign w:val="center"/>
          </w:tcPr>
          <w:p>
            <w:pPr>
              <w:jc w:val="center"/>
              <w:rPr>
                <w:rFonts w:ascii="宋体" w:hAnsi="宋体" w:cs="宋体"/>
                <w:sz w:val="22"/>
                <w:highlight w:val="none"/>
              </w:rPr>
            </w:pPr>
            <w:r>
              <w:rPr>
                <w:rFonts w:hint="eastAsia" w:ascii="宋体" w:hAnsi="宋体" w:cs="宋体"/>
                <w:sz w:val="22"/>
                <w:highlight w:val="none"/>
              </w:rPr>
              <w:t>浙江省内疗休养合作城市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noWrap w:val="0"/>
            <w:vAlign w:val="center"/>
          </w:tcPr>
          <w:p>
            <w:pPr>
              <w:jc w:val="center"/>
              <w:rPr>
                <w:rFonts w:ascii="宋体" w:hAnsi="宋体" w:cs="宋体"/>
                <w:sz w:val="22"/>
                <w:highlight w:val="none"/>
              </w:rPr>
            </w:pPr>
          </w:p>
        </w:tc>
        <w:tc>
          <w:tcPr>
            <w:tcW w:w="5549" w:type="dxa"/>
            <w:noWrap w:val="0"/>
            <w:vAlign w:val="center"/>
          </w:tcPr>
          <w:p>
            <w:pPr>
              <w:jc w:val="center"/>
              <w:rPr>
                <w:rFonts w:hint="eastAsia" w:ascii="宋体" w:hAnsi="宋体" w:cs="宋体"/>
                <w:sz w:val="22"/>
                <w:highlight w:val="none"/>
              </w:rPr>
            </w:pPr>
            <w:r>
              <w:rPr>
                <w:rFonts w:hint="eastAsia" w:ascii="宋体" w:hAnsi="宋体" w:cs="宋体"/>
                <w:sz w:val="22"/>
                <w:highlight w:val="none"/>
              </w:rPr>
              <w:t>嘉兴市动车5日</w:t>
            </w:r>
          </w:p>
          <w:p>
            <w:pPr>
              <w:jc w:val="center"/>
              <w:rPr>
                <w:rFonts w:hint="eastAsia" w:ascii="宋体" w:hAnsi="宋体" w:cs="宋体"/>
                <w:sz w:val="22"/>
                <w:highlight w:val="none"/>
              </w:rPr>
            </w:pPr>
            <w:r>
              <w:rPr>
                <w:rFonts w:hint="eastAsia" w:ascii="宋体" w:hAnsi="宋体" w:cs="宋体"/>
                <w:sz w:val="22"/>
                <w:highlight w:val="none"/>
              </w:rPr>
              <w:t>（行程可安排同一市区内，也可在标段范围内的不同市区穿连安排）</w:t>
            </w:r>
          </w:p>
        </w:tc>
        <w:tc>
          <w:tcPr>
            <w:tcW w:w="2267" w:type="dxa"/>
            <w:vMerge w:val="continue"/>
            <w:noWrap w:val="0"/>
            <w:vAlign w:val="center"/>
          </w:tcPr>
          <w:p>
            <w:pPr>
              <w:jc w:val="center"/>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Merge w:val="continue"/>
            <w:noWrap w:val="0"/>
            <w:vAlign w:val="center"/>
          </w:tcPr>
          <w:p>
            <w:pPr>
              <w:jc w:val="center"/>
              <w:rPr>
                <w:rFonts w:ascii="宋体" w:hAnsi="宋体" w:cs="宋体"/>
                <w:sz w:val="22"/>
                <w:highlight w:val="none"/>
              </w:rPr>
            </w:pPr>
          </w:p>
        </w:tc>
        <w:tc>
          <w:tcPr>
            <w:tcW w:w="5549" w:type="dxa"/>
            <w:noWrap w:val="0"/>
            <w:vAlign w:val="center"/>
          </w:tcPr>
          <w:p>
            <w:pPr>
              <w:jc w:val="center"/>
              <w:rPr>
                <w:rFonts w:ascii="宋体" w:hAnsi="宋体" w:cs="宋体"/>
                <w:sz w:val="22"/>
                <w:highlight w:val="none"/>
              </w:rPr>
            </w:pPr>
            <w:r>
              <w:rPr>
                <w:rFonts w:hint="eastAsia" w:ascii="宋体" w:hAnsi="宋体" w:cs="宋体"/>
                <w:sz w:val="22"/>
                <w:highlight w:val="none"/>
              </w:rPr>
              <w:t>温州市域线（两种方案：一次性路线：四夜五天，两次路线：一夜两天+两夜三天）</w:t>
            </w:r>
          </w:p>
        </w:tc>
        <w:tc>
          <w:tcPr>
            <w:tcW w:w="2267" w:type="dxa"/>
            <w:noWrap w:val="0"/>
            <w:vAlign w:val="center"/>
          </w:tcPr>
          <w:p>
            <w:pPr>
              <w:jc w:val="center"/>
              <w:rPr>
                <w:rFonts w:ascii="宋体" w:hAnsi="宋体" w:cs="宋体"/>
                <w:sz w:val="22"/>
                <w:highlight w:val="none"/>
              </w:rPr>
            </w:pPr>
            <w:r>
              <w:rPr>
                <w:rFonts w:hint="eastAsia" w:ascii="宋体" w:hAnsi="宋体" w:cs="宋体"/>
                <w:sz w:val="22"/>
                <w:highlight w:val="none"/>
              </w:rPr>
              <w:t>温州市域</w:t>
            </w:r>
          </w:p>
        </w:tc>
      </w:tr>
    </w:tbl>
    <w:p>
      <w:pPr>
        <w:keepNext w:val="0"/>
        <w:keepLines w:val="0"/>
        <w:pageBreakBefore w:val="0"/>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b/>
          <w:bCs/>
          <w:color w:val="auto"/>
          <w:spacing w:val="-6"/>
          <w:sz w:val="22"/>
          <w:szCs w:val="22"/>
          <w:highlight w:val="none"/>
          <w:lang w:val="en-US" w:eastAsia="zh-CN"/>
        </w:rPr>
      </w:pPr>
    </w:p>
    <w:p>
      <w:pPr>
        <w:keepNext w:val="0"/>
        <w:keepLines w:val="0"/>
        <w:pageBreakBefore w:val="0"/>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b/>
          <w:bCs/>
          <w:color w:val="auto"/>
          <w:spacing w:val="-6"/>
          <w:sz w:val="22"/>
          <w:szCs w:val="22"/>
          <w:highlight w:val="none"/>
        </w:rPr>
      </w:pPr>
      <w:r>
        <w:rPr>
          <w:rFonts w:hint="eastAsia" w:ascii="宋体" w:hAnsi="宋体" w:cs="宋体"/>
          <w:b/>
          <w:bCs/>
          <w:color w:val="auto"/>
          <w:spacing w:val="-6"/>
          <w:sz w:val="22"/>
          <w:szCs w:val="22"/>
          <w:highlight w:val="none"/>
          <w:lang w:val="en-US" w:eastAsia="zh-CN"/>
        </w:rPr>
        <w:t>四</w:t>
      </w:r>
      <w:r>
        <w:rPr>
          <w:rFonts w:hint="eastAsia" w:ascii="宋体" w:hAnsi="宋体" w:eastAsia="宋体" w:cs="宋体"/>
          <w:b/>
          <w:bCs/>
          <w:color w:val="auto"/>
          <w:spacing w:val="-6"/>
          <w:sz w:val="22"/>
          <w:szCs w:val="22"/>
          <w:highlight w:val="none"/>
          <w:lang w:val="en-US" w:eastAsia="zh-CN"/>
        </w:rPr>
        <w:t>、</w:t>
      </w:r>
      <w:r>
        <w:rPr>
          <w:rFonts w:hint="eastAsia" w:ascii="宋体" w:hAnsi="宋体" w:eastAsia="宋体" w:cs="宋体"/>
          <w:b/>
          <w:bCs/>
          <w:color w:val="auto"/>
          <w:spacing w:val="-6"/>
          <w:sz w:val="22"/>
          <w:szCs w:val="22"/>
          <w:highlight w:val="none"/>
        </w:rPr>
        <w:t>其他</w:t>
      </w:r>
    </w:p>
    <w:p>
      <w:pPr>
        <w:keepNext w:val="0"/>
        <w:keepLines w:val="0"/>
        <w:pageBreakBefore w:val="0"/>
        <w:kinsoku/>
        <w:wordWrap/>
        <w:overflowPunct/>
        <w:topLinePunct w:val="0"/>
        <w:autoSpaceDE/>
        <w:autoSpaceDN/>
        <w:bidi w:val="0"/>
        <w:adjustRightInd/>
        <w:snapToGrid w:val="0"/>
        <w:spacing w:line="360" w:lineRule="exact"/>
        <w:ind w:firstLine="418" w:firstLineChars="200"/>
        <w:jc w:val="left"/>
        <w:textAlignment w:val="auto"/>
        <w:outlineLvl w:val="9"/>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1.除招标文件中所明确的采购需求外，欢迎其他能满足本项目采购需求且性能相当于或高于所明确采购需求的</w:t>
      </w:r>
      <w:r>
        <w:rPr>
          <w:rFonts w:hint="eastAsia" w:ascii="宋体" w:hAnsi="宋体" w:eastAsia="宋体" w:cs="宋体"/>
          <w:b/>
          <w:bCs/>
          <w:color w:val="auto"/>
          <w:spacing w:val="-6"/>
          <w:sz w:val="22"/>
          <w:szCs w:val="22"/>
          <w:highlight w:val="none"/>
          <w:lang w:val="en-US" w:eastAsia="zh-CN"/>
        </w:rPr>
        <w:t>服务</w:t>
      </w:r>
      <w:r>
        <w:rPr>
          <w:rFonts w:hint="eastAsia" w:ascii="宋体" w:hAnsi="宋体" w:eastAsia="宋体" w:cs="宋体"/>
          <w:b/>
          <w:bCs/>
          <w:color w:val="auto"/>
          <w:spacing w:val="-6"/>
          <w:sz w:val="22"/>
          <w:szCs w:val="22"/>
          <w:highlight w:val="none"/>
        </w:rPr>
        <w:t>参加投标报价。同时在采购需求偏离表中作出详细对比说明。</w:t>
      </w:r>
    </w:p>
    <w:p>
      <w:pPr>
        <w:keepNext w:val="0"/>
        <w:keepLines w:val="0"/>
        <w:pageBreakBefore w:val="0"/>
        <w:kinsoku/>
        <w:wordWrap/>
        <w:overflowPunct/>
        <w:topLinePunct w:val="0"/>
        <w:autoSpaceDE/>
        <w:autoSpaceDN/>
        <w:bidi w:val="0"/>
        <w:adjustRightInd/>
        <w:snapToGrid w:val="0"/>
        <w:spacing w:line="360" w:lineRule="exact"/>
        <w:ind w:firstLine="418" w:firstLineChars="200"/>
        <w:jc w:val="left"/>
        <w:textAlignment w:val="auto"/>
        <w:outlineLvl w:val="9"/>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2.带“▲且加下划线”的有关条款为实质性条款，投标人必须做出实质性响应，否则视为投标无效。</w:t>
      </w:r>
    </w:p>
    <w:p>
      <w:pPr>
        <w:keepNext w:val="0"/>
        <w:keepLines w:val="0"/>
        <w:pageBreakBefore w:val="0"/>
        <w:kinsoku/>
        <w:wordWrap/>
        <w:overflowPunct/>
        <w:topLinePunct w:val="0"/>
        <w:autoSpaceDE/>
        <w:autoSpaceDN/>
        <w:bidi w:val="0"/>
        <w:adjustRightInd/>
        <w:snapToGrid w:val="0"/>
        <w:spacing w:line="360" w:lineRule="exact"/>
        <w:ind w:firstLine="418" w:firstLineChars="200"/>
        <w:jc w:val="left"/>
        <w:textAlignment w:val="auto"/>
        <w:outlineLvl w:val="9"/>
        <w:rPr>
          <w:rFonts w:hint="eastAsia" w:ascii="宋体" w:hAnsi="宋体" w:eastAsia="宋体" w:cs="宋体"/>
          <w:b/>
          <w:bCs/>
          <w:color w:val="auto"/>
          <w:spacing w:val="-6"/>
          <w:sz w:val="22"/>
          <w:szCs w:val="22"/>
          <w:highlight w:val="none"/>
          <w:lang w:eastAsia="zh-CN"/>
        </w:rPr>
      </w:pPr>
      <w:r>
        <w:rPr>
          <w:rFonts w:hint="eastAsia" w:ascii="宋体" w:hAnsi="宋体" w:eastAsia="宋体" w:cs="宋体"/>
          <w:b/>
          <w:bCs/>
          <w:color w:val="auto"/>
          <w:spacing w:val="-6"/>
          <w:sz w:val="22"/>
          <w:szCs w:val="22"/>
          <w:highlight w:val="none"/>
        </w:rPr>
        <w:t>3.如技术要求中未特别注明需执行的国家相关标准、行业标准、地方标准或者其他标准、规范，则统一执行最新标准、规范</w:t>
      </w:r>
      <w:r>
        <w:rPr>
          <w:rFonts w:hint="eastAsia" w:ascii="宋体" w:hAnsi="宋体" w:eastAsia="宋体" w:cs="宋体"/>
          <w:b/>
          <w:bCs/>
          <w:color w:val="auto"/>
          <w:spacing w:val="-6"/>
          <w:sz w:val="22"/>
          <w:szCs w:val="22"/>
          <w:highlight w:val="none"/>
          <w:lang w:eastAsia="zh-CN"/>
        </w:rPr>
        <w:t>。</w:t>
      </w:r>
    </w:p>
    <w:p>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pPr>
        <w:snapToGrid w:val="0"/>
        <w:spacing w:line="400" w:lineRule="exact"/>
        <w:jc w:val="center"/>
        <w:outlineLvl w:val="0"/>
        <w:rPr>
          <w:rFonts w:hint="eastAsia" w:ascii="宋体" w:hAnsi="宋体" w:eastAsia="宋体" w:cs="宋体"/>
          <w:b/>
          <w:color w:val="auto"/>
          <w:sz w:val="32"/>
          <w:highlight w:val="none"/>
        </w:rPr>
      </w:pPr>
      <w:bookmarkStart w:id="21" w:name="_Toc19820"/>
      <w:r>
        <w:rPr>
          <w:rFonts w:hint="eastAsia" w:ascii="宋体" w:hAnsi="宋体" w:eastAsia="宋体" w:cs="宋体"/>
          <w:b/>
          <w:color w:val="auto"/>
          <w:sz w:val="32"/>
          <w:highlight w:val="none"/>
        </w:rPr>
        <w:t>第六部分</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评标原则及方法</w:t>
      </w:r>
      <w:bookmarkEnd w:id="21"/>
    </w:p>
    <w:p>
      <w:pPr>
        <w:pStyle w:val="11"/>
        <w:adjustRightInd w:val="0"/>
        <w:snapToGrid w:val="0"/>
        <w:spacing w:after="0"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根据《中华人民共和国政府采购法》等相关法规特制定以下评标办法。</w:t>
      </w:r>
    </w:p>
    <w:p>
      <w:pPr>
        <w:numPr>
          <w:ilvl w:val="0"/>
          <w:numId w:val="0"/>
        </w:numPr>
        <w:spacing w:line="360" w:lineRule="exact"/>
        <w:ind w:firstLine="440" w:firstLineChars="200"/>
        <w:outlineLvl w:val="1"/>
        <w:rPr>
          <w:rFonts w:hint="eastAsia" w:ascii="宋体" w:hAnsi="宋体" w:eastAsia="宋体" w:cs="宋体"/>
          <w:color w:val="auto"/>
          <w:sz w:val="22"/>
          <w:highlight w:val="none"/>
        </w:rPr>
      </w:pPr>
      <w:bookmarkStart w:id="22" w:name="_Toc19763"/>
      <w:r>
        <w:rPr>
          <w:rFonts w:hint="eastAsia" w:ascii="宋体" w:hAnsi="宋体" w:eastAsia="宋体" w:cs="宋体"/>
          <w:color w:val="auto"/>
          <w:sz w:val="22"/>
          <w:highlight w:val="none"/>
          <w:lang w:val="en-US" w:eastAsia="zh-CN"/>
        </w:rPr>
        <w:t>一、</w:t>
      </w:r>
      <w:r>
        <w:rPr>
          <w:rFonts w:hint="eastAsia" w:ascii="宋体" w:hAnsi="宋体" w:eastAsia="宋体" w:cs="宋体"/>
          <w:color w:val="auto"/>
          <w:sz w:val="22"/>
          <w:highlight w:val="none"/>
        </w:rPr>
        <w:t>总  则</w:t>
      </w:r>
      <w:bookmarkEnd w:id="22"/>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pPr>
        <w:spacing w:line="360" w:lineRule="exact"/>
        <w:ind w:firstLine="440" w:firstLineChars="200"/>
        <w:outlineLvl w:val="1"/>
        <w:rPr>
          <w:rFonts w:hint="eastAsia" w:ascii="宋体" w:hAnsi="宋体" w:eastAsia="宋体" w:cs="宋体"/>
          <w:color w:val="auto"/>
          <w:sz w:val="22"/>
          <w:highlight w:val="none"/>
        </w:rPr>
      </w:pPr>
      <w:bookmarkStart w:id="23" w:name="_Toc16958"/>
      <w:r>
        <w:rPr>
          <w:rFonts w:hint="eastAsia" w:ascii="宋体" w:hAnsi="宋体" w:eastAsia="宋体" w:cs="宋体"/>
          <w:color w:val="auto"/>
          <w:sz w:val="22"/>
          <w:highlight w:val="none"/>
        </w:rPr>
        <w:t>二</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评标组织</w:t>
      </w:r>
      <w:bookmarkEnd w:id="23"/>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评标工作由采购人依法组建的评审小组负责，评标全过程由有关部门指导监督。</w:t>
      </w:r>
    </w:p>
    <w:p>
      <w:pPr>
        <w:spacing w:line="360" w:lineRule="exact"/>
        <w:ind w:firstLine="440" w:firstLineChars="200"/>
        <w:outlineLvl w:val="1"/>
        <w:rPr>
          <w:rFonts w:hint="eastAsia" w:ascii="宋体" w:hAnsi="宋体" w:eastAsia="宋体" w:cs="宋体"/>
          <w:color w:val="auto"/>
          <w:sz w:val="22"/>
          <w:highlight w:val="none"/>
        </w:rPr>
      </w:pPr>
      <w:bookmarkStart w:id="24" w:name="_Toc874"/>
      <w:r>
        <w:rPr>
          <w:rFonts w:hint="eastAsia" w:ascii="宋体" w:hAnsi="宋体" w:eastAsia="宋体" w:cs="宋体"/>
          <w:color w:val="auto"/>
          <w:sz w:val="22"/>
          <w:highlight w:val="none"/>
        </w:rPr>
        <w:t>三</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评标程序</w:t>
      </w:r>
      <w:bookmarkEnd w:id="24"/>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pPr>
        <w:spacing w:line="360" w:lineRule="exact"/>
        <w:ind w:firstLine="440" w:firstLineChars="200"/>
        <w:outlineLvl w:val="1"/>
        <w:rPr>
          <w:rFonts w:hint="eastAsia" w:ascii="宋体" w:hAnsi="宋体" w:eastAsia="宋体" w:cs="宋体"/>
          <w:color w:val="auto"/>
          <w:sz w:val="22"/>
          <w:highlight w:val="none"/>
        </w:rPr>
      </w:pPr>
      <w:bookmarkStart w:id="25" w:name="_Toc9900"/>
      <w:r>
        <w:rPr>
          <w:rFonts w:hint="eastAsia" w:ascii="宋体" w:hAnsi="宋体" w:eastAsia="宋体" w:cs="宋体"/>
          <w:color w:val="auto"/>
          <w:sz w:val="22"/>
          <w:highlight w:val="none"/>
        </w:rPr>
        <w:t>四</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评标办法</w:t>
      </w:r>
      <w:bookmarkEnd w:id="25"/>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本评标办法采用百分制综合评分法，商务和技术</w:t>
      </w:r>
      <w:r>
        <w:rPr>
          <w:rFonts w:hint="eastAsia" w:ascii="宋体" w:hAnsi="宋体" w:eastAsia="宋体" w:cs="宋体"/>
          <w:color w:val="auto"/>
          <w:sz w:val="22"/>
          <w:highlight w:val="none"/>
          <w:lang w:val="en-US" w:eastAsia="zh-CN"/>
        </w:rPr>
        <w:t>10</w:t>
      </w:r>
      <w:r>
        <w:rPr>
          <w:rFonts w:hint="eastAsia" w:ascii="宋体" w:hAnsi="宋体" w:eastAsia="宋体" w:cs="宋体"/>
          <w:color w:val="auto"/>
          <w:sz w:val="22"/>
          <w:highlight w:val="none"/>
        </w:rPr>
        <w:t>0分（商务和技术权值</w:t>
      </w:r>
      <w:r>
        <w:rPr>
          <w:rFonts w:hint="eastAsia" w:ascii="宋体" w:hAnsi="宋体" w:eastAsia="宋体" w:cs="宋体"/>
          <w:color w:val="auto"/>
          <w:sz w:val="22"/>
          <w:highlight w:val="none"/>
          <w:lang w:val="en-US" w:eastAsia="zh-CN"/>
        </w:rPr>
        <w:t>10</w:t>
      </w:r>
      <w:r>
        <w:rPr>
          <w:rFonts w:hint="eastAsia" w:ascii="宋体" w:hAnsi="宋体" w:eastAsia="宋体" w:cs="宋体"/>
          <w:color w:val="auto"/>
          <w:sz w:val="22"/>
          <w:highlight w:val="none"/>
        </w:rPr>
        <w:t>0%），报价0分（价格权值0%）。最大限度地满足招标文件中规定的各项综合评价标准且综合得分最高的投标人，将被推荐为中标候选人。</w:t>
      </w:r>
    </w:p>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评分细则</w:t>
      </w:r>
    </w:p>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1.商务和技术分的评定（</w:t>
      </w:r>
      <w:r>
        <w:rPr>
          <w:rFonts w:hint="eastAsia" w:ascii="宋体" w:hAnsi="宋体" w:eastAsia="宋体" w:cs="宋体"/>
          <w:color w:val="auto"/>
          <w:sz w:val="22"/>
          <w:highlight w:val="none"/>
          <w:lang w:val="en-US" w:eastAsia="zh-CN"/>
        </w:rPr>
        <w:t>10</w:t>
      </w:r>
      <w:r>
        <w:rPr>
          <w:rFonts w:hint="eastAsia" w:ascii="宋体" w:hAnsi="宋体" w:eastAsia="宋体" w:cs="宋体"/>
          <w:color w:val="auto"/>
          <w:sz w:val="22"/>
          <w:highlight w:val="none"/>
        </w:rPr>
        <w:t>0分）</w:t>
      </w:r>
    </w:p>
    <w:p>
      <w:pPr>
        <w:pStyle w:val="62"/>
        <w:keepNext w:val="0"/>
        <w:keepLines w:val="0"/>
        <w:pageBreakBefore w:val="0"/>
        <w:kinsoku/>
        <w:wordWrap/>
        <w:overflowPunct/>
        <w:topLinePunct w:val="0"/>
        <w:autoSpaceDE/>
        <w:autoSpaceDN/>
        <w:bidi w:val="0"/>
        <w:adjustRightInd/>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tbl>
      <w:tblPr>
        <w:tblStyle w:val="31"/>
        <w:tblW w:w="96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173"/>
        <w:gridCol w:w="667"/>
        <w:gridCol w:w="6408"/>
        <w:gridCol w:w="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r>
              <w:rPr>
                <w:rStyle w:val="74"/>
                <w:rFonts w:hint="eastAsia" w:ascii="宋体" w:hAnsi="宋体" w:eastAsia="宋体" w:cs="宋体"/>
                <w:color w:val="auto"/>
                <w:sz w:val="22"/>
                <w:szCs w:val="22"/>
                <w:highlight w:val="none"/>
              </w:rPr>
              <w:t>序号</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r>
              <w:rPr>
                <w:rStyle w:val="74"/>
                <w:rFonts w:hint="eastAsia" w:ascii="宋体" w:hAnsi="宋体" w:eastAsia="宋体" w:cs="宋体"/>
                <w:color w:val="auto"/>
                <w:sz w:val="22"/>
                <w:szCs w:val="22"/>
                <w:highlight w:val="none"/>
              </w:rPr>
              <w:t>评分项目</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r>
              <w:rPr>
                <w:rStyle w:val="74"/>
                <w:rFonts w:hint="eastAsia" w:ascii="宋体" w:hAnsi="宋体" w:eastAsia="宋体" w:cs="宋体"/>
                <w:color w:val="auto"/>
                <w:sz w:val="22"/>
                <w:szCs w:val="22"/>
                <w:highlight w:val="none"/>
              </w:rPr>
              <w:t>满分</w:t>
            </w:r>
          </w:p>
        </w:tc>
        <w:tc>
          <w:tcPr>
            <w:tcW w:w="6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r>
              <w:rPr>
                <w:rStyle w:val="74"/>
                <w:rFonts w:hint="eastAsia" w:ascii="宋体" w:hAnsi="宋体" w:eastAsia="宋体" w:cs="宋体"/>
                <w:color w:val="auto"/>
                <w:sz w:val="22"/>
                <w:szCs w:val="22"/>
                <w:highlight w:val="none"/>
              </w:rPr>
              <w:t>评标要点及说明</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lang w:val="en-US" w:eastAsia="zh-CN"/>
              </w:rPr>
            </w:pPr>
            <w:r>
              <w:rPr>
                <w:rStyle w:val="74"/>
                <w:rFonts w:hint="eastAsia" w:ascii="宋体" w:hAnsi="宋体" w:eastAsia="宋体" w:cs="宋体"/>
                <w:color w:val="auto"/>
                <w:sz w:val="22"/>
                <w:szCs w:val="22"/>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7"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r>
              <w:rPr>
                <w:rStyle w:val="74"/>
                <w:rFonts w:hint="eastAsia" w:ascii="宋体" w:hAnsi="宋体" w:eastAsia="宋体" w:cs="宋体"/>
                <w:color w:val="auto"/>
                <w:sz w:val="22"/>
                <w:szCs w:val="22"/>
                <w:highlight w:val="none"/>
              </w:rPr>
              <w:t>1</w:t>
            </w:r>
          </w:p>
        </w:tc>
        <w:tc>
          <w:tcPr>
            <w:tcW w:w="1173"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r>
              <w:rPr>
                <w:rStyle w:val="74"/>
                <w:rFonts w:hint="eastAsia" w:ascii="宋体" w:hAnsi="宋体" w:eastAsia="宋体" w:cs="宋体"/>
                <w:color w:val="auto"/>
                <w:sz w:val="22"/>
                <w:szCs w:val="22"/>
                <w:highlight w:val="none"/>
              </w:rPr>
              <w:t>投标人情况</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lang w:eastAsia="zh-CN"/>
              </w:rPr>
            </w:pPr>
            <w:r>
              <w:rPr>
                <w:rStyle w:val="74"/>
                <w:rFonts w:hint="eastAsia" w:ascii="宋体" w:hAnsi="宋体" w:eastAsia="宋体" w:cs="宋体"/>
                <w:color w:val="auto"/>
                <w:sz w:val="22"/>
                <w:szCs w:val="22"/>
                <w:highlight w:val="none"/>
                <w:lang w:val="en-US" w:eastAsia="zh-CN"/>
              </w:rPr>
              <w:t>4</w:t>
            </w:r>
          </w:p>
        </w:tc>
        <w:tc>
          <w:tcPr>
            <w:tcW w:w="6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7"/>
              <w:keepNext w:val="0"/>
              <w:keepLines w:val="0"/>
              <w:pageBreakBefore w:val="0"/>
              <w:widowControl/>
              <w:kinsoku/>
              <w:wordWrap/>
              <w:overflowPunct/>
              <w:topLinePunct w:val="0"/>
              <w:autoSpaceDE/>
              <w:autoSpaceDN/>
              <w:bidi w:val="0"/>
              <w:adjustRightInd/>
              <w:snapToGrid w:val="0"/>
              <w:spacing w:line="360" w:lineRule="exact"/>
              <w:rPr>
                <w:rStyle w:val="74"/>
                <w:rFonts w:hint="eastAsia" w:ascii="宋体" w:hAnsi="宋体" w:eastAsia="宋体" w:cs="宋体"/>
                <w:color w:val="auto"/>
                <w:kern w:val="0"/>
                <w:sz w:val="22"/>
                <w:szCs w:val="22"/>
                <w:highlight w:val="none"/>
              </w:rPr>
            </w:pPr>
            <w:r>
              <w:rPr>
                <w:rStyle w:val="74"/>
                <w:rFonts w:hint="eastAsia" w:ascii="宋体" w:hAnsi="宋体" w:eastAsia="宋体" w:cs="宋体"/>
                <w:color w:val="auto"/>
                <w:sz w:val="22"/>
                <w:szCs w:val="22"/>
                <w:highlight w:val="none"/>
              </w:rPr>
              <w:t>根据投标人的管理制度、市场评价、服务成熟度等情况</w:t>
            </w:r>
            <w:r>
              <w:rPr>
                <w:rStyle w:val="74"/>
                <w:rFonts w:hint="eastAsia" w:ascii="宋体" w:hAnsi="宋体" w:cs="宋体"/>
                <w:color w:val="auto"/>
                <w:sz w:val="22"/>
                <w:szCs w:val="22"/>
                <w:highlight w:val="none"/>
                <w:lang w:val="en-US" w:eastAsia="zh-CN"/>
              </w:rPr>
              <w:t>打分</w:t>
            </w:r>
            <w:r>
              <w:rPr>
                <w:rStyle w:val="74"/>
                <w:rFonts w:hint="eastAsia" w:ascii="宋体" w:hAnsi="宋体" w:eastAsia="宋体" w:cs="宋体"/>
                <w:color w:val="auto"/>
                <w:sz w:val="22"/>
                <w:szCs w:val="22"/>
                <w:highlight w:val="none"/>
              </w:rPr>
              <w:t>。</w:t>
            </w:r>
            <w:r>
              <w:rPr>
                <w:rStyle w:val="74"/>
                <w:rFonts w:hint="eastAsia" w:ascii="宋体" w:hAnsi="宋体" w:eastAsia="宋体" w:cs="宋体"/>
                <w:color w:val="auto"/>
                <w:sz w:val="22"/>
                <w:szCs w:val="22"/>
                <w:highlight w:val="none"/>
                <w:lang w:eastAsia="zh-CN"/>
              </w:rPr>
              <w:t>（</w:t>
            </w:r>
            <w:r>
              <w:rPr>
                <w:rStyle w:val="74"/>
                <w:rFonts w:hint="eastAsia" w:ascii="宋体" w:hAnsi="宋体" w:eastAsia="宋体" w:cs="宋体"/>
                <w:color w:val="auto"/>
                <w:sz w:val="22"/>
                <w:szCs w:val="22"/>
                <w:highlight w:val="none"/>
              </w:rPr>
              <w:t>管理制度完善、市场评价良好、服务成熟度高的得</w:t>
            </w:r>
            <w:r>
              <w:rPr>
                <w:rStyle w:val="74"/>
                <w:rFonts w:hint="eastAsia" w:ascii="宋体" w:hAnsi="宋体" w:eastAsia="宋体" w:cs="宋体"/>
                <w:color w:val="auto"/>
                <w:sz w:val="22"/>
                <w:szCs w:val="22"/>
                <w:highlight w:val="none"/>
                <w:lang w:val="en-US" w:eastAsia="zh-CN"/>
              </w:rPr>
              <w:t>4分</w:t>
            </w:r>
            <w:r>
              <w:rPr>
                <w:rStyle w:val="74"/>
                <w:rFonts w:hint="eastAsia" w:ascii="宋体" w:hAnsi="宋体" w:eastAsia="宋体" w:cs="宋体"/>
                <w:color w:val="auto"/>
                <w:sz w:val="22"/>
                <w:szCs w:val="22"/>
                <w:highlight w:val="none"/>
              </w:rPr>
              <w:t>；管理制度</w:t>
            </w:r>
            <w:r>
              <w:rPr>
                <w:rStyle w:val="74"/>
                <w:rFonts w:hint="eastAsia" w:ascii="宋体" w:hAnsi="宋体" w:eastAsia="宋体" w:cs="宋体"/>
                <w:color w:val="auto"/>
                <w:sz w:val="22"/>
                <w:szCs w:val="22"/>
                <w:highlight w:val="none"/>
                <w:lang w:val="en-US" w:eastAsia="zh-CN"/>
              </w:rPr>
              <w:t>比较</w:t>
            </w:r>
            <w:r>
              <w:rPr>
                <w:rStyle w:val="74"/>
                <w:rFonts w:hint="eastAsia" w:ascii="宋体" w:hAnsi="宋体" w:eastAsia="宋体" w:cs="宋体"/>
                <w:color w:val="auto"/>
                <w:sz w:val="22"/>
                <w:szCs w:val="22"/>
                <w:highlight w:val="none"/>
              </w:rPr>
              <w:t>完善、市场评价良好、服务成熟度</w:t>
            </w:r>
            <w:r>
              <w:rPr>
                <w:rStyle w:val="74"/>
                <w:rFonts w:hint="eastAsia" w:ascii="宋体" w:hAnsi="宋体" w:eastAsia="宋体" w:cs="宋体"/>
                <w:color w:val="auto"/>
                <w:sz w:val="22"/>
                <w:szCs w:val="22"/>
                <w:highlight w:val="none"/>
                <w:lang w:val="en-US" w:eastAsia="zh-CN"/>
              </w:rPr>
              <w:t>较</w:t>
            </w:r>
            <w:r>
              <w:rPr>
                <w:rStyle w:val="74"/>
                <w:rFonts w:hint="eastAsia" w:ascii="宋体" w:hAnsi="宋体" w:eastAsia="宋体" w:cs="宋体"/>
                <w:color w:val="auto"/>
                <w:sz w:val="22"/>
                <w:szCs w:val="22"/>
                <w:highlight w:val="none"/>
              </w:rPr>
              <w:t>高的得</w:t>
            </w:r>
            <w:r>
              <w:rPr>
                <w:rStyle w:val="74"/>
                <w:rFonts w:hint="eastAsia" w:ascii="宋体" w:hAnsi="宋体" w:eastAsia="宋体" w:cs="宋体"/>
                <w:color w:val="auto"/>
                <w:sz w:val="22"/>
                <w:szCs w:val="22"/>
                <w:highlight w:val="none"/>
                <w:lang w:val="en-US" w:eastAsia="zh-CN"/>
              </w:rPr>
              <w:t>3分；</w:t>
            </w:r>
            <w:r>
              <w:rPr>
                <w:rStyle w:val="74"/>
                <w:rFonts w:hint="eastAsia" w:ascii="宋体" w:hAnsi="宋体" w:eastAsia="宋体" w:cs="宋体"/>
                <w:color w:val="auto"/>
                <w:sz w:val="22"/>
                <w:szCs w:val="22"/>
                <w:highlight w:val="none"/>
              </w:rPr>
              <w:t>管理制度</w:t>
            </w:r>
            <w:r>
              <w:rPr>
                <w:rStyle w:val="74"/>
                <w:rFonts w:hint="eastAsia" w:ascii="宋体" w:hAnsi="宋体" w:eastAsia="宋体" w:cs="宋体"/>
                <w:color w:val="auto"/>
                <w:sz w:val="22"/>
                <w:szCs w:val="22"/>
                <w:highlight w:val="none"/>
                <w:lang w:val="en-US" w:eastAsia="zh-CN"/>
              </w:rPr>
              <w:t>一般</w:t>
            </w:r>
            <w:r>
              <w:rPr>
                <w:rStyle w:val="74"/>
                <w:rFonts w:hint="eastAsia" w:ascii="宋体" w:hAnsi="宋体" w:eastAsia="宋体" w:cs="宋体"/>
                <w:color w:val="auto"/>
                <w:sz w:val="22"/>
                <w:szCs w:val="22"/>
                <w:highlight w:val="none"/>
              </w:rPr>
              <w:t>、市场评价一般、服务成熟度一般的得</w:t>
            </w:r>
            <w:r>
              <w:rPr>
                <w:rStyle w:val="74"/>
                <w:rFonts w:hint="eastAsia" w:ascii="宋体" w:hAnsi="宋体" w:eastAsia="宋体" w:cs="宋体"/>
                <w:color w:val="auto"/>
                <w:sz w:val="22"/>
                <w:szCs w:val="22"/>
                <w:highlight w:val="none"/>
                <w:lang w:val="en-US" w:eastAsia="zh-CN"/>
              </w:rPr>
              <w:t>2</w:t>
            </w:r>
            <w:r>
              <w:rPr>
                <w:rStyle w:val="74"/>
                <w:rFonts w:hint="eastAsia" w:ascii="宋体" w:hAnsi="宋体" w:eastAsia="宋体" w:cs="宋体"/>
                <w:color w:val="auto"/>
                <w:sz w:val="22"/>
                <w:szCs w:val="22"/>
                <w:highlight w:val="none"/>
              </w:rPr>
              <w:t>分；管理制度</w:t>
            </w:r>
            <w:r>
              <w:rPr>
                <w:rStyle w:val="74"/>
                <w:rFonts w:hint="eastAsia" w:ascii="宋体" w:hAnsi="宋体" w:eastAsia="宋体" w:cs="宋体"/>
                <w:color w:val="auto"/>
                <w:sz w:val="22"/>
                <w:szCs w:val="22"/>
                <w:highlight w:val="none"/>
                <w:lang w:val="en-US" w:eastAsia="zh-CN"/>
              </w:rPr>
              <w:t>一般</w:t>
            </w:r>
            <w:r>
              <w:rPr>
                <w:rStyle w:val="74"/>
                <w:rFonts w:hint="eastAsia" w:ascii="宋体" w:hAnsi="宋体" w:eastAsia="宋体" w:cs="宋体"/>
                <w:color w:val="auto"/>
                <w:sz w:val="22"/>
                <w:szCs w:val="22"/>
                <w:highlight w:val="none"/>
              </w:rPr>
              <w:t>、市场评价</w:t>
            </w:r>
            <w:r>
              <w:rPr>
                <w:rStyle w:val="74"/>
                <w:rFonts w:hint="eastAsia" w:ascii="宋体" w:hAnsi="宋体" w:eastAsia="宋体" w:cs="宋体"/>
                <w:color w:val="auto"/>
                <w:sz w:val="22"/>
                <w:szCs w:val="22"/>
                <w:highlight w:val="none"/>
                <w:lang w:eastAsia="zh-CN"/>
              </w:rPr>
              <w:t>差</w:t>
            </w:r>
            <w:r>
              <w:rPr>
                <w:rStyle w:val="74"/>
                <w:rFonts w:hint="eastAsia" w:ascii="宋体" w:hAnsi="宋体" w:eastAsia="宋体" w:cs="宋体"/>
                <w:color w:val="auto"/>
                <w:sz w:val="22"/>
                <w:szCs w:val="22"/>
                <w:highlight w:val="none"/>
              </w:rPr>
              <w:t>、服务成熟度</w:t>
            </w:r>
            <w:r>
              <w:rPr>
                <w:rStyle w:val="74"/>
                <w:rFonts w:hint="eastAsia" w:ascii="宋体" w:hAnsi="宋体" w:eastAsia="宋体" w:cs="宋体"/>
                <w:color w:val="auto"/>
                <w:sz w:val="22"/>
                <w:szCs w:val="22"/>
                <w:highlight w:val="none"/>
                <w:lang w:eastAsia="zh-CN"/>
              </w:rPr>
              <w:t>不够</w:t>
            </w:r>
            <w:r>
              <w:rPr>
                <w:rStyle w:val="74"/>
                <w:rFonts w:hint="eastAsia" w:ascii="宋体" w:hAnsi="宋体" w:eastAsia="宋体" w:cs="宋体"/>
                <w:color w:val="auto"/>
                <w:sz w:val="22"/>
                <w:szCs w:val="22"/>
                <w:highlight w:val="none"/>
              </w:rPr>
              <w:t>的得</w:t>
            </w:r>
            <w:r>
              <w:rPr>
                <w:rStyle w:val="74"/>
                <w:rFonts w:hint="eastAsia" w:ascii="宋体" w:hAnsi="宋体" w:eastAsia="宋体" w:cs="宋体"/>
                <w:color w:val="auto"/>
                <w:sz w:val="22"/>
                <w:szCs w:val="22"/>
                <w:highlight w:val="none"/>
                <w:lang w:val="en-US" w:eastAsia="zh-CN"/>
              </w:rPr>
              <w:t>1</w:t>
            </w:r>
            <w:r>
              <w:rPr>
                <w:rStyle w:val="74"/>
                <w:rFonts w:hint="eastAsia" w:ascii="宋体" w:hAnsi="宋体" w:eastAsia="宋体" w:cs="宋体"/>
                <w:color w:val="auto"/>
                <w:sz w:val="22"/>
                <w:szCs w:val="22"/>
                <w:highlight w:val="none"/>
              </w:rPr>
              <w:t>分；</w:t>
            </w:r>
            <w:r>
              <w:rPr>
                <w:rStyle w:val="74"/>
                <w:rFonts w:hint="eastAsia" w:ascii="宋体" w:hAnsi="宋体" w:eastAsia="宋体" w:cs="宋体"/>
                <w:color w:val="auto"/>
                <w:sz w:val="22"/>
                <w:szCs w:val="22"/>
                <w:highlight w:val="none"/>
                <w:lang w:val="en-US" w:eastAsia="zh-CN"/>
              </w:rPr>
              <w:t>未提供的不得分。</w:t>
            </w:r>
            <w:r>
              <w:rPr>
                <w:rStyle w:val="74"/>
                <w:rFonts w:hint="eastAsia" w:ascii="宋体" w:hAnsi="宋体" w:eastAsia="宋体" w:cs="宋体"/>
                <w:color w:val="auto"/>
                <w:sz w:val="22"/>
                <w:szCs w:val="22"/>
                <w:highlight w:val="none"/>
                <w:lang w:eastAsia="zh-CN"/>
              </w:rPr>
              <w:t>）</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Style w:val="74"/>
                <w:rFonts w:hint="eastAsia" w:ascii="宋体" w:hAnsi="宋体" w:eastAsia="宋体" w:cs="宋体"/>
                <w:color w:val="auto"/>
                <w:sz w:val="22"/>
                <w:szCs w:val="22"/>
                <w:highlight w:val="none"/>
              </w:rPr>
            </w:pPr>
            <w:r>
              <w:rPr>
                <w:rStyle w:val="74"/>
                <w:rFonts w:hint="eastAsia" w:ascii="宋体" w:hAnsi="宋体" w:eastAsia="宋体" w:cs="宋体"/>
                <w:color w:val="auto"/>
                <w:sz w:val="22"/>
                <w:szCs w:val="22"/>
                <w:highlight w:val="none"/>
                <w:lang w:val="en-US" w:eastAsia="zh-CN"/>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7"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p>
        </w:tc>
        <w:tc>
          <w:tcPr>
            <w:tcW w:w="1173"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lang w:eastAsia="zh-CN"/>
              </w:rPr>
            </w:pPr>
            <w:r>
              <w:rPr>
                <w:rStyle w:val="74"/>
                <w:rFonts w:hint="eastAsia" w:ascii="宋体" w:hAnsi="宋体" w:eastAsia="宋体" w:cs="宋体"/>
                <w:color w:val="auto"/>
                <w:sz w:val="22"/>
                <w:szCs w:val="22"/>
                <w:highlight w:val="none"/>
                <w:lang w:val="en-US" w:eastAsia="zh-CN"/>
              </w:rPr>
              <w:t>3</w:t>
            </w:r>
          </w:p>
        </w:tc>
        <w:tc>
          <w:tcPr>
            <w:tcW w:w="6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left"/>
              <w:textAlignment w:val="baseline"/>
              <w:rPr>
                <w:rStyle w:val="74"/>
                <w:rFonts w:hint="eastAsia" w:ascii="宋体" w:hAnsi="宋体" w:eastAsia="宋体" w:cs="宋体"/>
                <w:color w:val="auto"/>
                <w:sz w:val="22"/>
                <w:szCs w:val="22"/>
                <w:highlight w:val="none"/>
              </w:rPr>
            </w:pPr>
            <w:r>
              <w:rPr>
                <w:rStyle w:val="74"/>
                <w:rFonts w:hint="eastAsia" w:ascii="宋体" w:hAnsi="宋体" w:eastAsia="宋体" w:cs="宋体"/>
                <w:color w:val="auto"/>
                <w:sz w:val="22"/>
                <w:szCs w:val="22"/>
                <w:highlight w:val="none"/>
              </w:rPr>
              <w:t>根据</w:t>
            </w:r>
            <w:r>
              <w:rPr>
                <w:rStyle w:val="74"/>
                <w:rFonts w:hint="eastAsia" w:ascii="宋体" w:hAnsi="宋体" w:eastAsia="宋体" w:cs="宋体"/>
                <w:color w:val="auto"/>
                <w:sz w:val="22"/>
                <w:szCs w:val="22"/>
                <w:highlight w:val="none"/>
                <w:lang w:eastAsia="zh-CN"/>
              </w:rPr>
              <w:t>投标人</w:t>
            </w:r>
            <w:r>
              <w:rPr>
                <w:rStyle w:val="74"/>
                <w:rFonts w:hint="eastAsia" w:ascii="宋体" w:hAnsi="宋体" w:eastAsia="宋体" w:cs="宋体"/>
                <w:color w:val="auto"/>
                <w:sz w:val="22"/>
                <w:szCs w:val="22"/>
                <w:highlight w:val="none"/>
              </w:rPr>
              <w:t>旅游目的地的地接接待能力</w:t>
            </w:r>
            <w:r>
              <w:rPr>
                <w:rStyle w:val="74"/>
                <w:rFonts w:hint="eastAsia" w:ascii="宋体" w:hAnsi="宋体" w:cs="宋体"/>
                <w:color w:val="auto"/>
                <w:sz w:val="22"/>
                <w:szCs w:val="22"/>
                <w:highlight w:val="none"/>
                <w:lang w:val="en-US" w:eastAsia="zh-CN"/>
              </w:rPr>
              <w:t>等打分</w:t>
            </w:r>
            <w:r>
              <w:rPr>
                <w:rStyle w:val="74"/>
                <w:rFonts w:hint="eastAsia" w:ascii="宋体" w:hAnsi="宋体" w:eastAsia="宋体" w:cs="宋体"/>
                <w:color w:val="auto"/>
                <w:sz w:val="22"/>
                <w:szCs w:val="22"/>
                <w:highlight w:val="none"/>
              </w:rPr>
              <w:t>。</w:t>
            </w:r>
            <w:r>
              <w:rPr>
                <w:rStyle w:val="74"/>
                <w:rFonts w:hint="eastAsia" w:ascii="宋体" w:hAnsi="宋体" w:eastAsia="宋体" w:cs="宋体"/>
                <w:color w:val="auto"/>
                <w:sz w:val="22"/>
                <w:szCs w:val="22"/>
                <w:highlight w:val="none"/>
                <w:lang w:eastAsia="zh-CN"/>
              </w:rPr>
              <w:t>（</w:t>
            </w:r>
            <w:r>
              <w:rPr>
                <w:rStyle w:val="74"/>
                <w:rFonts w:hint="eastAsia" w:ascii="宋体" w:hAnsi="宋体" w:eastAsia="宋体" w:cs="宋体"/>
                <w:color w:val="auto"/>
                <w:sz w:val="22"/>
                <w:szCs w:val="22"/>
                <w:highlight w:val="none"/>
              </w:rPr>
              <w:t>科学合理</w:t>
            </w:r>
            <w:r>
              <w:rPr>
                <w:rStyle w:val="74"/>
                <w:rFonts w:hint="eastAsia" w:ascii="宋体" w:hAnsi="宋体" w:eastAsia="宋体" w:cs="宋体"/>
                <w:color w:val="auto"/>
                <w:sz w:val="22"/>
                <w:szCs w:val="22"/>
                <w:highlight w:val="none"/>
                <w:lang w:val="en-US" w:eastAsia="zh-CN"/>
              </w:rPr>
              <w:t>性强</w:t>
            </w:r>
            <w:r>
              <w:rPr>
                <w:rStyle w:val="74"/>
                <w:rFonts w:hint="eastAsia" w:ascii="宋体" w:hAnsi="宋体" w:eastAsia="宋体" w:cs="宋体"/>
                <w:color w:val="auto"/>
                <w:sz w:val="22"/>
                <w:szCs w:val="22"/>
                <w:highlight w:val="none"/>
              </w:rPr>
              <w:t>，接洽服务好当地服务对接及时的得</w:t>
            </w:r>
            <w:r>
              <w:rPr>
                <w:rStyle w:val="74"/>
                <w:rFonts w:hint="eastAsia" w:ascii="宋体" w:hAnsi="宋体" w:eastAsia="宋体" w:cs="宋体"/>
                <w:color w:val="auto"/>
                <w:sz w:val="22"/>
                <w:szCs w:val="22"/>
                <w:highlight w:val="none"/>
                <w:lang w:val="en-US" w:eastAsia="zh-CN"/>
              </w:rPr>
              <w:t>3</w:t>
            </w:r>
            <w:r>
              <w:rPr>
                <w:rStyle w:val="74"/>
                <w:rFonts w:hint="eastAsia" w:ascii="宋体" w:hAnsi="宋体" w:eastAsia="宋体" w:cs="宋体"/>
                <w:color w:val="auto"/>
                <w:sz w:val="22"/>
                <w:szCs w:val="22"/>
                <w:highlight w:val="none"/>
              </w:rPr>
              <w:t>分；科学合理</w:t>
            </w:r>
            <w:r>
              <w:rPr>
                <w:rStyle w:val="74"/>
                <w:rFonts w:hint="eastAsia" w:ascii="宋体" w:hAnsi="宋体" w:eastAsia="宋体" w:cs="宋体"/>
                <w:color w:val="auto"/>
                <w:sz w:val="22"/>
                <w:szCs w:val="22"/>
                <w:highlight w:val="none"/>
                <w:lang w:val="en-US" w:eastAsia="zh-CN"/>
              </w:rPr>
              <w:t>性较强</w:t>
            </w:r>
            <w:r>
              <w:rPr>
                <w:rStyle w:val="74"/>
                <w:rFonts w:hint="eastAsia" w:ascii="宋体" w:hAnsi="宋体" w:eastAsia="宋体" w:cs="宋体"/>
                <w:color w:val="auto"/>
                <w:sz w:val="22"/>
                <w:szCs w:val="22"/>
                <w:highlight w:val="none"/>
              </w:rPr>
              <w:t>，接洽服务</w:t>
            </w:r>
            <w:r>
              <w:rPr>
                <w:rStyle w:val="74"/>
                <w:rFonts w:hint="eastAsia" w:ascii="宋体" w:hAnsi="宋体" w:eastAsia="宋体" w:cs="宋体"/>
                <w:color w:val="auto"/>
                <w:sz w:val="22"/>
                <w:szCs w:val="22"/>
                <w:highlight w:val="none"/>
                <w:lang w:val="en-US" w:eastAsia="zh-CN"/>
              </w:rPr>
              <w:t>较</w:t>
            </w:r>
            <w:r>
              <w:rPr>
                <w:rStyle w:val="74"/>
                <w:rFonts w:hint="eastAsia" w:ascii="宋体" w:hAnsi="宋体" w:eastAsia="宋体" w:cs="宋体"/>
                <w:color w:val="auto"/>
                <w:sz w:val="22"/>
                <w:szCs w:val="22"/>
                <w:highlight w:val="none"/>
              </w:rPr>
              <w:t>好当地服务对接</w:t>
            </w:r>
            <w:r>
              <w:rPr>
                <w:rStyle w:val="74"/>
                <w:rFonts w:hint="eastAsia" w:ascii="宋体" w:hAnsi="宋体" w:eastAsia="宋体" w:cs="宋体"/>
                <w:color w:val="auto"/>
                <w:sz w:val="22"/>
                <w:szCs w:val="22"/>
                <w:highlight w:val="none"/>
                <w:lang w:val="en-US" w:eastAsia="zh-CN"/>
              </w:rPr>
              <w:t>比较</w:t>
            </w:r>
            <w:r>
              <w:rPr>
                <w:rStyle w:val="74"/>
                <w:rFonts w:hint="eastAsia" w:ascii="宋体" w:hAnsi="宋体" w:eastAsia="宋体" w:cs="宋体"/>
                <w:color w:val="auto"/>
                <w:sz w:val="22"/>
                <w:szCs w:val="22"/>
                <w:highlight w:val="none"/>
              </w:rPr>
              <w:t>及时的得</w:t>
            </w:r>
            <w:r>
              <w:rPr>
                <w:rStyle w:val="74"/>
                <w:rFonts w:hint="eastAsia" w:ascii="宋体" w:hAnsi="宋体" w:eastAsia="宋体" w:cs="宋体"/>
                <w:color w:val="auto"/>
                <w:sz w:val="22"/>
                <w:szCs w:val="22"/>
                <w:highlight w:val="none"/>
                <w:lang w:val="en-US" w:eastAsia="zh-CN"/>
              </w:rPr>
              <w:t>2</w:t>
            </w:r>
            <w:r>
              <w:rPr>
                <w:rStyle w:val="74"/>
                <w:rFonts w:hint="eastAsia" w:ascii="宋体" w:hAnsi="宋体" w:eastAsia="宋体" w:cs="宋体"/>
                <w:color w:val="auto"/>
                <w:sz w:val="22"/>
                <w:szCs w:val="22"/>
                <w:highlight w:val="none"/>
              </w:rPr>
              <w:t>分；科学合理</w:t>
            </w:r>
            <w:r>
              <w:rPr>
                <w:rStyle w:val="74"/>
                <w:rFonts w:hint="eastAsia" w:ascii="宋体" w:hAnsi="宋体" w:eastAsia="宋体" w:cs="宋体"/>
                <w:color w:val="auto"/>
                <w:sz w:val="22"/>
                <w:szCs w:val="22"/>
                <w:highlight w:val="none"/>
                <w:lang w:val="en-US" w:eastAsia="zh-CN"/>
              </w:rPr>
              <w:t>性一般</w:t>
            </w:r>
            <w:r>
              <w:rPr>
                <w:rStyle w:val="74"/>
                <w:rFonts w:hint="eastAsia" w:ascii="宋体" w:hAnsi="宋体" w:eastAsia="宋体" w:cs="宋体"/>
                <w:color w:val="auto"/>
                <w:sz w:val="22"/>
                <w:szCs w:val="22"/>
                <w:highlight w:val="none"/>
              </w:rPr>
              <w:t>，接接洽服务一般有当地对接的得</w:t>
            </w:r>
            <w:r>
              <w:rPr>
                <w:rStyle w:val="74"/>
                <w:rFonts w:hint="eastAsia" w:ascii="宋体" w:hAnsi="宋体" w:eastAsia="宋体" w:cs="宋体"/>
                <w:color w:val="auto"/>
                <w:sz w:val="22"/>
                <w:szCs w:val="22"/>
                <w:highlight w:val="none"/>
                <w:lang w:val="en-US" w:eastAsia="zh-CN"/>
              </w:rPr>
              <w:t>1</w:t>
            </w:r>
            <w:r>
              <w:rPr>
                <w:rStyle w:val="74"/>
                <w:rFonts w:hint="eastAsia" w:ascii="宋体" w:hAnsi="宋体" w:eastAsia="宋体" w:cs="宋体"/>
                <w:color w:val="auto"/>
                <w:sz w:val="22"/>
                <w:szCs w:val="22"/>
                <w:highlight w:val="none"/>
              </w:rPr>
              <w:t>分；</w:t>
            </w:r>
            <w:r>
              <w:rPr>
                <w:rStyle w:val="74"/>
                <w:rFonts w:hint="eastAsia" w:ascii="宋体" w:hAnsi="宋体" w:eastAsia="宋体" w:cs="宋体"/>
                <w:color w:val="auto"/>
                <w:sz w:val="22"/>
                <w:szCs w:val="22"/>
                <w:highlight w:val="none"/>
                <w:lang w:val="en-US" w:eastAsia="zh-CN"/>
              </w:rPr>
              <w:t>未提供的不得分</w:t>
            </w:r>
            <w:r>
              <w:rPr>
                <w:rStyle w:val="74"/>
                <w:rFonts w:hint="eastAsia" w:ascii="宋体" w:hAnsi="宋体" w:eastAsia="宋体" w:cs="宋体"/>
                <w:color w:val="auto"/>
                <w:sz w:val="22"/>
                <w:szCs w:val="22"/>
                <w:highlight w:val="none"/>
              </w:rPr>
              <w:t>。</w:t>
            </w:r>
            <w:r>
              <w:rPr>
                <w:rStyle w:val="74"/>
                <w:rFonts w:hint="eastAsia" w:ascii="宋体" w:hAnsi="宋体" w:eastAsia="宋体" w:cs="宋体"/>
                <w:color w:val="auto"/>
                <w:sz w:val="22"/>
                <w:szCs w:val="22"/>
                <w:highlight w:val="none"/>
                <w:lang w:eastAsia="zh-CN"/>
              </w:rPr>
              <w:t>）</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r>
              <w:rPr>
                <w:rStyle w:val="74"/>
                <w:rFonts w:hint="eastAsia" w:ascii="宋体" w:hAnsi="宋体" w:eastAsia="宋体" w:cs="宋体"/>
                <w:color w:val="auto"/>
                <w:sz w:val="22"/>
                <w:szCs w:val="22"/>
                <w:highlight w:val="none"/>
                <w:lang w:val="en-US" w:eastAsia="zh-CN"/>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7" w:type="dxa"/>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lang w:val="en-US" w:eastAsia="zh-CN"/>
              </w:rPr>
            </w:pPr>
            <w:r>
              <w:rPr>
                <w:rStyle w:val="74"/>
                <w:rFonts w:hint="eastAsia" w:ascii="宋体" w:hAnsi="宋体" w:eastAsia="宋体" w:cs="宋体"/>
                <w:color w:val="auto"/>
                <w:sz w:val="22"/>
                <w:szCs w:val="22"/>
                <w:highlight w:val="none"/>
                <w:lang w:val="en-US" w:eastAsia="zh-CN"/>
              </w:rPr>
              <w:t>2</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after="0" w:line="360" w:lineRule="exact"/>
              <w:jc w:val="center"/>
              <w:rPr>
                <w:rStyle w:val="74"/>
                <w:rFonts w:hint="eastAsia" w:ascii="宋体" w:hAnsi="宋体" w:eastAsia="宋体" w:cs="宋体"/>
                <w:color w:val="auto"/>
                <w:sz w:val="22"/>
                <w:szCs w:val="22"/>
                <w:highlight w:val="none"/>
              </w:rPr>
            </w:pPr>
            <w:r>
              <w:rPr>
                <w:rFonts w:hint="eastAsia" w:ascii="宋体" w:hAnsi="宋体" w:cs="宋体"/>
                <w:spacing w:val="-6"/>
                <w:sz w:val="22"/>
                <w:szCs w:val="22"/>
                <w:highlight w:val="none"/>
                <w:lang w:val="zh-CN"/>
              </w:rPr>
              <w:t>保险承诺</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after="0" w:line="360" w:lineRule="exact"/>
              <w:jc w:val="center"/>
              <w:rPr>
                <w:rStyle w:val="74"/>
                <w:rFonts w:hint="eastAsia" w:ascii="宋体" w:hAnsi="宋体" w:eastAsia="宋体" w:cs="宋体"/>
                <w:color w:val="auto"/>
                <w:sz w:val="22"/>
                <w:szCs w:val="22"/>
                <w:highlight w:val="none"/>
                <w:lang w:val="en-US" w:eastAsia="zh-CN"/>
              </w:rPr>
            </w:pPr>
            <w:r>
              <w:rPr>
                <w:rFonts w:hint="eastAsia" w:ascii="宋体" w:hAnsi="宋体" w:cs="宋体"/>
                <w:spacing w:val="-6"/>
                <w:sz w:val="22"/>
                <w:szCs w:val="22"/>
                <w:highlight w:val="none"/>
                <w:lang w:val="en-US" w:eastAsia="zh-CN"/>
              </w:rPr>
              <w:t>2</w:t>
            </w:r>
          </w:p>
        </w:tc>
        <w:tc>
          <w:tcPr>
            <w:tcW w:w="6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rPr>
                <w:rFonts w:ascii="宋体" w:hAnsi="宋体" w:cs="宋体"/>
                <w:spacing w:val="-6"/>
                <w:sz w:val="22"/>
                <w:highlight w:val="none"/>
                <w:lang w:val="zh-CN"/>
              </w:rPr>
            </w:pPr>
            <w:r>
              <w:rPr>
                <w:rFonts w:hint="eastAsia" w:ascii="宋体" w:hAnsi="宋体" w:cs="宋体"/>
                <w:spacing w:val="-6"/>
                <w:sz w:val="22"/>
                <w:highlight w:val="none"/>
              </w:rPr>
              <w:t>1.</w:t>
            </w:r>
            <w:r>
              <w:rPr>
                <w:rFonts w:hint="eastAsia" w:ascii="宋体" w:hAnsi="宋体" w:cs="宋体"/>
                <w:spacing w:val="-6"/>
                <w:sz w:val="22"/>
                <w:highlight w:val="none"/>
                <w:lang w:val="zh-CN"/>
              </w:rPr>
              <w:t>旅行社责任险</w:t>
            </w:r>
            <w:r>
              <w:rPr>
                <w:rFonts w:hint="eastAsia" w:ascii="宋体" w:hAnsi="宋体" w:cs="宋体"/>
                <w:spacing w:val="-6"/>
                <w:sz w:val="22"/>
                <w:highlight w:val="none"/>
              </w:rPr>
              <w:t>100</w:t>
            </w:r>
            <w:r>
              <w:rPr>
                <w:rFonts w:hint="eastAsia" w:ascii="宋体" w:hAnsi="宋体" w:cs="宋体"/>
                <w:spacing w:val="-6"/>
                <w:sz w:val="22"/>
                <w:highlight w:val="none"/>
                <w:lang w:val="zh-CN"/>
              </w:rPr>
              <w:t>万及以上得</w:t>
            </w:r>
            <w:r>
              <w:rPr>
                <w:rFonts w:hint="eastAsia" w:ascii="宋体" w:hAnsi="宋体" w:cs="宋体"/>
                <w:spacing w:val="-6"/>
                <w:sz w:val="22"/>
                <w:highlight w:val="none"/>
              </w:rPr>
              <w:t>1</w:t>
            </w:r>
            <w:r>
              <w:rPr>
                <w:rFonts w:hint="eastAsia" w:ascii="宋体" w:hAnsi="宋体" w:cs="宋体"/>
                <w:spacing w:val="-6"/>
                <w:sz w:val="22"/>
                <w:highlight w:val="none"/>
                <w:lang w:val="zh-CN"/>
              </w:rPr>
              <w:t>分（不满足条件，不得分）。</w:t>
            </w:r>
          </w:p>
          <w:p>
            <w:pPr>
              <w:spacing w:after="0" w:line="360" w:lineRule="exact"/>
              <w:jc w:val="left"/>
              <w:rPr>
                <w:rFonts w:hint="eastAsia" w:ascii="宋体" w:hAnsi="宋体" w:eastAsia="宋体" w:cs="宋体"/>
                <w:color w:val="auto"/>
                <w:spacing w:val="-6"/>
                <w:sz w:val="22"/>
                <w:szCs w:val="22"/>
                <w:highlight w:val="none"/>
                <w:lang w:val="zh-CN" w:eastAsia="zh-CN"/>
              </w:rPr>
            </w:pPr>
            <w:r>
              <w:rPr>
                <w:rFonts w:hint="eastAsia" w:ascii="宋体" w:hAnsi="宋体" w:cs="宋体"/>
                <w:spacing w:val="-6"/>
                <w:sz w:val="22"/>
                <w:highlight w:val="none"/>
              </w:rPr>
              <w:t>2.</w:t>
            </w:r>
            <w:r>
              <w:rPr>
                <w:rFonts w:hint="eastAsia" w:ascii="宋体" w:hAnsi="宋体" w:cs="宋体"/>
                <w:spacing w:val="-6"/>
                <w:sz w:val="22"/>
                <w:highlight w:val="none"/>
                <w:lang w:val="zh-CN"/>
              </w:rPr>
              <w:t>旅行社意外险每人</w:t>
            </w:r>
            <w:r>
              <w:rPr>
                <w:rFonts w:hint="eastAsia" w:ascii="宋体" w:hAnsi="宋体" w:cs="宋体"/>
                <w:spacing w:val="-6"/>
                <w:sz w:val="22"/>
                <w:highlight w:val="none"/>
              </w:rPr>
              <w:t>100</w:t>
            </w:r>
            <w:r>
              <w:rPr>
                <w:rFonts w:hint="eastAsia" w:ascii="宋体" w:hAnsi="宋体" w:cs="宋体"/>
                <w:spacing w:val="-6"/>
                <w:sz w:val="22"/>
                <w:highlight w:val="none"/>
                <w:lang w:val="zh-CN"/>
              </w:rPr>
              <w:t>万及以上得</w:t>
            </w:r>
            <w:r>
              <w:rPr>
                <w:rFonts w:hint="eastAsia" w:ascii="宋体" w:hAnsi="宋体" w:cs="宋体"/>
                <w:spacing w:val="-6"/>
                <w:sz w:val="22"/>
                <w:highlight w:val="none"/>
              </w:rPr>
              <w:t>1</w:t>
            </w:r>
            <w:r>
              <w:rPr>
                <w:rFonts w:hint="eastAsia" w:ascii="宋体" w:hAnsi="宋体" w:cs="宋体"/>
                <w:spacing w:val="-6"/>
                <w:sz w:val="22"/>
                <w:highlight w:val="none"/>
                <w:lang w:val="zh-CN"/>
              </w:rPr>
              <w:t>分（不满足条件，不得分）</w:t>
            </w:r>
            <w:r>
              <w:rPr>
                <w:rFonts w:hint="eastAsia" w:ascii="宋体" w:hAnsi="宋体" w:cs="宋体"/>
                <w:spacing w:val="-6"/>
                <w:sz w:val="22"/>
                <w:szCs w:val="22"/>
                <w:highlight w:val="none"/>
                <w:lang w:val="zh-CN"/>
              </w:rPr>
              <w:t>。</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after="0" w:line="360" w:lineRule="exact"/>
              <w:jc w:val="center"/>
              <w:rPr>
                <w:rStyle w:val="74"/>
                <w:rFonts w:hint="eastAsia" w:ascii="宋体" w:hAnsi="宋体" w:eastAsia="宋体" w:cs="宋体"/>
                <w:color w:val="auto"/>
                <w:sz w:val="22"/>
                <w:szCs w:val="22"/>
                <w:highlight w:val="none"/>
                <w:lang w:val="en-US" w:eastAsia="zh-CN"/>
              </w:rPr>
            </w:pPr>
            <w:r>
              <w:rPr>
                <w:rFonts w:hint="eastAsia" w:ascii="宋体" w:hAnsi="宋体" w:cs="宋体"/>
                <w:kern w:val="0"/>
                <w:sz w:val="22"/>
                <w:szCs w:val="2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7"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lang w:val="en-US" w:eastAsia="zh-CN"/>
              </w:rPr>
            </w:pPr>
            <w:r>
              <w:rPr>
                <w:rStyle w:val="74"/>
                <w:rFonts w:hint="eastAsia" w:ascii="宋体" w:hAnsi="宋体" w:eastAsia="宋体" w:cs="宋体"/>
                <w:color w:val="auto"/>
                <w:sz w:val="22"/>
                <w:szCs w:val="22"/>
                <w:highlight w:val="none"/>
                <w:lang w:val="en-US" w:eastAsia="zh-CN"/>
              </w:rPr>
              <w:t>3</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Fonts w:hint="eastAsia" w:ascii="宋体" w:hAnsi="宋体" w:cs="宋体"/>
                <w:spacing w:val="-6"/>
                <w:sz w:val="22"/>
                <w:szCs w:val="22"/>
                <w:highlight w:val="none"/>
                <w:lang w:val="zh-CN"/>
              </w:rPr>
            </w:pPr>
            <w:r>
              <w:rPr>
                <w:rStyle w:val="74"/>
                <w:rFonts w:hint="eastAsia" w:ascii="宋体" w:hAnsi="宋体" w:eastAsia="宋体" w:cs="宋体"/>
                <w:color w:val="auto"/>
                <w:sz w:val="22"/>
                <w:szCs w:val="22"/>
                <w:highlight w:val="none"/>
              </w:rPr>
              <w:t>投入本项目人员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Fonts w:hint="eastAsia" w:ascii="宋体" w:hAnsi="宋体" w:eastAsia="宋体" w:cs="宋体"/>
                <w:spacing w:val="-6"/>
                <w:sz w:val="22"/>
                <w:szCs w:val="22"/>
                <w:highlight w:val="none"/>
                <w:lang w:eastAsia="zh-CN"/>
              </w:rPr>
            </w:pPr>
            <w:r>
              <w:rPr>
                <w:rStyle w:val="74"/>
                <w:rFonts w:hint="eastAsia" w:ascii="宋体" w:hAnsi="宋体" w:cs="宋体"/>
                <w:color w:val="auto"/>
                <w:sz w:val="22"/>
                <w:szCs w:val="22"/>
                <w:highlight w:val="none"/>
                <w:lang w:val="en-US" w:eastAsia="zh-CN"/>
              </w:rPr>
              <w:t>5</w:t>
            </w:r>
          </w:p>
        </w:tc>
        <w:tc>
          <w:tcPr>
            <w:tcW w:w="6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after="0" w:line="360" w:lineRule="exact"/>
              <w:jc w:val="left"/>
              <w:rPr>
                <w:rFonts w:hint="eastAsia" w:ascii="宋体" w:hAnsi="宋体" w:eastAsia="宋体" w:cs="宋体"/>
                <w:color w:val="auto"/>
                <w:spacing w:val="-6"/>
                <w:sz w:val="22"/>
                <w:szCs w:val="22"/>
                <w:highlight w:val="none"/>
                <w:lang w:val="zh-CN" w:eastAsia="zh-CN"/>
              </w:rPr>
            </w:pPr>
            <w:r>
              <w:rPr>
                <w:rFonts w:hint="eastAsia" w:ascii="宋体" w:hAnsi="宋体" w:eastAsia="宋体" w:cs="宋体"/>
                <w:color w:val="auto"/>
                <w:spacing w:val="-6"/>
                <w:sz w:val="22"/>
                <w:szCs w:val="22"/>
                <w:highlight w:val="none"/>
                <w:lang w:val="zh-CN"/>
              </w:rPr>
              <w:t>根据投标人投入本项目负责人</w:t>
            </w:r>
            <w:r>
              <w:rPr>
                <w:rFonts w:hint="eastAsia" w:ascii="宋体" w:hAnsi="宋体" w:cs="宋体"/>
                <w:color w:val="auto"/>
                <w:spacing w:val="-6"/>
                <w:sz w:val="22"/>
                <w:szCs w:val="22"/>
                <w:highlight w:val="none"/>
                <w:lang w:val="en-US" w:eastAsia="zh-CN"/>
              </w:rPr>
              <w:t>资质</w:t>
            </w:r>
            <w:r>
              <w:rPr>
                <w:rFonts w:hint="eastAsia" w:ascii="宋体" w:hAnsi="宋体" w:eastAsia="宋体" w:cs="宋体"/>
                <w:color w:val="auto"/>
                <w:spacing w:val="-6"/>
                <w:sz w:val="22"/>
                <w:szCs w:val="22"/>
                <w:highlight w:val="none"/>
                <w:lang w:val="zh-CN"/>
              </w:rPr>
              <w:t>、从业经验、调度能力等</w:t>
            </w:r>
            <w:r>
              <w:rPr>
                <w:rFonts w:hint="eastAsia" w:ascii="宋体" w:hAnsi="宋体" w:eastAsia="宋体" w:cs="宋体"/>
                <w:color w:val="auto"/>
                <w:spacing w:val="-6"/>
                <w:sz w:val="22"/>
                <w:szCs w:val="22"/>
                <w:highlight w:val="none"/>
                <w:lang w:val="en-US" w:eastAsia="zh-CN"/>
              </w:rPr>
              <w:t>综合</w:t>
            </w:r>
            <w:r>
              <w:rPr>
                <w:rFonts w:hint="eastAsia" w:ascii="宋体" w:hAnsi="宋体" w:eastAsia="宋体" w:cs="宋体"/>
                <w:color w:val="auto"/>
                <w:spacing w:val="-6"/>
                <w:sz w:val="22"/>
                <w:szCs w:val="22"/>
                <w:highlight w:val="none"/>
                <w:lang w:val="zh-CN"/>
              </w:rPr>
              <w:t>打分。</w:t>
            </w:r>
            <w:r>
              <w:rPr>
                <w:rFonts w:hint="eastAsia" w:ascii="宋体" w:hAnsi="宋体" w:eastAsia="宋体" w:cs="宋体"/>
                <w:color w:val="auto"/>
                <w:spacing w:val="-6"/>
                <w:sz w:val="22"/>
                <w:szCs w:val="22"/>
                <w:highlight w:val="none"/>
                <w:lang w:val="zh-CN" w:eastAsia="zh-CN"/>
              </w:rPr>
              <w:t>（</w:t>
            </w:r>
            <w:r>
              <w:rPr>
                <w:rFonts w:hint="eastAsia" w:ascii="宋体" w:hAnsi="宋体" w:eastAsia="宋体" w:cs="宋体"/>
                <w:color w:val="auto"/>
                <w:spacing w:val="-6"/>
                <w:sz w:val="22"/>
                <w:szCs w:val="22"/>
                <w:highlight w:val="none"/>
                <w:lang w:val="en-US" w:eastAsia="zh-CN"/>
              </w:rPr>
              <w:t>资质</w:t>
            </w:r>
            <w:r>
              <w:rPr>
                <w:rFonts w:hint="eastAsia" w:ascii="宋体" w:hAnsi="宋体" w:eastAsia="宋体" w:cs="宋体"/>
                <w:color w:val="auto"/>
                <w:spacing w:val="-6"/>
                <w:sz w:val="22"/>
                <w:szCs w:val="22"/>
                <w:highlight w:val="none"/>
                <w:lang w:val="zh-CN"/>
              </w:rPr>
              <w:t>、从业经验、调度能力强的得</w:t>
            </w:r>
            <w:r>
              <w:rPr>
                <w:rFonts w:hint="eastAsia" w:ascii="宋体" w:hAnsi="宋体" w:cs="宋体"/>
                <w:color w:val="auto"/>
                <w:spacing w:val="-6"/>
                <w:sz w:val="22"/>
                <w:szCs w:val="22"/>
                <w:highlight w:val="none"/>
                <w:lang w:val="en-US" w:eastAsia="zh-CN"/>
              </w:rPr>
              <w:t>5</w:t>
            </w:r>
            <w:r>
              <w:rPr>
                <w:rFonts w:hint="eastAsia" w:ascii="宋体" w:hAnsi="宋体" w:eastAsia="宋体" w:cs="宋体"/>
                <w:color w:val="auto"/>
                <w:spacing w:val="-6"/>
                <w:sz w:val="22"/>
                <w:szCs w:val="22"/>
                <w:highlight w:val="none"/>
                <w:lang w:val="zh-CN"/>
              </w:rPr>
              <w:t>分；</w:t>
            </w:r>
            <w:r>
              <w:rPr>
                <w:rFonts w:hint="eastAsia" w:ascii="宋体" w:hAnsi="宋体" w:eastAsia="宋体" w:cs="宋体"/>
                <w:color w:val="auto"/>
                <w:spacing w:val="-6"/>
                <w:sz w:val="22"/>
                <w:szCs w:val="22"/>
                <w:highlight w:val="none"/>
                <w:lang w:val="en-US" w:eastAsia="zh-CN"/>
              </w:rPr>
              <w:t>资质</w:t>
            </w:r>
            <w:r>
              <w:rPr>
                <w:rFonts w:hint="eastAsia" w:ascii="宋体" w:hAnsi="宋体" w:eastAsia="宋体" w:cs="宋体"/>
                <w:color w:val="auto"/>
                <w:spacing w:val="-6"/>
                <w:sz w:val="22"/>
                <w:szCs w:val="22"/>
                <w:highlight w:val="none"/>
                <w:lang w:val="zh-CN"/>
              </w:rPr>
              <w:t>、从业经验、调度能力较强的得</w:t>
            </w:r>
            <w:r>
              <w:rPr>
                <w:rFonts w:hint="eastAsia" w:ascii="宋体" w:hAnsi="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lang w:val="zh-CN"/>
              </w:rPr>
              <w:t>分；</w:t>
            </w:r>
            <w:r>
              <w:rPr>
                <w:rFonts w:hint="eastAsia" w:ascii="宋体" w:hAnsi="宋体" w:eastAsia="宋体" w:cs="宋体"/>
                <w:color w:val="auto"/>
                <w:spacing w:val="-6"/>
                <w:sz w:val="22"/>
                <w:szCs w:val="22"/>
                <w:highlight w:val="none"/>
                <w:lang w:val="en-US" w:eastAsia="zh-CN"/>
              </w:rPr>
              <w:t>资质</w:t>
            </w:r>
            <w:r>
              <w:rPr>
                <w:rFonts w:hint="eastAsia" w:ascii="宋体" w:hAnsi="宋体" w:eastAsia="宋体" w:cs="宋体"/>
                <w:color w:val="auto"/>
                <w:spacing w:val="-6"/>
                <w:sz w:val="22"/>
                <w:szCs w:val="22"/>
                <w:highlight w:val="none"/>
                <w:lang w:val="zh-CN"/>
              </w:rPr>
              <w:t>、从业经验、调度能力一般的得</w:t>
            </w:r>
            <w:r>
              <w:rPr>
                <w:rFonts w:hint="eastAsia" w:ascii="宋体" w:hAnsi="宋体" w:cs="宋体"/>
                <w:color w:val="auto"/>
                <w:spacing w:val="-6"/>
                <w:sz w:val="22"/>
                <w:szCs w:val="22"/>
                <w:highlight w:val="none"/>
                <w:lang w:val="en-US" w:eastAsia="zh-CN"/>
              </w:rPr>
              <w:t>3</w:t>
            </w:r>
            <w:r>
              <w:rPr>
                <w:rFonts w:hint="eastAsia" w:ascii="宋体" w:hAnsi="宋体" w:eastAsia="宋体" w:cs="宋体"/>
                <w:color w:val="auto"/>
                <w:spacing w:val="-6"/>
                <w:sz w:val="22"/>
                <w:szCs w:val="22"/>
                <w:highlight w:val="none"/>
                <w:lang w:val="zh-CN"/>
              </w:rPr>
              <w:t>分</w:t>
            </w:r>
            <w:r>
              <w:rPr>
                <w:rFonts w:hint="eastAsia" w:ascii="宋体" w:hAnsi="宋体" w:cs="宋体"/>
                <w:color w:val="auto"/>
                <w:spacing w:val="-6"/>
                <w:sz w:val="22"/>
                <w:szCs w:val="22"/>
                <w:highlight w:val="none"/>
                <w:lang w:val="zh-CN"/>
              </w:rPr>
              <w:t>；</w:t>
            </w:r>
            <w:r>
              <w:rPr>
                <w:rFonts w:hint="eastAsia" w:ascii="宋体" w:hAnsi="宋体" w:eastAsia="宋体" w:cs="宋体"/>
                <w:color w:val="auto"/>
                <w:spacing w:val="-6"/>
                <w:sz w:val="22"/>
                <w:szCs w:val="22"/>
                <w:highlight w:val="none"/>
                <w:lang w:val="zh-CN"/>
              </w:rPr>
              <w:t>从业经验、调度能力不强的得</w:t>
            </w:r>
            <w:r>
              <w:rPr>
                <w:rFonts w:hint="eastAsia" w:ascii="宋体" w:hAnsi="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lang w:val="zh-CN"/>
              </w:rPr>
              <w:t>分</w:t>
            </w:r>
            <w:r>
              <w:rPr>
                <w:rFonts w:hint="eastAsia" w:ascii="宋体" w:hAnsi="宋体" w:cs="宋体"/>
                <w:color w:val="auto"/>
                <w:spacing w:val="-6"/>
                <w:sz w:val="22"/>
                <w:szCs w:val="22"/>
                <w:highlight w:val="none"/>
                <w:lang w:val="zh-CN"/>
              </w:rPr>
              <w:t>；</w:t>
            </w:r>
            <w:r>
              <w:rPr>
                <w:rFonts w:hint="eastAsia" w:ascii="宋体" w:hAnsi="宋体" w:eastAsia="宋体" w:cs="宋体"/>
                <w:color w:val="auto"/>
                <w:spacing w:val="-6"/>
                <w:sz w:val="22"/>
                <w:szCs w:val="22"/>
                <w:highlight w:val="none"/>
                <w:lang w:val="en-US" w:eastAsia="zh-CN"/>
              </w:rPr>
              <w:t>没有体现项目负责人的不得分</w:t>
            </w:r>
            <w:r>
              <w:rPr>
                <w:rFonts w:hint="eastAsia" w:ascii="宋体" w:hAnsi="宋体" w:eastAsia="宋体" w:cs="宋体"/>
                <w:color w:val="auto"/>
                <w:spacing w:val="-6"/>
                <w:sz w:val="22"/>
                <w:szCs w:val="22"/>
                <w:highlight w:val="none"/>
                <w:lang w:val="zh-CN"/>
              </w:rPr>
              <w:t>。</w:t>
            </w:r>
            <w:r>
              <w:rPr>
                <w:rFonts w:hint="eastAsia" w:ascii="宋体" w:hAnsi="宋体" w:eastAsia="宋体" w:cs="宋体"/>
                <w:color w:val="auto"/>
                <w:spacing w:val="-6"/>
                <w:sz w:val="22"/>
                <w:szCs w:val="22"/>
                <w:highlight w:val="none"/>
                <w:lang w:val="zh-CN" w:eastAsia="zh-CN"/>
              </w:rPr>
              <w:t>）</w:t>
            </w:r>
          </w:p>
          <w:p>
            <w:pPr>
              <w:spacing w:after="0" w:line="360" w:lineRule="exact"/>
              <w:jc w:val="left"/>
              <w:rPr>
                <w:rFonts w:hint="eastAsia" w:ascii="宋体" w:hAnsi="宋体" w:cs="宋体"/>
                <w:spacing w:val="-6"/>
                <w:sz w:val="22"/>
                <w:highlight w:val="none"/>
              </w:rPr>
            </w:pPr>
            <w:r>
              <w:rPr>
                <w:rFonts w:hint="eastAsia" w:ascii="宋体" w:hAnsi="宋体" w:eastAsia="宋体" w:cs="宋体"/>
                <w:color w:val="auto"/>
                <w:spacing w:val="-6"/>
                <w:sz w:val="22"/>
                <w:szCs w:val="22"/>
                <w:highlight w:val="none"/>
                <w:lang w:val="zh-CN"/>
              </w:rPr>
              <w:t>提供员在2023年02月01日以来任意一月的社保缴纳复印件证明材料</w:t>
            </w:r>
            <w:r>
              <w:rPr>
                <w:rFonts w:hint="eastAsia" w:ascii="宋体" w:hAnsi="宋体" w:cs="宋体"/>
                <w:color w:val="auto"/>
                <w:spacing w:val="-6"/>
                <w:sz w:val="22"/>
                <w:szCs w:val="22"/>
                <w:highlight w:val="none"/>
                <w:lang w:val="zh-CN"/>
              </w:rPr>
              <w:t>或其他在职证明</w:t>
            </w:r>
            <w:r>
              <w:rPr>
                <w:rFonts w:hint="eastAsia" w:ascii="宋体" w:hAnsi="宋体" w:eastAsia="宋体" w:cs="宋体"/>
                <w:color w:val="auto"/>
                <w:spacing w:val="-6"/>
                <w:sz w:val="22"/>
                <w:szCs w:val="22"/>
                <w:highlight w:val="none"/>
                <w:lang w:val="zh-CN"/>
              </w:rPr>
              <w:t>加盖投标供应商公章，否则不得分。</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Fonts w:hint="eastAsia" w:ascii="宋体" w:hAnsi="宋体" w:cs="宋体"/>
                <w:kern w:val="0"/>
                <w:sz w:val="22"/>
                <w:szCs w:val="22"/>
                <w:highlight w:val="none"/>
              </w:rPr>
            </w:pPr>
            <w:r>
              <w:rPr>
                <w:rStyle w:val="74"/>
                <w:rFonts w:hint="eastAsia" w:ascii="宋体" w:hAnsi="宋体" w:eastAsia="宋体" w:cs="宋体"/>
                <w:color w:val="auto"/>
                <w:sz w:val="22"/>
                <w:szCs w:val="22"/>
                <w:highlight w:val="none"/>
                <w:lang w:val="en-US" w:eastAsia="zh-CN"/>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7"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Fonts w:hint="eastAsia" w:ascii="宋体" w:hAnsi="宋体" w:cs="宋体"/>
                <w:spacing w:val="-6"/>
                <w:sz w:val="22"/>
                <w:szCs w:val="22"/>
                <w:highlight w:val="none"/>
                <w:lang w:val="zh-CN"/>
              </w:rPr>
            </w:pP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Fonts w:hint="eastAsia" w:ascii="宋体" w:hAnsi="宋体" w:cs="宋体"/>
                <w:spacing w:val="-6"/>
                <w:sz w:val="22"/>
                <w:szCs w:val="22"/>
                <w:highlight w:val="none"/>
              </w:rPr>
            </w:pPr>
            <w:r>
              <w:rPr>
                <w:rStyle w:val="74"/>
                <w:rFonts w:hint="eastAsia" w:ascii="宋体" w:hAnsi="宋体" w:eastAsia="宋体" w:cs="宋体"/>
                <w:color w:val="auto"/>
                <w:sz w:val="22"/>
                <w:szCs w:val="22"/>
                <w:highlight w:val="none"/>
                <w:lang w:val="en-US" w:eastAsia="zh-CN"/>
              </w:rPr>
              <w:t>6</w:t>
            </w:r>
          </w:p>
        </w:tc>
        <w:tc>
          <w:tcPr>
            <w:tcW w:w="6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after="0" w:line="360" w:lineRule="exact"/>
              <w:jc w:val="left"/>
              <w:rPr>
                <w:rFonts w:hint="eastAsia" w:ascii="宋体" w:hAnsi="宋体" w:eastAsia="宋体" w:cs="宋体"/>
                <w:color w:val="auto"/>
                <w:spacing w:val="-6"/>
                <w:sz w:val="22"/>
                <w:szCs w:val="22"/>
                <w:highlight w:val="none"/>
                <w:lang w:val="zh-CN"/>
              </w:rPr>
            </w:pPr>
            <w:r>
              <w:rPr>
                <w:rFonts w:hint="eastAsia" w:ascii="宋体" w:hAnsi="宋体" w:eastAsia="宋体" w:cs="宋体"/>
                <w:color w:val="auto"/>
                <w:spacing w:val="-6"/>
                <w:sz w:val="22"/>
                <w:szCs w:val="22"/>
                <w:highlight w:val="none"/>
                <w:lang w:val="zh-CN"/>
              </w:rPr>
              <w:t>根据投入本项目的项目组人员（除项目负责人外）</w:t>
            </w:r>
            <w:r>
              <w:rPr>
                <w:rFonts w:hint="eastAsia" w:ascii="宋体" w:hAnsi="宋体" w:eastAsia="宋体" w:cs="宋体"/>
                <w:color w:val="auto"/>
                <w:spacing w:val="-6"/>
                <w:sz w:val="22"/>
                <w:szCs w:val="22"/>
                <w:highlight w:val="none"/>
                <w:lang w:val="en-US" w:eastAsia="zh-CN"/>
              </w:rPr>
              <w:t>相关证书</w:t>
            </w:r>
            <w:r>
              <w:rPr>
                <w:rFonts w:hint="eastAsia" w:ascii="宋体" w:hAnsi="宋体" w:eastAsia="宋体" w:cs="宋体"/>
                <w:color w:val="auto"/>
                <w:spacing w:val="-6"/>
                <w:sz w:val="22"/>
                <w:szCs w:val="22"/>
                <w:highlight w:val="none"/>
                <w:lang w:val="zh-CN"/>
              </w:rPr>
              <w:t>进行打分；具有初级导游证人员每人得0.5分，中级导游人员每人得1分，高级导游人员每人得1.5分，本项最高得</w:t>
            </w:r>
            <w:r>
              <w:rPr>
                <w:rFonts w:hint="eastAsia" w:ascii="宋体" w:hAnsi="宋体" w:eastAsia="宋体" w:cs="宋体"/>
                <w:color w:val="auto"/>
                <w:spacing w:val="-6"/>
                <w:sz w:val="22"/>
                <w:szCs w:val="22"/>
                <w:highlight w:val="none"/>
                <w:lang w:val="en-US" w:eastAsia="zh-CN"/>
              </w:rPr>
              <w:t>6</w:t>
            </w:r>
            <w:r>
              <w:rPr>
                <w:rFonts w:hint="eastAsia" w:ascii="宋体" w:hAnsi="宋体" w:eastAsia="宋体" w:cs="宋体"/>
                <w:color w:val="auto"/>
                <w:spacing w:val="-6"/>
                <w:sz w:val="22"/>
                <w:szCs w:val="22"/>
                <w:highlight w:val="none"/>
                <w:lang w:val="zh-CN"/>
              </w:rPr>
              <w:t>分。</w:t>
            </w:r>
          </w:p>
          <w:p>
            <w:pPr>
              <w:spacing w:after="0" w:line="360" w:lineRule="exact"/>
              <w:jc w:val="left"/>
              <w:rPr>
                <w:rFonts w:hint="eastAsia" w:ascii="宋体" w:hAnsi="宋体" w:cs="宋体"/>
                <w:spacing w:val="-6"/>
                <w:sz w:val="22"/>
                <w:highlight w:val="none"/>
              </w:rPr>
            </w:pPr>
            <w:r>
              <w:rPr>
                <w:rFonts w:hint="eastAsia" w:ascii="宋体" w:hAnsi="宋体" w:eastAsia="宋体" w:cs="宋体"/>
                <w:color w:val="auto"/>
                <w:spacing w:val="-6"/>
                <w:sz w:val="22"/>
                <w:szCs w:val="22"/>
                <w:highlight w:val="none"/>
                <w:lang w:val="zh-CN"/>
              </w:rPr>
              <w:t>提供</w:t>
            </w:r>
            <w:r>
              <w:rPr>
                <w:rFonts w:hint="eastAsia" w:ascii="宋体" w:hAnsi="宋体" w:cs="宋体"/>
                <w:color w:val="auto"/>
                <w:spacing w:val="-6"/>
                <w:sz w:val="22"/>
                <w:szCs w:val="22"/>
                <w:highlight w:val="none"/>
                <w:lang w:val="zh-CN"/>
              </w:rPr>
              <w:t>人</w:t>
            </w:r>
            <w:r>
              <w:rPr>
                <w:rFonts w:hint="eastAsia" w:ascii="宋体" w:hAnsi="宋体" w:eastAsia="宋体" w:cs="宋体"/>
                <w:color w:val="auto"/>
                <w:spacing w:val="-6"/>
                <w:sz w:val="22"/>
                <w:szCs w:val="22"/>
                <w:highlight w:val="none"/>
                <w:lang w:val="zh-CN"/>
              </w:rPr>
              <w:t>员在2023年02月01日以来任意一月的社保缴纳复印件证明材料</w:t>
            </w:r>
            <w:r>
              <w:rPr>
                <w:rFonts w:hint="eastAsia" w:ascii="宋体" w:hAnsi="宋体" w:cs="宋体"/>
                <w:color w:val="auto"/>
                <w:spacing w:val="-6"/>
                <w:sz w:val="22"/>
                <w:szCs w:val="22"/>
                <w:highlight w:val="none"/>
                <w:lang w:val="zh-CN"/>
              </w:rPr>
              <w:t>或其他在职证明并</w:t>
            </w:r>
            <w:r>
              <w:rPr>
                <w:rFonts w:hint="eastAsia" w:ascii="宋体" w:hAnsi="宋体" w:eastAsia="宋体" w:cs="宋体"/>
                <w:color w:val="auto"/>
                <w:spacing w:val="-6"/>
                <w:sz w:val="22"/>
                <w:szCs w:val="22"/>
                <w:highlight w:val="none"/>
                <w:lang w:val="zh-CN"/>
              </w:rPr>
              <w:t>加盖投标供应商公章，否则不得分。</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Fonts w:hint="eastAsia" w:ascii="宋体" w:hAnsi="宋体" w:cs="宋体"/>
                <w:kern w:val="0"/>
                <w:sz w:val="22"/>
                <w:szCs w:val="22"/>
                <w:highlight w:val="none"/>
              </w:rPr>
            </w:pPr>
            <w:r>
              <w:rPr>
                <w:rFonts w:hint="eastAsia" w:ascii="宋体" w:hAnsi="宋体" w:eastAsia="宋体" w:cs="宋体"/>
                <w:color w:val="auto"/>
                <w:sz w:val="22"/>
                <w:szCs w:val="22"/>
                <w:highlight w:val="none"/>
                <w:lang w:val="en-US" w:eastAsia="zh-CN"/>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7" w:type="dxa"/>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lang w:val="en-US" w:eastAsia="zh-CN"/>
              </w:rPr>
            </w:pPr>
            <w:r>
              <w:rPr>
                <w:rStyle w:val="74"/>
                <w:rFonts w:hint="eastAsia" w:ascii="宋体" w:hAnsi="宋体" w:eastAsia="宋体" w:cs="宋体"/>
                <w:color w:val="auto"/>
                <w:sz w:val="22"/>
                <w:szCs w:val="22"/>
                <w:highlight w:val="none"/>
                <w:lang w:val="en-US" w:eastAsia="zh-CN"/>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Fonts w:hint="eastAsia" w:ascii="宋体" w:hAnsi="宋体" w:cs="宋体"/>
                <w:spacing w:val="-6"/>
                <w:sz w:val="22"/>
                <w:szCs w:val="22"/>
                <w:highlight w:val="none"/>
                <w:lang w:val="zh-CN"/>
              </w:rPr>
            </w:pPr>
            <w:r>
              <w:rPr>
                <w:rFonts w:hint="eastAsia" w:ascii="宋体" w:hAnsi="宋体" w:cs="宋体"/>
                <w:color w:val="auto"/>
                <w:spacing w:val="-6"/>
                <w:sz w:val="22"/>
                <w:szCs w:val="22"/>
                <w:highlight w:val="none"/>
                <w:lang w:val="zh-CN"/>
              </w:rPr>
              <w:t>安全</w:t>
            </w:r>
            <w:r>
              <w:rPr>
                <w:rFonts w:hint="eastAsia" w:ascii="宋体" w:hAnsi="宋体" w:cs="宋体"/>
                <w:color w:val="auto"/>
                <w:spacing w:val="-6"/>
                <w:sz w:val="22"/>
                <w:szCs w:val="22"/>
                <w:highlight w:val="none"/>
              </w:rPr>
              <w:t>及服务质量</w:t>
            </w:r>
            <w:r>
              <w:rPr>
                <w:rFonts w:hint="eastAsia" w:ascii="宋体" w:hAnsi="宋体" w:cs="宋体"/>
                <w:color w:val="auto"/>
                <w:spacing w:val="-6"/>
                <w:sz w:val="22"/>
                <w:szCs w:val="22"/>
                <w:highlight w:val="none"/>
                <w:lang w:val="zh-CN"/>
              </w:rPr>
              <w:t>保证</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after="0" w:line="360" w:lineRule="exact"/>
              <w:jc w:val="center"/>
              <w:rPr>
                <w:rStyle w:val="74"/>
                <w:rFonts w:hint="eastAsia" w:ascii="宋体" w:hAnsi="宋体" w:eastAsia="宋体" w:cs="宋体"/>
                <w:color w:val="auto"/>
                <w:sz w:val="22"/>
                <w:szCs w:val="22"/>
                <w:highlight w:val="none"/>
                <w:lang w:val="en-US" w:eastAsia="zh-CN"/>
              </w:rPr>
            </w:pPr>
            <w:r>
              <w:rPr>
                <w:rFonts w:hint="eastAsia" w:ascii="宋体" w:hAnsi="宋体" w:cs="宋体"/>
                <w:color w:val="auto"/>
                <w:spacing w:val="-6"/>
                <w:sz w:val="22"/>
                <w:szCs w:val="22"/>
                <w:highlight w:val="none"/>
                <w:lang w:val="en-US" w:eastAsia="zh-CN"/>
              </w:rPr>
              <w:t>3</w:t>
            </w:r>
          </w:p>
        </w:tc>
        <w:tc>
          <w:tcPr>
            <w:tcW w:w="6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9"/>
              <w:spacing w:after="0" w:line="360" w:lineRule="exact"/>
              <w:rPr>
                <w:rFonts w:hint="eastAsia" w:ascii="宋体" w:hAnsi="宋体" w:eastAsia="宋体" w:cs="宋体"/>
                <w:color w:val="auto"/>
                <w:spacing w:val="-6"/>
                <w:sz w:val="22"/>
                <w:szCs w:val="22"/>
                <w:highlight w:val="none"/>
                <w:lang w:val="zh-CN"/>
              </w:rPr>
            </w:pPr>
            <w:r>
              <w:rPr>
                <w:rFonts w:hint="eastAsia" w:ascii="宋体" w:hAnsi="宋体" w:cs="宋体"/>
                <w:color w:val="auto"/>
                <w:sz w:val="22"/>
                <w:szCs w:val="22"/>
                <w:highlight w:val="none"/>
                <w:lang w:val="zh-CN"/>
              </w:rPr>
              <w:t>根据出发前、疗养中、回程情况相应的安全方面的承诺及</w:t>
            </w:r>
            <w:r>
              <w:rPr>
                <w:rFonts w:hint="eastAsia" w:ascii="宋体" w:hAnsi="宋体" w:cs="宋体"/>
                <w:color w:val="auto"/>
                <w:sz w:val="22"/>
                <w:szCs w:val="22"/>
                <w:highlight w:val="none"/>
              </w:rPr>
              <w:t>服务质量</w:t>
            </w:r>
            <w:r>
              <w:rPr>
                <w:rFonts w:hint="eastAsia" w:ascii="宋体" w:hAnsi="宋体" w:cs="宋体"/>
                <w:color w:val="auto"/>
                <w:sz w:val="22"/>
                <w:szCs w:val="22"/>
                <w:highlight w:val="none"/>
                <w:lang w:val="zh-CN"/>
              </w:rPr>
              <w:t>保障措施等</w:t>
            </w:r>
            <w:r>
              <w:rPr>
                <w:rFonts w:hint="eastAsia" w:ascii="宋体" w:hAnsi="宋体" w:cs="宋体"/>
                <w:color w:val="auto"/>
                <w:sz w:val="22"/>
                <w:szCs w:val="22"/>
                <w:highlight w:val="none"/>
              </w:rPr>
              <w:t>方案。</w:t>
            </w:r>
            <w:r>
              <w:rPr>
                <w:rFonts w:hint="eastAsia" w:ascii="宋体" w:hAnsi="宋体" w:cs="宋体"/>
                <w:color w:val="auto"/>
                <w:sz w:val="22"/>
                <w:szCs w:val="22"/>
                <w:highlight w:val="none"/>
                <w:lang w:val="zh-CN"/>
              </w:rPr>
              <w:t>是否覆盖全面、是否科学合理、具有针对性和可操作性打分。方案全面、合理、针对性强的得</w:t>
            </w: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分；方案较全面、合理、针对性较强的得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val="zh-CN"/>
              </w:rPr>
              <w:t>分；方案不够全面、合理，针对性差的得</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val="zh-CN"/>
              </w:rPr>
              <w:t>分</w:t>
            </w:r>
            <w:r>
              <w:rPr>
                <w:rFonts w:hint="eastAsia" w:ascii="宋体" w:hAnsi="宋体" w:cs="宋体"/>
                <w:color w:val="auto"/>
                <w:spacing w:val="-6"/>
                <w:sz w:val="22"/>
                <w:szCs w:val="22"/>
                <w:highlight w:val="none"/>
                <w:lang w:val="zh-CN"/>
              </w:rPr>
              <w:t>；</w:t>
            </w:r>
            <w:r>
              <w:rPr>
                <w:rFonts w:hint="eastAsia" w:ascii="宋体" w:hAnsi="宋体" w:cs="宋体"/>
                <w:color w:val="auto"/>
                <w:spacing w:val="-6"/>
                <w:sz w:val="22"/>
                <w:highlight w:val="none"/>
                <w:lang w:val="zh-CN"/>
              </w:rPr>
              <w:t>未提供的不得分</w:t>
            </w:r>
            <w:r>
              <w:rPr>
                <w:rFonts w:hint="eastAsia" w:ascii="宋体" w:hAnsi="宋体" w:cs="宋体"/>
                <w:color w:val="auto"/>
                <w:sz w:val="22"/>
                <w:szCs w:val="22"/>
                <w:highlight w:val="none"/>
                <w:lang w:val="zh-CN"/>
              </w:rPr>
              <w:t>。</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after="0" w:line="360" w:lineRule="exact"/>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0" w:hRule="atLeast"/>
          <w:jc w:val="center"/>
        </w:trPr>
        <w:tc>
          <w:tcPr>
            <w:tcW w:w="697" w:type="dxa"/>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lang w:val="en-US" w:eastAsia="zh-CN"/>
              </w:rPr>
            </w:pPr>
            <w:r>
              <w:rPr>
                <w:rStyle w:val="74"/>
                <w:rFonts w:hint="eastAsia" w:ascii="宋体" w:hAnsi="宋体" w:eastAsia="宋体" w:cs="宋体"/>
                <w:color w:val="auto"/>
                <w:sz w:val="22"/>
                <w:szCs w:val="22"/>
                <w:highlight w:val="none"/>
                <w:lang w:val="en-US" w:eastAsia="zh-CN"/>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hint="eastAsia" w:ascii="宋体" w:hAnsi="宋体" w:cs="宋体"/>
                <w:spacing w:val="-6"/>
                <w:sz w:val="22"/>
                <w:szCs w:val="22"/>
                <w:highlight w:val="none"/>
                <w:lang w:val="zh-CN"/>
              </w:rPr>
            </w:pPr>
            <w:r>
              <w:rPr>
                <w:rFonts w:hint="eastAsia" w:ascii="宋体" w:hAnsi="宋体" w:cs="宋体"/>
                <w:spacing w:val="-6"/>
                <w:sz w:val="22"/>
                <w:highlight w:val="none"/>
                <w:lang w:val="zh-CN"/>
              </w:rPr>
              <w:t>应急预案</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Style w:val="74"/>
                <w:rFonts w:hint="eastAsia" w:ascii="宋体" w:hAnsi="宋体" w:eastAsia="宋体" w:cs="宋体"/>
                <w:color w:val="auto"/>
                <w:sz w:val="22"/>
                <w:szCs w:val="22"/>
                <w:highlight w:val="none"/>
                <w:lang w:val="en-US" w:eastAsia="zh-CN"/>
              </w:rPr>
            </w:pPr>
            <w:r>
              <w:rPr>
                <w:rFonts w:hint="eastAsia" w:ascii="宋体" w:hAnsi="宋体" w:cs="宋体"/>
                <w:spacing w:val="-6"/>
                <w:sz w:val="22"/>
                <w:highlight w:val="none"/>
                <w:lang w:val="en-US" w:eastAsia="zh-CN"/>
              </w:rPr>
              <w:t>3</w:t>
            </w:r>
          </w:p>
        </w:tc>
        <w:tc>
          <w:tcPr>
            <w:tcW w:w="6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color w:val="auto"/>
                <w:sz w:val="22"/>
                <w:szCs w:val="22"/>
                <w:highlight w:val="none"/>
                <w:lang w:val="zh-CN" w:eastAsia="zh-CN"/>
              </w:rPr>
            </w:pPr>
            <w:r>
              <w:rPr>
                <w:rFonts w:hint="eastAsia" w:ascii="宋体" w:hAnsi="宋体" w:eastAsia="宋体" w:cs="宋体"/>
                <w:color w:val="auto"/>
                <w:spacing w:val="-6"/>
                <w:sz w:val="22"/>
                <w:szCs w:val="22"/>
                <w:highlight w:val="none"/>
                <w:lang w:val="zh-CN"/>
              </w:rPr>
              <w:t>对服务过程中</w:t>
            </w:r>
            <w:r>
              <w:rPr>
                <w:rFonts w:hint="eastAsia" w:ascii="宋体" w:hAnsi="宋体" w:eastAsia="宋体" w:cs="宋体"/>
                <w:color w:val="auto"/>
                <w:spacing w:val="-6"/>
                <w:sz w:val="22"/>
                <w:szCs w:val="22"/>
                <w:highlight w:val="none"/>
                <w:lang w:val="en-US" w:eastAsia="zh-CN"/>
              </w:rPr>
              <w:t>保险承诺（除招标文件要求之外的承诺）和</w:t>
            </w:r>
            <w:r>
              <w:rPr>
                <w:rFonts w:hint="eastAsia" w:ascii="宋体" w:hAnsi="宋体" w:eastAsia="宋体" w:cs="宋体"/>
                <w:color w:val="auto"/>
                <w:spacing w:val="-6"/>
                <w:sz w:val="22"/>
                <w:szCs w:val="22"/>
                <w:highlight w:val="none"/>
                <w:lang w:val="zh-CN"/>
              </w:rPr>
              <w:t>可能出现的意外情况的</w:t>
            </w:r>
            <w:r>
              <w:rPr>
                <w:rFonts w:hint="eastAsia" w:ascii="宋体" w:hAnsi="宋体" w:eastAsia="宋体" w:cs="宋体"/>
                <w:color w:val="auto"/>
                <w:spacing w:val="-6"/>
                <w:sz w:val="22"/>
                <w:szCs w:val="22"/>
                <w:highlight w:val="none"/>
                <w:lang w:val="en-US" w:eastAsia="zh-CN"/>
              </w:rPr>
              <w:t>应急预案，突发问题解决</w:t>
            </w:r>
            <w:r>
              <w:rPr>
                <w:rFonts w:hint="eastAsia" w:ascii="宋体" w:hAnsi="宋体" w:eastAsia="宋体" w:cs="宋体"/>
                <w:color w:val="auto"/>
                <w:spacing w:val="-6"/>
                <w:sz w:val="22"/>
                <w:szCs w:val="22"/>
                <w:highlight w:val="none"/>
                <w:lang w:val="zh-CN"/>
              </w:rPr>
              <w:t>等方案（含防控和疾病应急预案）</w:t>
            </w:r>
            <w:r>
              <w:rPr>
                <w:rFonts w:hint="eastAsia" w:ascii="宋体" w:hAnsi="宋体" w:eastAsia="宋体" w:cs="宋体"/>
                <w:color w:val="auto"/>
                <w:spacing w:val="-6"/>
                <w:sz w:val="22"/>
                <w:szCs w:val="22"/>
                <w:highlight w:val="none"/>
                <w:lang w:val="en-US" w:eastAsia="zh-CN"/>
              </w:rPr>
              <w:t>的</w:t>
            </w:r>
            <w:r>
              <w:rPr>
                <w:rFonts w:hint="eastAsia" w:ascii="宋体" w:hAnsi="宋体" w:eastAsia="宋体" w:cs="宋体"/>
                <w:color w:val="auto"/>
                <w:spacing w:val="-6"/>
                <w:sz w:val="22"/>
                <w:szCs w:val="22"/>
                <w:highlight w:val="none"/>
                <w:lang w:val="zh-CN"/>
              </w:rPr>
              <w:t>全面、科学合理、针对性和可操作性综合打分。（全面、科学合理、针对性和可操作性强的得</w:t>
            </w:r>
            <w:r>
              <w:rPr>
                <w:rFonts w:hint="eastAsia" w:ascii="宋体" w:hAnsi="宋体" w:eastAsia="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lang w:val="zh-CN"/>
              </w:rPr>
              <w:t>分；全面、科学合理、针对性和可操作性较强的得</w:t>
            </w:r>
            <w:r>
              <w:rPr>
                <w:rFonts w:hint="eastAsia" w:ascii="宋体" w:hAnsi="宋体" w:eastAsia="宋体" w:cs="宋体"/>
                <w:color w:val="auto"/>
                <w:spacing w:val="-6"/>
                <w:sz w:val="22"/>
                <w:szCs w:val="22"/>
                <w:highlight w:val="none"/>
                <w:lang w:val="en-US" w:eastAsia="zh-CN"/>
              </w:rPr>
              <w:t>3</w:t>
            </w:r>
            <w:r>
              <w:rPr>
                <w:rFonts w:hint="eastAsia" w:ascii="宋体" w:hAnsi="宋体" w:eastAsia="宋体" w:cs="宋体"/>
                <w:color w:val="auto"/>
                <w:spacing w:val="-6"/>
                <w:sz w:val="22"/>
                <w:szCs w:val="22"/>
                <w:highlight w:val="none"/>
                <w:lang w:val="zh-CN"/>
              </w:rPr>
              <w:t>分；全面、科学合理、针对性和可操作性一般的得</w:t>
            </w:r>
            <w:r>
              <w:rPr>
                <w:rFonts w:hint="eastAsia" w:ascii="宋体" w:hAnsi="宋体" w:eastAsia="宋体" w:cs="宋体"/>
                <w:color w:val="auto"/>
                <w:spacing w:val="-6"/>
                <w:sz w:val="22"/>
                <w:szCs w:val="22"/>
                <w:highlight w:val="none"/>
                <w:lang w:val="en-US" w:eastAsia="zh-CN"/>
              </w:rPr>
              <w:t>2</w:t>
            </w:r>
            <w:r>
              <w:rPr>
                <w:rFonts w:hint="eastAsia" w:ascii="宋体" w:hAnsi="宋体" w:eastAsia="宋体" w:cs="宋体"/>
                <w:color w:val="auto"/>
                <w:spacing w:val="-6"/>
                <w:sz w:val="22"/>
                <w:szCs w:val="22"/>
                <w:highlight w:val="none"/>
                <w:lang w:val="zh-CN"/>
              </w:rPr>
              <w:t>分；全面、科学合理、针对性和可操作性</w:t>
            </w:r>
            <w:r>
              <w:rPr>
                <w:rFonts w:hint="eastAsia" w:ascii="宋体" w:hAnsi="宋体" w:eastAsia="宋体" w:cs="宋体"/>
                <w:color w:val="auto"/>
                <w:spacing w:val="-6"/>
                <w:sz w:val="22"/>
                <w:szCs w:val="22"/>
                <w:highlight w:val="none"/>
                <w:lang w:val="en-US" w:eastAsia="zh-CN"/>
              </w:rPr>
              <w:t>不</w:t>
            </w:r>
            <w:r>
              <w:rPr>
                <w:rFonts w:hint="eastAsia" w:ascii="宋体" w:hAnsi="宋体" w:eastAsia="宋体" w:cs="宋体"/>
                <w:color w:val="auto"/>
                <w:spacing w:val="-6"/>
                <w:sz w:val="22"/>
                <w:szCs w:val="22"/>
                <w:highlight w:val="none"/>
                <w:lang w:val="zh-CN"/>
              </w:rPr>
              <w:t>强的得</w:t>
            </w:r>
            <w:r>
              <w:rPr>
                <w:rFonts w:hint="eastAsia" w:ascii="宋体" w:hAnsi="宋体" w:eastAsia="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lang w:val="zh-CN"/>
              </w:rPr>
              <w:t>分；未提供的不得分）</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0" w:hRule="atLeast"/>
          <w:jc w:val="center"/>
        </w:trPr>
        <w:tc>
          <w:tcPr>
            <w:tcW w:w="697" w:type="dxa"/>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lang w:val="en-US" w:eastAsia="zh-CN"/>
              </w:rPr>
            </w:pPr>
            <w:r>
              <w:rPr>
                <w:rStyle w:val="74"/>
                <w:rFonts w:hint="eastAsia" w:ascii="宋体" w:hAnsi="宋体" w:eastAsia="宋体" w:cs="宋体"/>
                <w:color w:val="auto"/>
                <w:sz w:val="22"/>
                <w:szCs w:val="22"/>
                <w:highlight w:val="none"/>
                <w:lang w:val="en-US" w:eastAsia="zh-CN"/>
              </w:rPr>
              <w:t>6</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after="0" w:line="360" w:lineRule="exact"/>
              <w:jc w:val="center"/>
              <w:rPr>
                <w:rFonts w:hint="eastAsia" w:ascii="宋体" w:hAnsi="宋体" w:cs="宋体"/>
                <w:spacing w:val="-6"/>
                <w:sz w:val="22"/>
                <w:highlight w:val="none"/>
                <w:lang w:val="zh-CN"/>
              </w:rPr>
            </w:pPr>
            <w:r>
              <w:rPr>
                <w:rFonts w:hint="eastAsia" w:ascii="宋体" w:hAnsi="宋体" w:eastAsia="宋体" w:cs="宋体"/>
                <w:color w:val="auto"/>
                <w:spacing w:val="-6"/>
                <w:sz w:val="22"/>
                <w:szCs w:val="22"/>
                <w:highlight w:val="none"/>
                <w:lang w:val="zh-CN"/>
              </w:rPr>
              <w:t>组织实施能力、投诉处理</w:t>
            </w:r>
            <w:r>
              <w:rPr>
                <w:rFonts w:hint="eastAsia" w:ascii="宋体" w:hAnsi="宋体" w:eastAsia="宋体" w:cs="宋体"/>
                <w:color w:val="auto"/>
                <w:spacing w:val="-6"/>
                <w:sz w:val="22"/>
                <w:szCs w:val="22"/>
                <w:highlight w:val="none"/>
                <w:lang w:val="zh-CN" w:eastAsia="zh-CN"/>
              </w:rPr>
              <w:t>、</w:t>
            </w:r>
            <w:r>
              <w:rPr>
                <w:rFonts w:hint="eastAsia" w:ascii="宋体" w:hAnsi="宋体" w:eastAsia="宋体" w:cs="宋体"/>
                <w:color w:val="auto"/>
                <w:spacing w:val="-6"/>
                <w:sz w:val="22"/>
                <w:szCs w:val="22"/>
                <w:highlight w:val="none"/>
                <w:lang w:val="zh-CN"/>
              </w:rPr>
              <w:t>服务响应时间承诺等</w:t>
            </w:r>
            <w:r>
              <w:rPr>
                <w:rFonts w:hint="eastAsia" w:ascii="宋体" w:hAnsi="宋体" w:eastAsia="宋体" w:cs="宋体"/>
                <w:color w:val="auto"/>
                <w:spacing w:val="-6"/>
                <w:sz w:val="22"/>
                <w:szCs w:val="22"/>
                <w:highlight w:val="none"/>
                <w:lang w:val="en-US" w:eastAsia="zh-CN"/>
              </w:rPr>
              <w:t>方案</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after="0" w:line="360" w:lineRule="exact"/>
              <w:jc w:val="center"/>
              <w:rPr>
                <w:rFonts w:hint="eastAsia" w:ascii="宋体" w:hAnsi="宋体" w:eastAsia="宋体" w:cs="宋体"/>
                <w:spacing w:val="-6"/>
                <w:sz w:val="22"/>
                <w:highlight w:val="none"/>
                <w:lang w:eastAsia="zh-CN"/>
              </w:rPr>
            </w:pPr>
            <w:r>
              <w:rPr>
                <w:rFonts w:hint="eastAsia" w:ascii="宋体" w:hAnsi="宋体" w:cs="宋体"/>
                <w:spacing w:val="-6"/>
                <w:sz w:val="22"/>
                <w:szCs w:val="22"/>
                <w:highlight w:val="none"/>
                <w:lang w:val="en-US" w:eastAsia="zh-CN"/>
              </w:rPr>
              <w:t>3</w:t>
            </w:r>
          </w:p>
        </w:tc>
        <w:tc>
          <w:tcPr>
            <w:tcW w:w="6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9"/>
              <w:spacing w:after="0" w:line="360" w:lineRule="exact"/>
              <w:rPr>
                <w:rFonts w:hint="eastAsia" w:ascii="宋体" w:hAnsi="宋体" w:eastAsia="宋体" w:cs="宋体"/>
                <w:color w:val="auto"/>
                <w:spacing w:val="-6"/>
                <w:sz w:val="22"/>
                <w:szCs w:val="22"/>
                <w:highlight w:val="none"/>
                <w:lang w:val="zh-CN"/>
              </w:rPr>
            </w:pPr>
            <w:r>
              <w:rPr>
                <w:rFonts w:hint="eastAsia" w:ascii="宋体" w:hAnsi="宋体" w:eastAsia="宋体" w:cs="宋体"/>
                <w:color w:val="auto"/>
                <w:spacing w:val="-6"/>
                <w:sz w:val="22"/>
                <w:szCs w:val="22"/>
                <w:highlight w:val="none"/>
                <w:lang w:val="en-US" w:eastAsia="zh-CN"/>
              </w:rPr>
              <w:t>根据针对本项目提供的</w:t>
            </w:r>
            <w:r>
              <w:rPr>
                <w:rFonts w:hint="eastAsia" w:ascii="宋体" w:hAnsi="宋体" w:eastAsia="宋体" w:cs="宋体"/>
                <w:color w:val="auto"/>
                <w:spacing w:val="-6"/>
                <w:sz w:val="22"/>
                <w:szCs w:val="22"/>
                <w:highlight w:val="none"/>
                <w:lang w:val="zh-CN"/>
              </w:rPr>
              <w:t>组织实施能力、投诉处理</w:t>
            </w:r>
            <w:r>
              <w:rPr>
                <w:rFonts w:hint="eastAsia" w:ascii="宋体" w:hAnsi="宋体" w:eastAsia="宋体" w:cs="宋体"/>
                <w:color w:val="auto"/>
                <w:spacing w:val="-6"/>
                <w:sz w:val="22"/>
                <w:szCs w:val="22"/>
                <w:highlight w:val="none"/>
                <w:lang w:val="zh-CN" w:eastAsia="zh-CN"/>
              </w:rPr>
              <w:t>、</w:t>
            </w:r>
            <w:r>
              <w:rPr>
                <w:rFonts w:hint="eastAsia" w:ascii="宋体" w:hAnsi="宋体" w:eastAsia="宋体" w:cs="宋体"/>
                <w:color w:val="auto"/>
                <w:spacing w:val="-6"/>
                <w:sz w:val="22"/>
                <w:szCs w:val="22"/>
                <w:highlight w:val="none"/>
                <w:lang w:val="zh-CN"/>
              </w:rPr>
              <w:t>服务响应时间承诺等方案</w:t>
            </w:r>
            <w:r>
              <w:rPr>
                <w:rFonts w:hint="eastAsia" w:ascii="宋体" w:hAnsi="宋体" w:eastAsia="宋体" w:cs="宋体"/>
                <w:color w:val="auto"/>
                <w:spacing w:val="-6"/>
                <w:sz w:val="22"/>
                <w:szCs w:val="22"/>
                <w:highlight w:val="none"/>
                <w:lang w:val="en-US" w:eastAsia="zh-CN"/>
              </w:rPr>
              <w:t>的</w:t>
            </w:r>
            <w:r>
              <w:rPr>
                <w:rFonts w:hint="eastAsia" w:ascii="宋体" w:hAnsi="宋体" w:eastAsia="宋体" w:cs="宋体"/>
                <w:color w:val="auto"/>
                <w:spacing w:val="-6"/>
                <w:sz w:val="22"/>
                <w:szCs w:val="22"/>
                <w:highlight w:val="none"/>
                <w:lang w:val="zh-CN"/>
              </w:rPr>
              <w:t>全面、科学合理及可行性情况综合打分。（方案全面、科学合理及可行性强的得</w:t>
            </w:r>
            <w:r>
              <w:rPr>
                <w:rFonts w:hint="eastAsia" w:ascii="宋体" w:hAnsi="宋体" w:eastAsia="宋体" w:cs="宋体"/>
                <w:color w:val="auto"/>
                <w:spacing w:val="-6"/>
                <w:sz w:val="22"/>
                <w:szCs w:val="22"/>
                <w:highlight w:val="none"/>
                <w:lang w:val="en-US" w:eastAsia="zh-CN"/>
              </w:rPr>
              <w:t>3</w:t>
            </w:r>
            <w:r>
              <w:rPr>
                <w:rFonts w:hint="eastAsia" w:ascii="宋体" w:hAnsi="宋体" w:eastAsia="宋体" w:cs="宋体"/>
                <w:color w:val="auto"/>
                <w:spacing w:val="-6"/>
                <w:sz w:val="22"/>
                <w:szCs w:val="22"/>
                <w:highlight w:val="none"/>
                <w:lang w:val="zh-CN"/>
              </w:rPr>
              <w:t>分；方案全面、科学合理及可行性较强的得</w:t>
            </w:r>
            <w:r>
              <w:rPr>
                <w:rFonts w:hint="eastAsia" w:ascii="宋体" w:hAnsi="宋体" w:eastAsia="宋体" w:cs="宋体"/>
                <w:color w:val="auto"/>
                <w:spacing w:val="-6"/>
                <w:sz w:val="22"/>
                <w:szCs w:val="22"/>
                <w:highlight w:val="none"/>
                <w:lang w:val="en-US" w:eastAsia="zh-CN"/>
              </w:rPr>
              <w:t>2</w:t>
            </w:r>
            <w:r>
              <w:rPr>
                <w:rFonts w:hint="eastAsia" w:ascii="宋体" w:hAnsi="宋体" w:eastAsia="宋体" w:cs="宋体"/>
                <w:color w:val="auto"/>
                <w:spacing w:val="-6"/>
                <w:sz w:val="22"/>
                <w:szCs w:val="22"/>
                <w:highlight w:val="none"/>
                <w:lang w:val="zh-CN"/>
              </w:rPr>
              <w:t>分；方案全面、科学合理及可行性一般的得</w:t>
            </w:r>
            <w:r>
              <w:rPr>
                <w:rFonts w:hint="eastAsia" w:ascii="宋体" w:hAnsi="宋体" w:eastAsia="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lang w:val="zh-CN"/>
              </w:rPr>
              <w:t>分；未提供的不得分）</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after="0" w:line="360" w:lineRule="exact"/>
              <w:ind w:right="-252" w:rightChars="0"/>
              <w:rPr>
                <w:rFonts w:hint="eastAsia" w:ascii="宋体" w:hAnsi="宋体" w:eastAsia="宋体" w:cs="宋体"/>
                <w:color w:val="auto"/>
                <w:sz w:val="22"/>
                <w:szCs w:val="22"/>
                <w:highlight w:val="none"/>
                <w:lang w:val="en-US" w:eastAsia="zh-CN"/>
              </w:rPr>
            </w:pPr>
            <w:r>
              <w:rPr>
                <w:rFonts w:hint="eastAsia" w:ascii="宋体" w:hAnsi="宋体" w:cs="宋体"/>
                <w:sz w:val="22"/>
                <w:szCs w:val="2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7"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lang w:eastAsia="zh-CN"/>
              </w:rPr>
            </w:pPr>
            <w:r>
              <w:rPr>
                <w:rStyle w:val="74"/>
                <w:rFonts w:hint="eastAsia" w:ascii="宋体" w:hAnsi="宋体" w:eastAsia="宋体" w:cs="宋体"/>
                <w:color w:val="auto"/>
                <w:sz w:val="22"/>
                <w:szCs w:val="22"/>
                <w:highlight w:val="none"/>
                <w:lang w:val="en-US" w:eastAsia="zh-CN"/>
              </w:rPr>
              <w:t>7</w:t>
            </w:r>
          </w:p>
        </w:tc>
        <w:tc>
          <w:tcPr>
            <w:tcW w:w="1173"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r>
              <w:rPr>
                <w:rStyle w:val="74"/>
                <w:rFonts w:hint="eastAsia" w:ascii="宋体" w:hAnsi="宋体" w:eastAsia="宋体" w:cs="宋体"/>
                <w:color w:val="auto"/>
                <w:sz w:val="22"/>
                <w:szCs w:val="22"/>
                <w:highlight w:val="none"/>
              </w:rPr>
              <w:t>疗休养活动方案</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lang w:val="en-US" w:eastAsia="zh-CN"/>
              </w:rPr>
            </w:pPr>
            <w:r>
              <w:rPr>
                <w:rStyle w:val="74"/>
                <w:rFonts w:hint="eastAsia" w:ascii="宋体" w:hAnsi="宋体" w:eastAsia="宋体" w:cs="宋体"/>
                <w:color w:val="auto"/>
                <w:sz w:val="22"/>
                <w:szCs w:val="22"/>
                <w:highlight w:val="none"/>
                <w:lang w:val="en-US" w:eastAsia="zh-CN"/>
              </w:rPr>
              <w:t>15</w:t>
            </w:r>
          </w:p>
        </w:tc>
        <w:tc>
          <w:tcPr>
            <w:tcW w:w="6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after="0" w:line="360" w:lineRule="exact"/>
              <w:jc w:val="left"/>
              <w:rPr>
                <w:rFonts w:hint="eastAsia" w:ascii="宋体" w:hAnsi="宋体" w:eastAsia="宋体" w:cs="宋体"/>
                <w:color w:val="auto"/>
                <w:spacing w:val="-6"/>
                <w:sz w:val="22"/>
                <w:szCs w:val="22"/>
                <w:highlight w:val="none"/>
                <w:lang w:val="en-US" w:eastAsia="zh-CN"/>
              </w:rPr>
            </w:pPr>
            <w:r>
              <w:rPr>
                <w:rFonts w:hint="eastAsia" w:ascii="宋体" w:hAnsi="宋体" w:eastAsia="宋体" w:cs="宋体"/>
                <w:color w:val="auto"/>
                <w:spacing w:val="-6"/>
                <w:sz w:val="22"/>
                <w:szCs w:val="22"/>
                <w:highlight w:val="none"/>
                <w:lang w:val="en-US" w:eastAsia="zh-CN"/>
              </w:rPr>
              <w:t>温州市域内线路疗休养活动方案：</w:t>
            </w:r>
          </w:p>
          <w:p>
            <w:pPr>
              <w:spacing w:after="0" w:line="360" w:lineRule="exact"/>
              <w:jc w:val="left"/>
              <w:rPr>
                <w:rFonts w:hint="eastAsia" w:ascii="宋体" w:hAnsi="宋体" w:eastAsia="宋体" w:cs="宋体"/>
                <w:color w:val="auto"/>
                <w:spacing w:val="-6"/>
                <w:sz w:val="22"/>
                <w:szCs w:val="22"/>
                <w:highlight w:val="none"/>
                <w:lang w:val="zh-CN" w:eastAsia="zh-CN"/>
              </w:rPr>
            </w:pPr>
            <w:r>
              <w:rPr>
                <w:rFonts w:hint="eastAsia" w:ascii="宋体" w:hAnsi="宋体" w:eastAsia="宋体" w:cs="宋体"/>
                <w:color w:val="auto"/>
                <w:spacing w:val="-6"/>
                <w:sz w:val="22"/>
                <w:szCs w:val="22"/>
                <w:highlight w:val="none"/>
                <w:lang w:val="zh-CN" w:eastAsia="zh-CN"/>
              </w:rPr>
              <w:t>1.</w:t>
            </w:r>
            <w:r>
              <w:rPr>
                <w:rFonts w:hint="eastAsia" w:ascii="宋体" w:hAnsi="宋体" w:eastAsia="宋体" w:cs="宋体"/>
                <w:color w:val="auto"/>
                <w:spacing w:val="-6"/>
                <w:sz w:val="22"/>
                <w:szCs w:val="22"/>
                <w:highlight w:val="none"/>
                <w:lang w:val="en-US" w:eastAsia="zh-CN"/>
              </w:rPr>
              <w:t>路线安排（包括景点安排）方案：根据总体出行线路安排（标明各景点档次、景点之间的车程时间，当天出行路线安排、疗养期间的整体行程安排，住宿至各景点的路线行程安排）方案的</w:t>
            </w:r>
            <w:r>
              <w:rPr>
                <w:rFonts w:hint="eastAsia" w:ascii="宋体" w:hAnsi="宋体" w:eastAsia="宋体" w:cs="宋体"/>
                <w:color w:val="auto"/>
                <w:spacing w:val="-6"/>
                <w:sz w:val="22"/>
                <w:szCs w:val="22"/>
                <w:highlight w:val="none"/>
                <w:lang w:val="zh-CN" w:eastAsia="zh-CN"/>
              </w:rPr>
              <w:t>全面、科学合理、针对性和可操作性综合打分。（全面、科学合理、针对性和可操作性强的得</w:t>
            </w:r>
            <w:r>
              <w:rPr>
                <w:rFonts w:hint="eastAsia" w:ascii="宋体" w:hAnsi="宋体" w:eastAsia="宋体" w:cs="宋体"/>
                <w:color w:val="auto"/>
                <w:spacing w:val="-6"/>
                <w:sz w:val="22"/>
                <w:szCs w:val="22"/>
                <w:highlight w:val="none"/>
                <w:lang w:val="en-US" w:eastAsia="zh-CN"/>
              </w:rPr>
              <w:t>5</w:t>
            </w:r>
            <w:r>
              <w:rPr>
                <w:rFonts w:hint="eastAsia" w:ascii="宋体" w:hAnsi="宋体" w:eastAsia="宋体" w:cs="宋体"/>
                <w:color w:val="auto"/>
                <w:spacing w:val="-6"/>
                <w:sz w:val="22"/>
                <w:szCs w:val="22"/>
                <w:highlight w:val="none"/>
                <w:lang w:val="zh-CN" w:eastAsia="zh-CN"/>
              </w:rPr>
              <w:t>分；全面、科学合理、针对性和可操作性较强的得</w:t>
            </w:r>
            <w:r>
              <w:rPr>
                <w:rFonts w:hint="eastAsia" w:ascii="宋体" w:hAnsi="宋体" w:eastAsia="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lang w:val="zh-CN" w:eastAsia="zh-CN"/>
              </w:rPr>
              <w:t>分；全面、科学合理、针对性和可操作性一般的得</w:t>
            </w:r>
            <w:r>
              <w:rPr>
                <w:rFonts w:hint="eastAsia" w:ascii="宋体" w:hAnsi="宋体" w:eastAsia="宋体" w:cs="宋体"/>
                <w:color w:val="auto"/>
                <w:spacing w:val="-6"/>
                <w:sz w:val="22"/>
                <w:szCs w:val="22"/>
                <w:highlight w:val="none"/>
                <w:lang w:val="en-US" w:eastAsia="zh-CN"/>
              </w:rPr>
              <w:t>3</w:t>
            </w:r>
            <w:r>
              <w:rPr>
                <w:rFonts w:hint="eastAsia" w:ascii="宋体" w:hAnsi="宋体" w:eastAsia="宋体" w:cs="宋体"/>
                <w:color w:val="auto"/>
                <w:spacing w:val="-6"/>
                <w:sz w:val="22"/>
                <w:szCs w:val="22"/>
                <w:highlight w:val="none"/>
                <w:lang w:val="zh-CN" w:eastAsia="zh-CN"/>
              </w:rPr>
              <w:t>分；全面、科学合理、针对性和可操作性</w:t>
            </w:r>
            <w:r>
              <w:rPr>
                <w:rFonts w:hint="eastAsia" w:ascii="宋体" w:hAnsi="宋体" w:eastAsia="宋体" w:cs="宋体"/>
                <w:color w:val="auto"/>
                <w:spacing w:val="-6"/>
                <w:sz w:val="22"/>
                <w:szCs w:val="22"/>
                <w:highlight w:val="none"/>
                <w:lang w:val="en-US" w:eastAsia="zh-CN"/>
              </w:rPr>
              <w:t>不</w:t>
            </w:r>
            <w:r>
              <w:rPr>
                <w:rFonts w:hint="eastAsia" w:ascii="宋体" w:hAnsi="宋体" w:eastAsia="宋体" w:cs="宋体"/>
                <w:color w:val="auto"/>
                <w:spacing w:val="-6"/>
                <w:sz w:val="22"/>
                <w:szCs w:val="22"/>
                <w:highlight w:val="none"/>
                <w:lang w:val="zh-CN" w:eastAsia="zh-CN"/>
              </w:rPr>
              <w:t>强的得</w:t>
            </w:r>
            <w:r>
              <w:rPr>
                <w:rFonts w:hint="eastAsia" w:ascii="宋体" w:hAnsi="宋体" w:eastAsia="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lang w:val="zh-CN" w:eastAsia="zh-CN"/>
              </w:rPr>
              <w:t>分；未提供的不得分）</w:t>
            </w:r>
            <w:r>
              <w:rPr>
                <w:rFonts w:hint="eastAsia" w:ascii="宋体" w:hAnsi="宋体" w:eastAsia="宋体" w:cs="宋体"/>
                <w:color w:val="auto"/>
                <w:spacing w:val="-6"/>
                <w:sz w:val="22"/>
                <w:szCs w:val="22"/>
                <w:highlight w:val="none"/>
                <w:lang w:val="en-US" w:eastAsia="zh-CN"/>
              </w:rPr>
              <w:t>。</w:t>
            </w:r>
          </w:p>
          <w:p>
            <w:pPr>
              <w:spacing w:after="0" w:line="360" w:lineRule="exact"/>
              <w:jc w:val="left"/>
              <w:rPr>
                <w:rFonts w:hint="eastAsia" w:ascii="宋体" w:hAnsi="宋体" w:eastAsia="宋体" w:cs="宋体"/>
                <w:color w:val="auto"/>
                <w:spacing w:val="-6"/>
                <w:sz w:val="22"/>
                <w:szCs w:val="22"/>
                <w:highlight w:val="none"/>
                <w:lang w:val="en-US" w:eastAsia="zh-CN"/>
              </w:rPr>
            </w:pPr>
            <w:r>
              <w:rPr>
                <w:rFonts w:hint="eastAsia" w:ascii="宋体" w:hAnsi="宋体" w:eastAsia="宋体" w:cs="宋体"/>
                <w:color w:val="auto"/>
                <w:spacing w:val="-6"/>
                <w:sz w:val="22"/>
                <w:szCs w:val="22"/>
                <w:highlight w:val="none"/>
                <w:lang w:val="zh-CN" w:eastAsia="zh-CN"/>
              </w:rPr>
              <w:t>2.</w:t>
            </w:r>
            <w:r>
              <w:rPr>
                <w:rFonts w:hint="eastAsia" w:ascii="宋体" w:hAnsi="宋体" w:eastAsia="宋体" w:cs="宋体"/>
                <w:color w:val="auto"/>
                <w:spacing w:val="-6"/>
                <w:sz w:val="22"/>
                <w:szCs w:val="22"/>
                <w:highlight w:val="none"/>
                <w:lang w:val="en-US" w:eastAsia="zh-CN"/>
              </w:rPr>
              <w:t>酒店住宿安排方案（住宿安排须提供住宿点的具体星级等级，无挂牌的提供相当于同档次星级的资料，如网评资料、相关主管单位评定资料等；同时提供酒店相关地理位置及住宿点具体情况介绍及联系号码）与本项目疗休养特色的吻合程度综合给分。根据方案的</w:t>
            </w:r>
            <w:r>
              <w:rPr>
                <w:rFonts w:hint="eastAsia" w:ascii="宋体" w:hAnsi="宋体" w:eastAsia="宋体" w:cs="宋体"/>
                <w:color w:val="auto"/>
                <w:spacing w:val="-6"/>
                <w:sz w:val="22"/>
                <w:szCs w:val="22"/>
                <w:highlight w:val="none"/>
                <w:lang w:val="zh-CN" w:eastAsia="zh-CN"/>
              </w:rPr>
              <w:t>全面、科学合理、针对性和可操作性综合打分。（全面、科学合理、针对性和可操作性强的得</w:t>
            </w:r>
            <w:r>
              <w:rPr>
                <w:rFonts w:hint="eastAsia" w:ascii="宋体" w:hAnsi="宋体" w:eastAsia="宋体" w:cs="宋体"/>
                <w:color w:val="auto"/>
                <w:spacing w:val="-6"/>
                <w:sz w:val="22"/>
                <w:szCs w:val="22"/>
                <w:highlight w:val="none"/>
                <w:lang w:val="en-US" w:eastAsia="zh-CN"/>
              </w:rPr>
              <w:t>5</w:t>
            </w:r>
            <w:r>
              <w:rPr>
                <w:rFonts w:hint="eastAsia" w:ascii="宋体" w:hAnsi="宋体" w:eastAsia="宋体" w:cs="宋体"/>
                <w:color w:val="auto"/>
                <w:spacing w:val="-6"/>
                <w:sz w:val="22"/>
                <w:szCs w:val="22"/>
                <w:highlight w:val="none"/>
                <w:lang w:val="zh-CN" w:eastAsia="zh-CN"/>
              </w:rPr>
              <w:t>分；全面、科学合理、针对性和可操作性较强的得</w:t>
            </w:r>
            <w:r>
              <w:rPr>
                <w:rFonts w:hint="eastAsia" w:ascii="宋体" w:hAnsi="宋体" w:eastAsia="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lang w:val="zh-CN" w:eastAsia="zh-CN"/>
              </w:rPr>
              <w:t>分；全面、科学合理、针对性和可操作性一般的得</w:t>
            </w:r>
            <w:r>
              <w:rPr>
                <w:rFonts w:hint="eastAsia" w:ascii="宋体" w:hAnsi="宋体" w:eastAsia="宋体" w:cs="宋体"/>
                <w:color w:val="auto"/>
                <w:spacing w:val="-6"/>
                <w:sz w:val="22"/>
                <w:szCs w:val="22"/>
                <w:highlight w:val="none"/>
                <w:lang w:val="en-US" w:eastAsia="zh-CN"/>
              </w:rPr>
              <w:t>3</w:t>
            </w:r>
            <w:r>
              <w:rPr>
                <w:rFonts w:hint="eastAsia" w:ascii="宋体" w:hAnsi="宋体" w:eastAsia="宋体" w:cs="宋体"/>
                <w:color w:val="auto"/>
                <w:spacing w:val="-6"/>
                <w:sz w:val="22"/>
                <w:szCs w:val="22"/>
                <w:highlight w:val="none"/>
                <w:lang w:val="zh-CN" w:eastAsia="zh-CN"/>
              </w:rPr>
              <w:t>分；全面、科学合理、针对性和可操作性</w:t>
            </w:r>
            <w:r>
              <w:rPr>
                <w:rFonts w:hint="eastAsia" w:ascii="宋体" w:hAnsi="宋体" w:eastAsia="宋体" w:cs="宋体"/>
                <w:color w:val="auto"/>
                <w:spacing w:val="-6"/>
                <w:sz w:val="22"/>
                <w:szCs w:val="22"/>
                <w:highlight w:val="none"/>
                <w:lang w:val="en-US" w:eastAsia="zh-CN"/>
              </w:rPr>
              <w:t>不</w:t>
            </w:r>
            <w:r>
              <w:rPr>
                <w:rFonts w:hint="eastAsia" w:ascii="宋体" w:hAnsi="宋体" w:eastAsia="宋体" w:cs="宋体"/>
                <w:color w:val="auto"/>
                <w:spacing w:val="-6"/>
                <w:sz w:val="22"/>
                <w:szCs w:val="22"/>
                <w:highlight w:val="none"/>
                <w:lang w:val="zh-CN" w:eastAsia="zh-CN"/>
              </w:rPr>
              <w:t>强的得</w:t>
            </w:r>
            <w:r>
              <w:rPr>
                <w:rFonts w:hint="eastAsia" w:ascii="宋体" w:hAnsi="宋体" w:eastAsia="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lang w:val="zh-CN" w:eastAsia="zh-CN"/>
              </w:rPr>
              <w:t>分；未提供的不得分）</w:t>
            </w:r>
            <w:r>
              <w:rPr>
                <w:rFonts w:hint="eastAsia" w:ascii="宋体" w:hAnsi="宋体" w:eastAsia="宋体" w:cs="宋体"/>
                <w:color w:val="auto"/>
                <w:spacing w:val="-6"/>
                <w:sz w:val="22"/>
                <w:szCs w:val="22"/>
                <w:highlight w:val="none"/>
                <w:lang w:val="en-US" w:eastAsia="zh-CN"/>
              </w:rPr>
              <w:t>。</w:t>
            </w:r>
          </w:p>
          <w:p>
            <w:pPr>
              <w:spacing w:after="0" w:line="360" w:lineRule="exact"/>
              <w:jc w:val="left"/>
              <w:rPr>
                <w:rFonts w:hint="eastAsia" w:ascii="宋体" w:hAnsi="宋体" w:eastAsia="宋体" w:cs="宋体"/>
                <w:color w:val="auto"/>
                <w:spacing w:val="-6"/>
                <w:sz w:val="22"/>
                <w:szCs w:val="22"/>
                <w:highlight w:val="none"/>
                <w:lang w:val="en-US" w:eastAsia="zh-CN"/>
              </w:rPr>
            </w:pPr>
            <w:r>
              <w:rPr>
                <w:rFonts w:hint="eastAsia" w:ascii="宋体" w:hAnsi="宋体" w:eastAsia="宋体" w:cs="宋体"/>
                <w:color w:val="auto"/>
                <w:spacing w:val="-6"/>
                <w:sz w:val="22"/>
                <w:szCs w:val="22"/>
                <w:highlight w:val="none"/>
                <w:lang w:val="zh-CN" w:eastAsia="zh-CN"/>
              </w:rPr>
              <w:t>3.</w:t>
            </w:r>
            <w:r>
              <w:rPr>
                <w:rFonts w:hint="eastAsia" w:ascii="宋体" w:hAnsi="宋体" w:eastAsia="宋体" w:cs="宋体"/>
                <w:color w:val="auto"/>
                <w:spacing w:val="-6"/>
                <w:sz w:val="22"/>
                <w:szCs w:val="22"/>
                <w:highlight w:val="none"/>
                <w:lang w:val="en-US" w:eastAsia="zh-CN"/>
              </w:rPr>
              <w:t>就餐及餐标</w:t>
            </w:r>
            <w:r>
              <w:rPr>
                <w:rFonts w:hint="eastAsia" w:ascii="宋体" w:hAnsi="宋体" w:eastAsia="宋体" w:cs="宋体"/>
                <w:color w:val="auto"/>
                <w:spacing w:val="-6"/>
                <w:sz w:val="22"/>
                <w:szCs w:val="22"/>
                <w:highlight w:val="none"/>
                <w:lang w:val="zh-CN" w:eastAsia="zh-CN"/>
              </w:rPr>
              <w:t>或其他交通工具安排方案综合给分。（可提供相关图片、驾照、行驶证作为辅助评审资料）</w:t>
            </w:r>
            <w:r>
              <w:rPr>
                <w:rFonts w:hint="eastAsia" w:ascii="宋体" w:hAnsi="宋体" w:eastAsia="宋体" w:cs="宋体"/>
                <w:color w:val="auto"/>
                <w:spacing w:val="-6"/>
                <w:sz w:val="22"/>
                <w:szCs w:val="22"/>
                <w:highlight w:val="none"/>
                <w:lang w:val="en-US" w:eastAsia="zh-CN"/>
              </w:rPr>
              <w:t>安排方案的</w:t>
            </w:r>
            <w:r>
              <w:rPr>
                <w:rFonts w:hint="eastAsia" w:ascii="宋体" w:hAnsi="宋体" w:eastAsia="宋体" w:cs="宋体"/>
                <w:color w:val="auto"/>
                <w:spacing w:val="-6"/>
                <w:sz w:val="22"/>
                <w:szCs w:val="22"/>
                <w:highlight w:val="none"/>
                <w:lang w:val="zh-CN" w:eastAsia="zh-CN"/>
              </w:rPr>
              <w:t>全面、科学合理、针对性和可操作性综合打分。（全面、科学合理、针对性和可操作性强的得</w:t>
            </w:r>
            <w:r>
              <w:rPr>
                <w:rFonts w:hint="eastAsia" w:ascii="宋体" w:hAnsi="宋体" w:eastAsia="宋体" w:cs="宋体"/>
                <w:color w:val="auto"/>
                <w:spacing w:val="-6"/>
                <w:sz w:val="22"/>
                <w:szCs w:val="22"/>
                <w:highlight w:val="none"/>
                <w:lang w:val="en-US" w:eastAsia="zh-CN"/>
              </w:rPr>
              <w:t>5</w:t>
            </w:r>
            <w:r>
              <w:rPr>
                <w:rFonts w:hint="eastAsia" w:ascii="宋体" w:hAnsi="宋体" w:eastAsia="宋体" w:cs="宋体"/>
                <w:color w:val="auto"/>
                <w:spacing w:val="-6"/>
                <w:sz w:val="22"/>
                <w:szCs w:val="22"/>
                <w:highlight w:val="none"/>
                <w:lang w:val="zh-CN" w:eastAsia="zh-CN"/>
              </w:rPr>
              <w:t>分；全面、科学合理、针对性和可操作性较强的得</w:t>
            </w:r>
            <w:r>
              <w:rPr>
                <w:rFonts w:hint="eastAsia" w:ascii="宋体" w:hAnsi="宋体" w:eastAsia="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lang w:val="zh-CN" w:eastAsia="zh-CN"/>
              </w:rPr>
              <w:t>分；全面、科学合理、针对性和可操作性一般的得</w:t>
            </w:r>
            <w:r>
              <w:rPr>
                <w:rFonts w:hint="eastAsia" w:ascii="宋体" w:hAnsi="宋体" w:eastAsia="宋体" w:cs="宋体"/>
                <w:color w:val="auto"/>
                <w:spacing w:val="-6"/>
                <w:sz w:val="22"/>
                <w:szCs w:val="22"/>
                <w:highlight w:val="none"/>
                <w:lang w:val="en-US" w:eastAsia="zh-CN"/>
              </w:rPr>
              <w:t>3</w:t>
            </w:r>
            <w:r>
              <w:rPr>
                <w:rFonts w:hint="eastAsia" w:ascii="宋体" w:hAnsi="宋体" w:eastAsia="宋体" w:cs="宋体"/>
                <w:color w:val="auto"/>
                <w:spacing w:val="-6"/>
                <w:sz w:val="22"/>
                <w:szCs w:val="22"/>
                <w:highlight w:val="none"/>
                <w:lang w:val="zh-CN" w:eastAsia="zh-CN"/>
              </w:rPr>
              <w:t>分；全面、科学合理、针对性和可操作性</w:t>
            </w:r>
            <w:r>
              <w:rPr>
                <w:rFonts w:hint="eastAsia" w:ascii="宋体" w:hAnsi="宋体" w:eastAsia="宋体" w:cs="宋体"/>
                <w:color w:val="auto"/>
                <w:spacing w:val="-6"/>
                <w:sz w:val="22"/>
                <w:szCs w:val="22"/>
                <w:highlight w:val="none"/>
                <w:lang w:val="en-US" w:eastAsia="zh-CN"/>
              </w:rPr>
              <w:t>不</w:t>
            </w:r>
            <w:r>
              <w:rPr>
                <w:rFonts w:hint="eastAsia" w:ascii="宋体" w:hAnsi="宋体" w:eastAsia="宋体" w:cs="宋体"/>
                <w:color w:val="auto"/>
                <w:spacing w:val="-6"/>
                <w:sz w:val="22"/>
                <w:szCs w:val="22"/>
                <w:highlight w:val="none"/>
                <w:lang w:val="zh-CN" w:eastAsia="zh-CN"/>
              </w:rPr>
              <w:t>强的得</w:t>
            </w:r>
            <w:r>
              <w:rPr>
                <w:rFonts w:hint="eastAsia" w:ascii="宋体" w:hAnsi="宋体" w:eastAsia="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lang w:val="zh-CN" w:eastAsia="zh-CN"/>
              </w:rPr>
              <w:t>分；未提供的不得分）</w:t>
            </w:r>
            <w:r>
              <w:rPr>
                <w:rFonts w:hint="eastAsia" w:ascii="宋体" w:hAnsi="宋体" w:eastAsia="宋体" w:cs="宋体"/>
                <w:color w:val="auto"/>
                <w:spacing w:val="-6"/>
                <w:sz w:val="22"/>
                <w:szCs w:val="22"/>
                <w:highlight w:val="none"/>
                <w:lang w:val="en-US" w:eastAsia="zh-CN"/>
              </w:rPr>
              <w:t>。</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宋体" w:hAnsi="宋体" w:eastAsia="宋体" w:cs="宋体"/>
                <w:color w:val="auto"/>
                <w:kern w:val="2"/>
                <w:sz w:val="22"/>
                <w:szCs w:val="22"/>
                <w:highlight w:val="none"/>
                <w:lang w:val="zh-CN" w:eastAsia="zh-CN" w:bidi="ar-SA"/>
              </w:rPr>
            </w:pPr>
            <w:r>
              <w:rPr>
                <w:rStyle w:val="74"/>
                <w:rFonts w:hint="eastAsia" w:ascii="宋体" w:hAnsi="宋体" w:eastAsia="宋体" w:cs="宋体"/>
                <w:color w:val="auto"/>
                <w:sz w:val="22"/>
                <w:szCs w:val="22"/>
                <w:highlight w:val="none"/>
                <w:lang w:val="en-US" w:eastAsia="zh-CN"/>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7"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p>
        </w:tc>
        <w:tc>
          <w:tcPr>
            <w:tcW w:w="1173"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default" w:ascii="宋体" w:hAnsi="宋体" w:eastAsia="宋体" w:cs="宋体"/>
                <w:color w:val="auto"/>
                <w:sz w:val="22"/>
                <w:szCs w:val="22"/>
                <w:highlight w:val="none"/>
                <w:lang w:val="en-US" w:eastAsia="zh-CN"/>
              </w:rPr>
            </w:pPr>
            <w:r>
              <w:rPr>
                <w:rStyle w:val="74"/>
                <w:rFonts w:hint="eastAsia" w:ascii="宋体" w:hAnsi="宋体" w:eastAsia="宋体" w:cs="宋体"/>
                <w:color w:val="auto"/>
                <w:sz w:val="22"/>
                <w:szCs w:val="22"/>
                <w:highlight w:val="none"/>
                <w:lang w:val="en-US" w:eastAsia="zh-CN"/>
              </w:rPr>
              <w:t>15</w:t>
            </w:r>
          </w:p>
        </w:tc>
        <w:tc>
          <w:tcPr>
            <w:tcW w:w="6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after="0" w:line="360" w:lineRule="exact"/>
              <w:jc w:val="left"/>
              <w:rPr>
                <w:rFonts w:hint="eastAsia" w:ascii="宋体" w:hAnsi="宋体" w:eastAsia="宋体" w:cs="宋体"/>
                <w:color w:val="auto"/>
                <w:spacing w:val="-6"/>
                <w:sz w:val="22"/>
                <w:szCs w:val="22"/>
                <w:highlight w:val="none"/>
                <w:lang w:val="zh-CN" w:eastAsia="zh-CN"/>
              </w:rPr>
            </w:pPr>
            <w:r>
              <w:rPr>
                <w:rFonts w:hint="eastAsia" w:ascii="宋体" w:hAnsi="宋体" w:eastAsia="宋体" w:cs="宋体"/>
                <w:color w:val="auto"/>
                <w:spacing w:val="-6"/>
                <w:sz w:val="22"/>
                <w:szCs w:val="22"/>
                <w:highlight w:val="none"/>
                <w:lang w:val="zh-CN" w:eastAsia="zh-CN"/>
              </w:rPr>
              <w:t>省内路线（</w:t>
            </w:r>
            <w:r>
              <w:rPr>
                <w:rFonts w:hint="eastAsia" w:ascii="宋体" w:hAnsi="宋体" w:eastAsia="宋体" w:cs="宋体"/>
                <w:color w:val="auto"/>
                <w:spacing w:val="-6"/>
                <w:sz w:val="22"/>
                <w:szCs w:val="22"/>
                <w:highlight w:val="none"/>
                <w:lang w:val="en-US" w:eastAsia="zh-CN"/>
              </w:rPr>
              <w:t>除温州市域</w:t>
            </w:r>
            <w:r>
              <w:rPr>
                <w:rFonts w:hint="eastAsia" w:ascii="宋体" w:hAnsi="宋体" w:eastAsia="宋体" w:cs="宋体"/>
                <w:color w:val="auto"/>
                <w:spacing w:val="-6"/>
                <w:sz w:val="22"/>
                <w:szCs w:val="22"/>
                <w:highlight w:val="none"/>
                <w:lang w:val="zh-CN" w:eastAsia="zh-CN"/>
              </w:rPr>
              <w:t>）疗休养活动方案：</w:t>
            </w:r>
          </w:p>
          <w:p>
            <w:pPr>
              <w:spacing w:after="0" w:line="360" w:lineRule="exact"/>
              <w:jc w:val="left"/>
              <w:rPr>
                <w:rFonts w:hint="eastAsia" w:ascii="宋体" w:hAnsi="宋体" w:eastAsia="宋体" w:cs="宋体"/>
                <w:color w:val="auto"/>
                <w:spacing w:val="-6"/>
                <w:sz w:val="22"/>
                <w:szCs w:val="22"/>
                <w:highlight w:val="none"/>
                <w:lang w:val="zh-CN" w:eastAsia="zh-CN"/>
              </w:rPr>
            </w:pPr>
            <w:r>
              <w:rPr>
                <w:rFonts w:hint="eastAsia" w:ascii="宋体" w:hAnsi="宋体" w:eastAsia="宋体" w:cs="宋体"/>
                <w:color w:val="auto"/>
                <w:spacing w:val="-6"/>
                <w:sz w:val="22"/>
                <w:szCs w:val="22"/>
                <w:highlight w:val="none"/>
                <w:lang w:val="zh-CN" w:eastAsia="zh-CN"/>
              </w:rPr>
              <w:t>1.</w:t>
            </w:r>
            <w:r>
              <w:rPr>
                <w:rFonts w:hint="eastAsia" w:ascii="宋体" w:hAnsi="宋体" w:eastAsia="宋体" w:cs="宋体"/>
                <w:color w:val="auto"/>
                <w:spacing w:val="-6"/>
                <w:sz w:val="22"/>
                <w:szCs w:val="22"/>
                <w:highlight w:val="none"/>
                <w:lang w:val="en-US" w:eastAsia="zh-CN"/>
              </w:rPr>
              <w:t>路线安排（包括景点安排）方案：根据总体出行线路安排（标明各景点档次、景点之间的车程时间，当天出行路线安排、疗养期间的整体行程安排，住宿至各景点的路线行程安排）方案的</w:t>
            </w:r>
            <w:r>
              <w:rPr>
                <w:rFonts w:hint="eastAsia" w:ascii="宋体" w:hAnsi="宋体" w:eastAsia="宋体" w:cs="宋体"/>
                <w:color w:val="auto"/>
                <w:spacing w:val="-6"/>
                <w:sz w:val="22"/>
                <w:szCs w:val="22"/>
                <w:highlight w:val="none"/>
                <w:lang w:val="zh-CN" w:eastAsia="zh-CN"/>
              </w:rPr>
              <w:t>全面、科学合理、针对性和可操作性综合打分。（全面、科学合理、针对性和可操作性强的得</w:t>
            </w:r>
            <w:r>
              <w:rPr>
                <w:rFonts w:hint="eastAsia" w:ascii="宋体" w:hAnsi="宋体" w:eastAsia="宋体" w:cs="宋体"/>
                <w:color w:val="auto"/>
                <w:spacing w:val="-6"/>
                <w:sz w:val="22"/>
                <w:szCs w:val="22"/>
                <w:highlight w:val="none"/>
                <w:lang w:val="en-US" w:eastAsia="zh-CN"/>
              </w:rPr>
              <w:t>5</w:t>
            </w:r>
            <w:r>
              <w:rPr>
                <w:rFonts w:hint="eastAsia" w:ascii="宋体" w:hAnsi="宋体" w:eastAsia="宋体" w:cs="宋体"/>
                <w:color w:val="auto"/>
                <w:spacing w:val="-6"/>
                <w:sz w:val="22"/>
                <w:szCs w:val="22"/>
                <w:highlight w:val="none"/>
                <w:lang w:val="zh-CN" w:eastAsia="zh-CN"/>
              </w:rPr>
              <w:t>分；全面、科学合理、针对性和可操作性较强的得</w:t>
            </w:r>
            <w:r>
              <w:rPr>
                <w:rFonts w:hint="eastAsia" w:ascii="宋体" w:hAnsi="宋体" w:eastAsia="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lang w:val="zh-CN" w:eastAsia="zh-CN"/>
              </w:rPr>
              <w:t>分；全面、科学合理、针对性和可操作性一般的得</w:t>
            </w:r>
            <w:r>
              <w:rPr>
                <w:rFonts w:hint="eastAsia" w:ascii="宋体" w:hAnsi="宋体" w:eastAsia="宋体" w:cs="宋体"/>
                <w:color w:val="auto"/>
                <w:spacing w:val="-6"/>
                <w:sz w:val="22"/>
                <w:szCs w:val="22"/>
                <w:highlight w:val="none"/>
                <w:lang w:val="en-US" w:eastAsia="zh-CN"/>
              </w:rPr>
              <w:t>3</w:t>
            </w:r>
            <w:r>
              <w:rPr>
                <w:rFonts w:hint="eastAsia" w:ascii="宋体" w:hAnsi="宋体" w:eastAsia="宋体" w:cs="宋体"/>
                <w:color w:val="auto"/>
                <w:spacing w:val="-6"/>
                <w:sz w:val="22"/>
                <w:szCs w:val="22"/>
                <w:highlight w:val="none"/>
                <w:lang w:val="zh-CN" w:eastAsia="zh-CN"/>
              </w:rPr>
              <w:t>分；全面、科学合理、针对性和可操作性</w:t>
            </w:r>
            <w:r>
              <w:rPr>
                <w:rFonts w:hint="eastAsia" w:ascii="宋体" w:hAnsi="宋体" w:eastAsia="宋体" w:cs="宋体"/>
                <w:color w:val="auto"/>
                <w:spacing w:val="-6"/>
                <w:sz w:val="22"/>
                <w:szCs w:val="22"/>
                <w:highlight w:val="none"/>
                <w:lang w:val="en-US" w:eastAsia="zh-CN"/>
              </w:rPr>
              <w:t>不</w:t>
            </w:r>
            <w:r>
              <w:rPr>
                <w:rFonts w:hint="eastAsia" w:ascii="宋体" w:hAnsi="宋体" w:eastAsia="宋体" w:cs="宋体"/>
                <w:color w:val="auto"/>
                <w:spacing w:val="-6"/>
                <w:sz w:val="22"/>
                <w:szCs w:val="22"/>
                <w:highlight w:val="none"/>
                <w:lang w:val="zh-CN" w:eastAsia="zh-CN"/>
              </w:rPr>
              <w:t>强的得</w:t>
            </w:r>
            <w:r>
              <w:rPr>
                <w:rFonts w:hint="eastAsia" w:ascii="宋体" w:hAnsi="宋体" w:eastAsia="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lang w:val="zh-CN" w:eastAsia="zh-CN"/>
              </w:rPr>
              <w:t>分；未提供的不得分）</w:t>
            </w:r>
            <w:r>
              <w:rPr>
                <w:rFonts w:hint="eastAsia" w:ascii="宋体" w:hAnsi="宋体" w:eastAsia="宋体" w:cs="宋体"/>
                <w:color w:val="auto"/>
                <w:spacing w:val="-6"/>
                <w:sz w:val="22"/>
                <w:szCs w:val="22"/>
                <w:highlight w:val="none"/>
                <w:lang w:val="en-US" w:eastAsia="zh-CN"/>
              </w:rPr>
              <w:t>。</w:t>
            </w:r>
          </w:p>
          <w:p>
            <w:pPr>
              <w:spacing w:after="0" w:line="360" w:lineRule="exact"/>
              <w:jc w:val="left"/>
              <w:rPr>
                <w:rFonts w:hint="eastAsia" w:ascii="宋体" w:hAnsi="宋体" w:eastAsia="宋体" w:cs="宋体"/>
                <w:color w:val="auto"/>
                <w:spacing w:val="-6"/>
                <w:sz w:val="22"/>
                <w:szCs w:val="22"/>
                <w:highlight w:val="none"/>
                <w:lang w:val="en-US" w:eastAsia="zh-CN"/>
              </w:rPr>
            </w:pPr>
            <w:r>
              <w:rPr>
                <w:rFonts w:hint="eastAsia" w:ascii="宋体" w:hAnsi="宋体" w:eastAsia="宋体" w:cs="宋体"/>
                <w:color w:val="auto"/>
                <w:spacing w:val="-6"/>
                <w:sz w:val="22"/>
                <w:szCs w:val="22"/>
                <w:highlight w:val="none"/>
                <w:lang w:val="zh-CN" w:eastAsia="zh-CN"/>
              </w:rPr>
              <w:t>2.</w:t>
            </w:r>
            <w:r>
              <w:rPr>
                <w:rFonts w:hint="eastAsia" w:ascii="宋体" w:hAnsi="宋体" w:eastAsia="宋体" w:cs="宋体"/>
                <w:color w:val="auto"/>
                <w:spacing w:val="-6"/>
                <w:sz w:val="22"/>
                <w:szCs w:val="22"/>
                <w:highlight w:val="none"/>
                <w:lang w:val="en-US" w:eastAsia="zh-CN"/>
              </w:rPr>
              <w:t>酒店住宿安排方案（住宿安排须提供住宿点的具体星级等级，无挂牌的提供相当于同档次星级的资料，如网评资料、相关主管单位评定资料等；同时提供酒店相关地理位置及住宿点具体情况介绍及联系号码）与本项目疗休养特色的吻合程度综合给分。根据方案的</w:t>
            </w:r>
            <w:r>
              <w:rPr>
                <w:rFonts w:hint="eastAsia" w:ascii="宋体" w:hAnsi="宋体" w:eastAsia="宋体" w:cs="宋体"/>
                <w:color w:val="auto"/>
                <w:spacing w:val="-6"/>
                <w:sz w:val="22"/>
                <w:szCs w:val="22"/>
                <w:highlight w:val="none"/>
                <w:lang w:val="zh-CN" w:eastAsia="zh-CN"/>
              </w:rPr>
              <w:t>全面、科学合理、针对性和可操作性综合打分。（全面、科学合理、针对性和可操作性强的得</w:t>
            </w:r>
            <w:r>
              <w:rPr>
                <w:rFonts w:hint="eastAsia" w:ascii="宋体" w:hAnsi="宋体" w:eastAsia="宋体" w:cs="宋体"/>
                <w:color w:val="auto"/>
                <w:spacing w:val="-6"/>
                <w:sz w:val="22"/>
                <w:szCs w:val="22"/>
                <w:highlight w:val="none"/>
                <w:lang w:val="en-US" w:eastAsia="zh-CN"/>
              </w:rPr>
              <w:t>5</w:t>
            </w:r>
            <w:r>
              <w:rPr>
                <w:rFonts w:hint="eastAsia" w:ascii="宋体" w:hAnsi="宋体" w:eastAsia="宋体" w:cs="宋体"/>
                <w:color w:val="auto"/>
                <w:spacing w:val="-6"/>
                <w:sz w:val="22"/>
                <w:szCs w:val="22"/>
                <w:highlight w:val="none"/>
                <w:lang w:val="zh-CN" w:eastAsia="zh-CN"/>
              </w:rPr>
              <w:t>分；全面、科学合理、针对性和可操作性较强的得</w:t>
            </w:r>
            <w:r>
              <w:rPr>
                <w:rFonts w:hint="eastAsia" w:ascii="宋体" w:hAnsi="宋体" w:eastAsia="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lang w:val="zh-CN" w:eastAsia="zh-CN"/>
              </w:rPr>
              <w:t>分；全面、科学合理、针对性和可操作性一般的得</w:t>
            </w:r>
            <w:r>
              <w:rPr>
                <w:rFonts w:hint="eastAsia" w:ascii="宋体" w:hAnsi="宋体" w:eastAsia="宋体" w:cs="宋体"/>
                <w:color w:val="auto"/>
                <w:spacing w:val="-6"/>
                <w:sz w:val="22"/>
                <w:szCs w:val="22"/>
                <w:highlight w:val="none"/>
                <w:lang w:val="en-US" w:eastAsia="zh-CN"/>
              </w:rPr>
              <w:t>3</w:t>
            </w:r>
            <w:r>
              <w:rPr>
                <w:rFonts w:hint="eastAsia" w:ascii="宋体" w:hAnsi="宋体" w:eastAsia="宋体" w:cs="宋体"/>
                <w:color w:val="auto"/>
                <w:spacing w:val="-6"/>
                <w:sz w:val="22"/>
                <w:szCs w:val="22"/>
                <w:highlight w:val="none"/>
                <w:lang w:val="zh-CN" w:eastAsia="zh-CN"/>
              </w:rPr>
              <w:t>分；全面、科学合理、针对性和可操作性</w:t>
            </w:r>
            <w:r>
              <w:rPr>
                <w:rFonts w:hint="eastAsia" w:ascii="宋体" w:hAnsi="宋体" w:eastAsia="宋体" w:cs="宋体"/>
                <w:color w:val="auto"/>
                <w:spacing w:val="-6"/>
                <w:sz w:val="22"/>
                <w:szCs w:val="22"/>
                <w:highlight w:val="none"/>
                <w:lang w:val="en-US" w:eastAsia="zh-CN"/>
              </w:rPr>
              <w:t>不</w:t>
            </w:r>
            <w:r>
              <w:rPr>
                <w:rFonts w:hint="eastAsia" w:ascii="宋体" w:hAnsi="宋体" w:eastAsia="宋体" w:cs="宋体"/>
                <w:color w:val="auto"/>
                <w:spacing w:val="-6"/>
                <w:sz w:val="22"/>
                <w:szCs w:val="22"/>
                <w:highlight w:val="none"/>
                <w:lang w:val="zh-CN" w:eastAsia="zh-CN"/>
              </w:rPr>
              <w:t>强的得</w:t>
            </w:r>
            <w:r>
              <w:rPr>
                <w:rFonts w:hint="eastAsia" w:ascii="宋体" w:hAnsi="宋体" w:eastAsia="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lang w:val="zh-CN" w:eastAsia="zh-CN"/>
              </w:rPr>
              <w:t>分；未提供的不得分）</w:t>
            </w:r>
            <w:r>
              <w:rPr>
                <w:rFonts w:hint="eastAsia" w:ascii="宋体" w:hAnsi="宋体" w:eastAsia="宋体" w:cs="宋体"/>
                <w:color w:val="auto"/>
                <w:spacing w:val="-6"/>
                <w:sz w:val="22"/>
                <w:szCs w:val="22"/>
                <w:highlight w:val="none"/>
                <w:lang w:val="en-US" w:eastAsia="zh-CN"/>
              </w:rPr>
              <w:t>。</w:t>
            </w:r>
          </w:p>
          <w:p>
            <w:pPr>
              <w:spacing w:after="0" w:line="360" w:lineRule="exact"/>
              <w:jc w:val="left"/>
              <w:rPr>
                <w:rFonts w:hint="eastAsia" w:ascii="宋体" w:hAnsi="宋体" w:eastAsia="宋体" w:cs="宋体"/>
                <w:color w:val="auto"/>
                <w:spacing w:val="-6"/>
                <w:sz w:val="22"/>
                <w:szCs w:val="22"/>
                <w:highlight w:val="none"/>
                <w:lang w:val="zh-CN" w:eastAsia="zh-CN"/>
              </w:rPr>
            </w:pPr>
            <w:r>
              <w:rPr>
                <w:rFonts w:hint="eastAsia" w:ascii="宋体" w:hAnsi="宋体" w:eastAsia="宋体" w:cs="宋体"/>
                <w:color w:val="auto"/>
                <w:spacing w:val="-6"/>
                <w:sz w:val="22"/>
                <w:szCs w:val="22"/>
                <w:highlight w:val="none"/>
                <w:lang w:val="zh-CN" w:eastAsia="zh-CN"/>
              </w:rPr>
              <w:t>3.</w:t>
            </w:r>
            <w:r>
              <w:rPr>
                <w:rFonts w:hint="eastAsia" w:ascii="宋体" w:hAnsi="宋体" w:eastAsia="宋体" w:cs="宋体"/>
                <w:color w:val="auto"/>
                <w:spacing w:val="-6"/>
                <w:sz w:val="22"/>
                <w:szCs w:val="22"/>
                <w:highlight w:val="none"/>
                <w:lang w:val="en-US" w:eastAsia="zh-CN"/>
              </w:rPr>
              <w:t>就餐及餐标</w:t>
            </w:r>
            <w:r>
              <w:rPr>
                <w:rFonts w:hint="eastAsia" w:ascii="宋体" w:hAnsi="宋体" w:eastAsia="宋体" w:cs="宋体"/>
                <w:color w:val="auto"/>
                <w:spacing w:val="-6"/>
                <w:sz w:val="22"/>
                <w:szCs w:val="22"/>
                <w:highlight w:val="none"/>
                <w:lang w:val="zh-CN" w:eastAsia="zh-CN"/>
              </w:rPr>
              <w:t>或其他交通工具安排方案综合给分。（可提供相关图片、驾照、行驶证作为辅助评审资料）</w:t>
            </w:r>
            <w:r>
              <w:rPr>
                <w:rFonts w:hint="eastAsia" w:ascii="宋体" w:hAnsi="宋体" w:eastAsia="宋体" w:cs="宋体"/>
                <w:color w:val="auto"/>
                <w:spacing w:val="-6"/>
                <w:sz w:val="22"/>
                <w:szCs w:val="22"/>
                <w:highlight w:val="none"/>
                <w:lang w:val="en-US" w:eastAsia="zh-CN"/>
              </w:rPr>
              <w:t>安排方案的</w:t>
            </w:r>
            <w:r>
              <w:rPr>
                <w:rFonts w:hint="eastAsia" w:ascii="宋体" w:hAnsi="宋体" w:eastAsia="宋体" w:cs="宋体"/>
                <w:color w:val="auto"/>
                <w:spacing w:val="-6"/>
                <w:sz w:val="22"/>
                <w:szCs w:val="22"/>
                <w:highlight w:val="none"/>
                <w:lang w:val="zh-CN" w:eastAsia="zh-CN"/>
              </w:rPr>
              <w:t>全面、科学合理、针对性和可操作性综合打分。（全面、科学合理、针对性和可操作性强的得</w:t>
            </w:r>
            <w:r>
              <w:rPr>
                <w:rFonts w:hint="eastAsia" w:ascii="宋体" w:hAnsi="宋体" w:eastAsia="宋体" w:cs="宋体"/>
                <w:color w:val="auto"/>
                <w:spacing w:val="-6"/>
                <w:sz w:val="22"/>
                <w:szCs w:val="22"/>
                <w:highlight w:val="none"/>
                <w:lang w:val="en-US" w:eastAsia="zh-CN"/>
              </w:rPr>
              <w:t>5</w:t>
            </w:r>
            <w:r>
              <w:rPr>
                <w:rFonts w:hint="eastAsia" w:ascii="宋体" w:hAnsi="宋体" w:eastAsia="宋体" w:cs="宋体"/>
                <w:color w:val="auto"/>
                <w:spacing w:val="-6"/>
                <w:sz w:val="22"/>
                <w:szCs w:val="22"/>
                <w:highlight w:val="none"/>
                <w:lang w:val="zh-CN" w:eastAsia="zh-CN"/>
              </w:rPr>
              <w:t>分；全面、科学合理、针对性和可操作性较强的得</w:t>
            </w:r>
            <w:r>
              <w:rPr>
                <w:rFonts w:hint="eastAsia" w:ascii="宋体" w:hAnsi="宋体" w:eastAsia="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lang w:val="zh-CN" w:eastAsia="zh-CN"/>
              </w:rPr>
              <w:t>分；全面、科学合理、针对性和可操作性一般的得</w:t>
            </w:r>
            <w:r>
              <w:rPr>
                <w:rFonts w:hint="eastAsia" w:ascii="宋体" w:hAnsi="宋体" w:eastAsia="宋体" w:cs="宋体"/>
                <w:color w:val="auto"/>
                <w:spacing w:val="-6"/>
                <w:sz w:val="22"/>
                <w:szCs w:val="22"/>
                <w:highlight w:val="none"/>
                <w:lang w:val="en-US" w:eastAsia="zh-CN"/>
              </w:rPr>
              <w:t>3</w:t>
            </w:r>
            <w:r>
              <w:rPr>
                <w:rFonts w:hint="eastAsia" w:ascii="宋体" w:hAnsi="宋体" w:eastAsia="宋体" w:cs="宋体"/>
                <w:color w:val="auto"/>
                <w:spacing w:val="-6"/>
                <w:sz w:val="22"/>
                <w:szCs w:val="22"/>
                <w:highlight w:val="none"/>
                <w:lang w:val="zh-CN" w:eastAsia="zh-CN"/>
              </w:rPr>
              <w:t>分；全面、科学合理、针对性和可操作性</w:t>
            </w:r>
            <w:r>
              <w:rPr>
                <w:rFonts w:hint="eastAsia" w:ascii="宋体" w:hAnsi="宋体" w:eastAsia="宋体" w:cs="宋体"/>
                <w:color w:val="auto"/>
                <w:spacing w:val="-6"/>
                <w:sz w:val="22"/>
                <w:szCs w:val="22"/>
                <w:highlight w:val="none"/>
                <w:lang w:val="en-US" w:eastAsia="zh-CN"/>
              </w:rPr>
              <w:t>不</w:t>
            </w:r>
            <w:r>
              <w:rPr>
                <w:rFonts w:hint="eastAsia" w:ascii="宋体" w:hAnsi="宋体" w:eastAsia="宋体" w:cs="宋体"/>
                <w:color w:val="auto"/>
                <w:spacing w:val="-6"/>
                <w:sz w:val="22"/>
                <w:szCs w:val="22"/>
                <w:highlight w:val="none"/>
                <w:lang w:val="zh-CN" w:eastAsia="zh-CN"/>
              </w:rPr>
              <w:t>强的得</w:t>
            </w:r>
            <w:r>
              <w:rPr>
                <w:rFonts w:hint="eastAsia" w:ascii="宋体" w:hAnsi="宋体" w:eastAsia="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lang w:val="zh-CN" w:eastAsia="zh-CN"/>
              </w:rPr>
              <w:t>分；未提供的不得分）</w:t>
            </w:r>
            <w:r>
              <w:rPr>
                <w:rFonts w:hint="eastAsia" w:ascii="宋体" w:hAnsi="宋体" w:eastAsia="宋体" w:cs="宋体"/>
                <w:color w:val="auto"/>
                <w:spacing w:val="-6"/>
                <w:sz w:val="22"/>
                <w:szCs w:val="22"/>
                <w:highlight w:val="none"/>
                <w:lang w:val="en-US" w:eastAsia="zh-CN"/>
              </w:rPr>
              <w:t>。</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Fonts w:hint="eastAsia" w:ascii="宋体" w:hAnsi="宋体" w:eastAsia="宋体" w:cs="宋体"/>
                <w:color w:val="auto"/>
                <w:kern w:val="2"/>
                <w:sz w:val="22"/>
                <w:szCs w:val="22"/>
                <w:highlight w:val="none"/>
                <w:lang w:val="zh-CN" w:eastAsia="zh-CN" w:bidi="ar-SA"/>
              </w:rPr>
            </w:pPr>
            <w:r>
              <w:rPr>
                <w:rStyle w:val="74"/>
                <w:rFonts w:hint="eastAsia" w:ascii="宋体" w:hAnsi="宋体" w:eastAsia="宋体" w:cs="宋体"/>
                <w:color w:val="auto"/>
                <w:sz w:val="22"/>
                <w:szCs w:val="22"/>
                <w:highlight w:val="none"/>
                <w:lang w:val="en-US" w:eastAsia="zh-CN"/>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7"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p>
        </w:tc>
        <w:tc>
          <w:tcPr>
            <w:tcW w:w="1173"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Fonts w:hint="default" w:ascii="宋体" w:hAnsi="宋体" w:eastAsia="宋体" w:cs="宋体"/>
                <w:color w:val="auto"/>
                <w:kern w:val="2"/>
                <w:sz w:val="22"/>
                <w:szCs w:val="22"/>
                <w:highlight w:val="none"/>
                <w:lang w:val="en-US" w:eastAsia="zh-CN" w:bidi="ar-SA"/>
              </w:rPr>
            </w:pPr>
            <w:r>
              <w:rPr>
                <w:rStyle w:val="74"/>
                <w:rFonts w:hint="eastAsia" w:ascii="宋体" w:hAnsi="宋体" w:eastAsia="宋体" w:cs="宋体"/>
                <w:color w:val="auto"/>
                <w:sz w:val="22"/>
                <w:szCs w:val="22"/>
                <w:highlight w:val="none"/>
                <w:lang w:val="en-US" w:eastAsia="zh-CN"/>
              </w:rPr>
              <w:t>15</w:t>
            </w:r>
          </w:p>
        </w:tc>
        <w:tc>
          <w:tcPr>
            <w:tcW w:w="6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after="0" w:line="360" w:lineRule="exact"/>
              <w:jc w:val="left"/>
              <w:rPr>
                <w:rFonts w:hint="eastAsia" w:ascii="宋体" w:hAnsi="宋体" w:eastAsia="宋体" w:cs="宋体"/>
                <w:color w:val="auto"/>
                <w:spacing w:val="-6"/>
                <w:sz w:val="22"/>
                <w:szCs w:val="22"/>
                <w:highlight w:val="none"/>
                <w:lang w:val="zh-CN" w:eastAsia="zh-CN"/>
              </w:rPr>
            </w:pPr>
            <w:r>
              <w:rPr>
                <w:rFonts w:hint="eastAsia" w:ascii="宋体" w:hAnsi="宋体" w:eastAsia="宋体" w:cs="宋体"/>
                <w:color w:val="auto"/>
                <w:spacing w:val="-6"/>
                <w:sz w:val="22"/>
                <w:szCs w:val="22"/>
                <w:highlight w:val="none"/>
                <w:lang w:val="en-US" w:eastAsia="zh-CN"/>
              </w:rPr>
              <w:t>周边省市</w:t>
            </w:r>
            <w:r>
              <w:rPr>
                <w:rFonts w:hint="eastAsia" w:ascii="宋体" w:hAnsi="宋体" w:eastAsia="宋体" w:cs="宋体"/>
                <w:color w:val="auto"/>
                <w:spacing w:val="-6"/>
                <w:sz w:val="22"/>
                <w:szCs w:val="22"/>
                <w:highlight w:val="none"/>
                <w:lang w:val="zh-CN" w:eastAsia="zh-CN"/>
              </w:rPr>
              <w:t>线路疗休养活动方案：</w:t>
            </w:r>
          </w:p>
          <w:p>
            <w:pPr>
              <w:spacing w:after="0" w:line="360" w:lineRule="exact"/>
              <w:jc w:val="left"/>
              <w:rPr>
                <w:rFonts w:hint="eastAsia" w:ascii="宋体" w:hAnsi="宋体" w:eastAsia="宋体" w:cs="宋体"/>
                <w:color w:val="auto"/>
                <w:spacing w:val="-6"/>
                <w:sz w:val="22"/>
                <w:szCs w:val="22"/>
                <w:highlight w:val="none"/>
                <w:lang w:val="zh-CN" w:eastAsia="zh-CN"/>
              </w:rPr>
            </w:pPr>
            <w:r>
              <w:rPr>
                <w:rFonts w:hint="eastAsia" w:ascii="宋体" w:hAnsi="宋体" w:eastAsia="宋体" w:cs="宋体"/>
                <w:color w:val="auto"/>
                <w:spacing w:val="-6"/>
                <w:sz w:val="22"/>
                <w:szCs w:val="22"/>
                <w:highlight w:val="none"/>
                <w:lang w:val="zh-CN" w:eastAsia="zh-CN"/>
              </w:rPr>
              <w:t>1.</w:t>
            </w:r>
            <w:r>
              <w:rPr>
                <w:rFonts w:hint="eastAsia" w:ascii="宋体" w:hAnsi="宋体" w:eastAsia="宋体" w:cs="宋体"/>
                <w:color w:val="auto"/>
                <w:spacing w:val="-6"/>
                <w:sz w:val="22"/>
                <w:szCs w:val="22"/>
                <w:highlight w:val="none"/>
                <w:lang w:val="en-US" w:eastAsia="zh-CN"/>
              </w:rPr>
              <w:t>路线安排（包括景点安排）方案：根据总体出行线路安排（标明各景点档次、景点之间的车程时间，当天出行路线安排、疗养期间的整体行程安排，住宿至各景点的路线行程安排）方案的</w:t>
            </w:r>
            <w:r>
              <w:rPr>
                <w:rFonts w:hint="eastAsia" w:ascii="宋体" w:hAnsi="宋体" w:eastAsia="宋体" w:cs="宋体"/>
                <w:color w:val="auto"/>
                <w:spacing w:val="-6"/>
                <w:sz w:val="22"/>
                <w:szCs w:val="22"/>
                <w:highlight w:val="none"/>
                <w:lang w:val="zh-CN" w:eastAsia="zh-CN"/>
              </w:rPr>
              <w:t>全面、科学合理、针对性和可操作性综合打分。（全面、科学合理、针对性和可操作性强的得</w:t>
            </w:r>
            <w:r>
              <w:rPr>
                <w:rFonts w:hint="eastAsia" w:ascii="宋体" w:hAnsi="宋体" w:eastAsia="宋体" w:cs="宋体"/>
                <w:color w:val="auto"/>
                <w:spacing w:val="-6"/>
                <w:sz w:val="22"/>
                <w:szCs w:val="22"/>
                <w:highlight w:val="none"/>
                <w:lang w:val="en-US" w:eastAsia="zh-CN"/>
              </w:rPr>
              <w:t>5</w:t>
            </w:r>
            <w:r>
              <w:rPr>
                <w:rFonts w:hint="eastAsia" w:ascii="宋体" w:hAnsi="宋体" w:eastAsia="宋体" w:cs="宋体"/>
                <w:color w:val="auto"/>
                <w:spacing w:val="-6"/>
                <w:sz w:val="22"/>
                <w:szCs w:val="22"/>
                <w:highlight w:val="none"/>
                <w:lang w:val="zh-CN" w:eastAsia="zh-CN"/>
              </w:rPr>
              <w:t>分；全面、科学合理、针对性和可操作性较强的得</w:t>
            </w:r>
            <w:r>
              <w:rPr>
                <w:rFonts w:hint="eastAsia" w:ascii="宋体" w:hAnsi="宋体" w:eastAsia="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lang w:val="zh-CN" w:eastAsia="zh-CN"/>
              </w:rPr>
              <w:t>分；全面、科学合理、针对性和可操作性一般的得</w:t>
            </w:r>
            <w:r>
              <w:rPr>
                <w:rFonts w:hint="eastAsia" w:ascii="宋体" w:hAnsi="宋体" w:eastAsia="宋体" w:cs="宋体"/>
                <w:color w:val="auto"/>
                <w:spacing w:val="-6"/>
                <w:sz w:val="22"/>
                <w:szCs w:val="22"/>
                <w:highlight w:val="none"/>
                <w:lang w:val="en-US" w:eastAsia="zh-CN"/>
              </w:rPr>
              <w:t>3</w:t>
            </w:r>
            <w:r>
              <w:rPr>
                <w:rFonts w:hint="eastAsia" w:ascii="宋体" w:hAnsi="宋体" w:eastAsia="宋体" w:cs="宋体"/>
                <w:color w:val="auto"/>
                <w:spacing w:val="-6"/>
                <w:sz w:val="22"/>
                <w:szCs w:val="22"/>
                <w:highlight w:val="none"/>
                <w:lang w:val="zh-CN" w:eastAsia="zh-CN"/>
              </w:rPr>
              <w:t>分；全面、科学合理、针对性和可操作性</w:t>
            </w:r>
            <w:r>
              <w:rPr>
                <w:rFonts w:hint="eastAsia" w:ascii="宋体" w:hAnsi="宋体" w:eastAsia="宋体" w:cs="宋体"/>
                <w:color w:val="auto"/>
                <w:spacing w:val="-6"/>
                <w:sz w:val="22"/>
                <w:szCs w:val="22"/>
                <w:highlight w:val="none"/>
                <w:lang w:val="en-US" w:eastAsia="zh-CN"/>
              </w:rPr>
              <w:t>不</w:t>
            </w:r>
            <w:r>
              <w:rPr>
                <w:rFonts w:hint="eastAsia" w:ascii="宋体" w:hAnsi="宋体" w:eastAsia="宋体" w:cs="宋体"/>
                <w:color w:val="auto"/>
                <w:spacing w:val="-6"/>
                <w:sz w:val="22"/>
                <w:szCs w:val="22"/>
                <w:highlight w:val="none"/>
                <w:lang w:val="zh-CN" w:eastAsia="zh-CN"/>
              </w:rPr>
              <w:t>强的得</w:t>
            </w:r>
            <w:r>
              <w:rPr>
                <w:rFonts w:hint="eastAsia" w:ascii="宋体" w:hAnsi="宋体" w:eastAsia="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lang w:val="zh-CN" w:eastAsia="zh-CN"/>
              </w:rPr>
              <w:t>分；未提供的不得分）</w:t>
            </w:r>
            <w:r>
              <w:rPr>
                <w:rFonts w:hint="eastAsia" w:ascii="宋体" w:hAnsi="宋体" w:eastAsia="宋体" w:cs="宋体"/>
                <w:color w:val="auto"/>
                <w:spacing w:val="-6"/>
                <w:sz w:val="22"/>
                <w:szCs w:val="22"/>
                <w:highlight w:val="none"/>
                <w:lang w:val="en-US" w:eastAsia="zh-CN"/>
              </w:rPr>
              <w:t>。</w:t>
            </w:r>
          </w:p>
          <w:p>
            <w:pPr>
              <w:spacing w:after="0" w:line="360" w:lineRule="exact"/>
              <w:jc w:val="left"/>
              <w:rPr>
                <w:rFonts w:hint="eastAsia" w:ascii="宋体" w:hAnsi="宋体" w:eastAsia="宋体" w:cs="宋体"/>
                <w:color w:val="auto"/>
                <w:spacing w:val="-6"/>
                <w:sz w:val="22"/>
                <w:szCs w:val="22"/>
                <w:highlight w:val="none"/>
                <w:lang w:val="en-US" w:eastAsia="zh-CN"/>
              </w:rPr>
            </w:pPr>
            <w:r>
              <w:rPr>
                <w:rFonts w:hint="eastAsia" w:ascii="宋体" w:hAnsi="宋体" w:eastAsia="宋体" w:cs="宋体"/>
                <w:color w:val="auto"/>
                <w:spacing w:val="-6"/>
                <w:sz w:val="22"/>
                <w:szCs w:val="22"/>
                <w:highlight w:val="none"/>
                <w:lang w:val="zh-CN" w:eastAsia="zh-CN"/>
              </w:rPr>
              <w:t>2.</w:t>
            </w:r>
            <w:r>
              <w:rPr>
                <w:rFonts w:hint="eastAsia" w:ascii="宋体" w:hAnsi="宋体" w:eastAsia="宋体" w:cs="宋体"/>
                <w:color w:val="auto"/>
                <w:spacing w:val="-6"/>
                <w:sz w:val="22"/>
                <w:szCs w:val="22"/>
                <w:highlight w:val="none"/>
                <w:lang w:val="en-US" w:eastAsia="zh-CN"/>
              </w:rPr>
              <w:t>酒店住宿安排方案（住宿安排须提供住宿点的具体星级等级，无挂牌的提供相当于同档次星级的资料，如网评资料、相关主管单位评定资料等；同时提供酒店相关地理位置及住宿点具体情况介绍及联系号码）与本项目疗休养特色的吻合程度综合给分。根据方案的</w:t>
            </w:r>
            <w:r>
              <w:rPr>
                <w:rFonts w:hint="eastAsia" w:ascii="宋体" w:hAnsi="宋体" w:eastAsia="宋体" w:cs="宋体"/>
                <w:color w:val="auto"/>
                <w:spacing w:val="-6"/>
                <w:sz w:val="22"/>
                <w:szCs w:val="22"/>
                <w:highlight w:val="none"/>
                <w:lang w:val="zh-CN" w:eastAsia="zh-CN"/>
              </w:rPr>
              <w:t>全面、科学合理、针对性和可操作性综合打分。（全面、科学合理、针对性和可操作性强的得</w:t>
            </w:r>
            <w:r>
              <w:rPr>
                <w:rFonts w:hint="eastAsia" w:ascii="宋体" w:hAnsi="宋体" w:eastAsia="宋体" w:cs="宋体"/>
                <w:color w:val="auto"/>
                <w:spacing w:val="-6"/>
                <w:sz w:val="22"/>
                <w:szCs w:val="22"/>
                <w:highlight w:val="none"/>
                <w:lang w:val="en-US" w:eastAsia="zh-CN"/>
              </w:rPr>
              <w:t>5</w:t>
            </w:r>
            <w:r>
              <w:rPr>
                <w:rFonts w:hint="eastAsia" w:ascii="宋体" w:hAnsi="宋体" w:eastAsia="宋体" w:cs="宋体"/>
                <w:color w:val="auto"/>
                <w:spacing w:val="-6"/>
                <w:sz w:val="22"/>
                <w:szCs w:val="22"/>
                <w:highlight w:val="none"/>
                <w:lang w:val="zh-CN" w:eastAsia="zh-CN"/>
              </w:rPr>
              <w:t>分；全面、科学合理、针对性和可操作性较强的得</w:t>
            </w:r>
            <w:r>
              <w:rPr>
                <w:rFonts w:hint="eastAsia" w:ascii="宋体" w:hAnsi="宋体" w:eastAsia="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lang w:val="zh-CN" w:eastAsia="zh-CN"/>
              </w:rPr>
              <w:t>分；全面、科学合理、针对性和可操作性一般的得</w:t>
            </w:r>
            <w:r>
              <w:rPr>
                <w:rFonts w:hint="eastAsia" w:ascii="宋体" w:hAnsi="宋体" w:eastAsia="宋体" w:cs="宋体"/>
                <w:color w:val="auto"/>
                <w:spacing w:val="-6"/>
                <w:sz w:val="22"/>
                <w:szCs w:val="22"/>
                <w:highlight w:val="none"/>
                <w:lang w:val="en-US" w:eastAsia="zh-CN"/>
              </w:rPr>
              <w:t>3</w:t>
            </w:r>
            <w:r>
              <w:rPr>
                <w:rFonts w:hint="eastAsia" w:ascii="宋体" w:hAnsi="宋体" w:eastAsia="宋体" w:cs="宋体"/>
                <w:color w:val="auto"/>
                <w:spacing w:val="-6"/>
                <w:sz w:val="22"/>
                <w:szCs w:val="22"/>
                <w:highlight w:val="none"/>
                <w:lang w:val="zh-CN" w:eastAsia="zh-CN"/>
              </w:rPr>
              <w:t>分；全面、科学合理、针对性和可操作性</w:t>
            </w:r>
            <w:r>
              <w:rPr>
                <w:rFonts w:hint="eastAsia" w:ascii="宋体" w:hAnsi="宋体" w:eastAsia="宋体" w:cs="宋体"/>
                <w:color w:val="auto"/>
                <w:spacing w:val="-6"/>
                <w:sz w:val="22"/>
                <w:szCs w:val="22"/>
                <w:highlight w:val="none"/>
                <w:lang w:val="en-US" w:eastAsia="zh-CN"/>
              </w:rPr>
              <w:t>不</w:t>
            </w:r>
            <w:r>
              <w:rPr>
                <w:rFonts w:hint="eastAsia" w:ascii="宋体" w:hAnsi="宋体" w:eastAsia="宋体" w:cs="宋体"/>
                <w:color w:val="auto"/>
                <w:spacing w:val="-6"/>
                <w:sz w:val="22"/>
                <w:szCs w:val="22"/>
                <w:highlight w:val="none"/>
                <w:lang w:val="zh-CN" w:eastAsia="zh-CN"/>
              </w:rPr>
              <w:t>强的得</w:t>
            </w:r>
            <w:r>
              <w:rPr>
                <w:rFonts w:hint="eastAsia" w:ascii="宋体" w:hAnsi="宋体" w:eastAsia="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lang w:val="zh-CN" w:eastAsia="zh-CN"/>
              </w:rPr>
              <w:t>分；未提供的不得分）</w:t>
            </w:r>
            <w:r>
              <w:rPr>
                <w:rFonts w:hint="eastAsia" w:ascii="宋体" w:hAnsi="宋体" w:eastAsia="宋体" w:cs="宋体"/>
                <w:color w:val="auto"/>
                <w:spacing w:val="-6"/>
                <w:sz w:val="22"/>
                <w:szCs w:val="22"/>
                <w:highlight w:val="none"/>
                <w:lang w:val="en-US" w:eastAsia="zh-CN"/>
              </w:rPr>
              <w:t>。</w:t>
            </w:r>
          </w:p>
          <w:p>
            <w:pPr>
              <w:spacing w:after="0" w:line="360" w:lineRule="exact"/>
              <w:jc w:val="left"/>
              <w:rPr>
                <w:rFonts w:hint="eastAsia" w:ascii="宋体" w:hAnsi="宋体" w:eastAsia="宋体" w:cs="宋体"/>
                <w:color w:val="auto"/>
                <w:spacing w:val="-6"/>
                <w:sz w:val="22"/>
                <w:szCs w:val="22"/>
                <w:highlight w:val="none"/>
                <w:lang w:val="zh-CN" w:eastAsia="zh-CN"/>
              </w:rPr>
            </w:pPr>
            <w:r>
              <w:rPr>
                <w:rFonts w:hint="eastAsia" w:ascii="宋体" w:hAnsi="宋体" w:eastAsia="宋体" w:cs="宋体"/>
                <w:color w:val="auto"/>
                <w:spacing w:val="-6"/>
                <w:sz w:val="22"/>
                <w:szCs w:val="22"/>
                <w:highlight w:val="none"/>
                <w:lang w:val="zh-CN" w:eastAsia="zh-CN"/>
              </w:rPr>
              <w:t>3.</w:t>
            </w:r>
            <w:r>
              <w:rPr>
                <w:rFonts w:hint="eastAsia" w:ascii="宋体" w:hAnsi="宋体" w:eastAsia="宋体" w:cs="宋体"/>
                <w:color w:val="auto"/>
                <w:spacing w:val="-6"/>
                <w:sz w:val="22"/>
                <w:szCs w:val="22"/>
                <w:highlight w:val="none"/>
                <w:lang w:val="en-US" w:eastAsia="zh-CN"/>
              </w:rPr>
              <w:t>就餐及餐标</w:t>
            </w:r>
            <w:r>
              <w:rPr>
                <w:rFonts w:hint="eastAsia" w:ascii="宋体" w:hAnsi="宋体" w:eastAsia="宋体" w:cs="宋体"/>
                <w:color w:val="auto"/>
                <w:spacing w:val="-6"/>
                <w:sz w:val="22"/>
                <w:szCs w:val="22"/>
                <w:highlight w:val="none"/>
                <w:lang w:val="zh-CN" w:eastAsia="zh-CN"/>
              </w:rPr>
              <w:t>或其他交通工具安排方案综合给分。（可提供相关图片、驾照、行驶证作为辅助评审资料）</w:t>
            </w:r>
            <w:r>
              <w:rPr>
                <w:rFonts w:hint="eastAsia" w:ascii="宋体" w:hAnsi="宋体" w:eastAsia="宋体" w:cs="宋体"/>
                <w:color w:val="auto"/>
                <w:spacing w:val="-6"/>
                <w:sz w:val="22"/>
                <w:szCs w:val="22"/>
                <w:highlight w:val="none"/>
                <w:lang w:val="en-US" w:eastAsia="zh-CN"/>
              </w:rPr>
              <w:t>安排方案的</w:t>
            </w:r>
            <w:r>
              <w:rPr>
                <w:rFonts w:hint="eastAsia" w:ascii="宋体" w:hAnsi="宋体" w:eastAsia="宋体" w:cs="宋体"/>
                <w:color w:val="auto"/>
                <w:spacing w:val="-6"/>
                <w:sz w:val="22"/>
                <w:szCs w:val="22"/>
                <w:highlight w:val="none"/>
                <w:lang w:val="zh-CN" w:eastAsia="zh-CN"/>
              </w:rPr>
              <w:t>全面、科学合理、针对性和可操作性综合打分。（全面、科学合理、针对性和可操作性强的得</w:t>
            </w:r>
            <w:r>
              <w:rPr>
                <w:rFonts w:hint="eastAsia" w:ascii="宋体" w:hAnsi="宋体" w:eastAsia="宋体" w:cs="宋体"/>
                <w:color w:val="auto"/>
                <w:spacing w:val="-6"/>
                <w:sz w:val="22"/>
                <w:szCs w:val="22"/>
                <w:highlight w:val="none"/>
                <w:lang w:val="en-US" w:eastAsia="zh-CN"/>
              </w:rPr>
              <w:t>5</w:t>
            </w:r>
            <w:r>
              <w:rPr>
                <w:rFonts w:hint="eastAsia" w:ascii="宋体" w:hAnsi="宋体" w:eastAsia="宋体" w:cs="宋体"/>
                <w:color w:val="auto"/>
                <w:spacing w:val="-6"/>
                <w:sz w:val="22"/>
                <w:szCs w:val="22"/>
                <w:highlight w:val="none"/>
                <w:lang w:val="zh-CN" w:eastAsia="zh-CN"/>
              </w:rPr>
              <w:t>分；全面、科学合理、针对性和可操作性较强的得</w:t>
            </w:r>
            <w:r>
              <w:rPr>
                <w:rFonts w:hint="eastAsia" w:ascii="宋体" w:hAnsi="宋体" w:eastAsia="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lang w:val="zh-CN" w:eastAsia="zh-CN"/>
              </w:rPr>
              <w:t>分；全面、科学合理、针对性和可操作性一般的得</w:t>
            </w:r>
            <w:r>
              <w:rPr>
                <w:rFonts w:hint="eastAsia" w:ascii="宋体" w:hAnsi="宋体" w:eastAsia="宋体" w:cs="宋体"/>
                <w:color w:val="auto"/>
                <w:spacing w:val="-6"/>
                <w:sz w:val="22"/>
                <w:szCs w:val="22"/>
                <w:highlight w:val="none"/>
                <w:lang w:val="en-US" w:eastAsia="zh-CN"/>
              </w:rPr>
              <w:t>3</w:t>
            </w:r>
            <w:r>
              <w:rPr>
                <w:rFonts w:hint="eastAsia" w:ascii="宋体" w:hAnsi="宋体" w:eastAsia="宋体" w:cs="宋体"/>
                <w:color w:val="auto"/>
                <w:spacing w:val="-6"/>
                <w:sz w:val="22"/>
                <w:szCs w:val="22"/>
                <w:highlight w:val="none"/>
                <w:lang w:val="zh-CN" w:eastAsia="zh-CN"/>
              </w:rPr>
              <w:t>分；全面、科学合理、针对性和可操作性</w:t>
            </w:r>
            <w:r>
              <w:rPr>
                <w:rFonts w:hint="eastAsia" w:ascii="宋体" w:hAnsi="宋体" w:eastAsia="宋体" w:cs="宋体"/>
                <w:color w:val="auto"/>
                <w:spacing w:val="-6"/>
                <w:sz w:val="22"/>
                <w:szCs w:val="22"/>
                <w:highlight w:val="none"/>
                <w:lang w:val="en-US" w:eastAsia="zh-CN"/>
              </w:rPr>
              <w:t>不</w:t>
            </w:r>
            <w:r>
              <w:rPr>
                <w:rFonts w:hint="eastAsia" w:ascii="宋体" w:hAnsi="宋体" w:eastAsia="宋体" w:cs="宋体"/>
                <w:color w:val="auto"/>
                <w:spacing w:val="-6"/>
                <w:sz w:val="22"/>
                <w:szCs w:val="22"/>
                <w:highlight w:val="none"/>
                <w:lang w:val="zh-CN" w:eastAsia="zh-CN"/>
              </w:rPr>
              <w:t>强的得</w:t>
            </w:r>
            <w:r>
              <w:rPr>
                <w:rFonts w:hint="eastAsia" w:ascii="宋体" w:hAnsi="宋体" w:eastAsia="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lang w:val="zh-CN" w:eastAsia="zh-CN"/>
              </w:rPr>
              <w:t>分；未提供的不得分）。</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宋体" w:hAnsi="宋体" w:eastAsia="宋体" w:cs="宋体"/>
                <w:color w:val="auto"/>
                <w:kern w:val="2"/>
                <w:sz w:val="22"/>
                <w:szCs w:val="22"/>
                <w:highlight w:val="none"/>
                <w:lang w:val="en-US" w:eastAsia="zh-CN" w:bidi="ar-SA"/>
              </w:rPr>
            </w:pPr>
            <w:r>
              <w:rPr>
                <w:rStyle w:val="74"/>
                <w:rFonts w:hint="eastAsia" w:ascii="宋体" w:hAnsi="宋体" w:eastAsia="宋体" w:cs="宋体"/>
                <w:color w:val="auto"/>
                <w:sz w:val="22"/>
                <w:szCs w:val="22"/>
                <w:highlight w:val="none"/>
                <w:lang w:val="en-US" w:eastAsia="zh-CN"/>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7"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p>
        </w:tc>
        <w:tc>
          <w:tcPr>
            <w:tcW w:w="1173"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default" w:ascii="宋体" w:hAnsi="宋体" w:eastAsia="宋体" w:cs="宋体"/>
                <w:color w:val="auto"/>
                <w:sz w:val="22"/>
                <w:szCs w:val="22"/>
                <w:highlight w:val="none"/>
                <w:lang w:val="en-US" w:eastAsia="zh-CN"/>
              </w:rPr>
            </w:pPr>
            <w:r>
              <w:rPr>
                <w:rStyle w:val="74"/>
                <w:rFonts w:hint="eastAsia" w:ascii="宋体" w:hAnsi="宋体" w:eastAsia="宋体" w:cs="宋体"/>
                <w:color w:val="auto"/>
                <w:sz w:val="22"/>
                <w:szCs w:val="22"/>
                <w:highlight w:val="none"/>
                <w:lang w:val="en-US" w:eastAsia="zh-CN"/>
              </w:rPr>
              <w:t>15</w:t>
            </w:r>
          </w:p>
        </w:tc>
        <w:tc>
          <w:tcPr>
            <w:tcW w:w="6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after="0" w:line="360" w:lineRule="exact"/>
              <w:jc w:val="left"/>
              <w:rPr>
                <w:rFonts w:hint="eastAsia" w:ascii="宋体" w:hAnsi="宋体" w:eastAsia="宋体" w:cs="宋体"/>
                <w:color w:val="auto"/>
                <w:spacing w:val="-6"/>
                <w:sz w:val="22"/>
                <w:szCs w:val="22"/>
                <w:highlight w:val="none"/>
                <w:lang w:val="zh-CN" w:eastAsia="zh-CN"/>
              </w:rPr>
            </w:pPr>
            <w:r>
              <w:rPr>
                <w:rFonts w:hint="eastAsia" w:ascii="宋体" w:hAnsi="宋体" w:cs="宋体"/>
                <w:sz w:val="22"/>
                <w:highlight w:val="none"/>
              </w:rPr>
              <w:t>对口援建城市</w:t>
            </w:r>
            <w:r>
              <w:rPr>
                <w:rFonts w:hint="eastAsia" w:ascii="宋体" w:hAnsi="宋体" w:eastAsia="宋体" w:cs="宋体"/>
                <w:color w:val="auto"/>
                <w:spacing w:val="-6"/>
                <w:sz w:val="22"/>
                <w:szCs w:val="22"/>
                <w:highlight w:val="none"/>
                <w:lang w:val="zh-CN" w:eastAsia="zh-CN"/>
              </w:rPr>
              <w:t>线路疗休养活动方案：</w:t>
            </w:r>
          </w:p>
          <w:p>
            <w:pPr>
              <w:spacing w:after="0" w:line="360" w:lineRule="exact"/>
              <w:jc w:val="left"/>
              <w:rPr>
                <w:rFonts w:hint="eastAsia" w:ascii="宋体" w:hAnsi="宋体" w:eastAsia="宋体" w:cs="宋体"/>
                <w:color w:val="auto"/>
                <w:spacing w:val="-6"/>
                <w:sz w:val="22"/>
                <w:szCs w:val="22"/>
                <w:highlight w:val="none"/>
                <w:lang w:val="zh-CN" w:eastAsia="zh-CN"/>
              </w:rPr>
            </w:pPr>
            <w:r>
              <w:rPr>
                <w:rFonts w:hint="eastAsia" w:ascii="宋体" w:hAnsi="宋体" w:eastAsia="宋体" w:cs="宋体"/>
                <w:color w:val="auto"/>
                <w:spacing w:val="-6"/>
                <w:sz w:val="22"/>
                <w:szCs w:val="22"/>
                <w:highlight w:val="none"/>
                <w:lang w:val="zh-CN" w:eastAsia="zh-CN"/>
              </w:rPr>
              <w:t>1.</w:t>
            </w:r>
            <w:r>
              <w:rPr>
                <w:rFonts w:hint="eastAsia" w:ascii="宋体" w:hAnsi="宋体" w:eastAsia="宋体" w:cs="宋体"/>
                <w:color w:val="auto"/>
                <w:spacing w:val="-6"/>
                <w:sz w:val="22"/>
                <w:szCs w:val="22"/>
                <w:highlight w:val="none"/>
                <w:lang w:val="en-US" w:eastAsia="zh-CN"/>
              </w:rPr>
              <w:t>路线安排（包括景点安排）方案：根据总体出行线路安排（标明各景点档次、景点之间的车程时间，当天出行路线安排、疗养期间的整体行程安排，住宿至各景点的路线行程安排）方案的</w:t>
            </w:r>
            <w:r>
              <w:rPr>
                <w:rFonts w:hint="eastAsia" w:ascii="宋体" w:hAnsi="宋体" w:eastAsia="宋体" w:cs="宋体"/>
                <w:color w:val="auto"/>
                <w:spacing w:val="-6"/>
                <w:sz w:val="22"/>
                <w:szCs w:val="22"/>
                <w:highlight w:val="none"/>
                <w:lang w:val="zh-CN" w:eastAsia="zh-CN"/>
              </w:rPr>
              <w:t>全面、科学合理、针对性和可操作性综合打分。（全面、科学合理、针对性和可操作性强的得</w:t>
            </w:r>
            <w:r>
              <w:rPr>
                <w:rFonts w:hint="eastAsia" w:ascii="宋体" w:hAnsi="宋体" w:eastAsia="宋体" w:cs="宋体"/>
                <w:color w:val="auto"/>
                <w:spacing w:val="-6"/>
                <w:sz w:val="22"/>
                <w:szCs w:val="22"/>
                <w:highlight w:val="none"/>
                <w:lang w:val="en-US" w:eastAsia="zh-CN"/>
              </w:rPr>
              <w:t>5</w:t>
            </w:r>
            <w:r>
              <w:rPr>
                <w:rFonts w:hint="eastAsia" w:ascii="宋体" w:hAnsi="宋体" w:eastAsia="宋体" w:cs="宋体"/>
                <w:color w:val="auto"/>
                <w:spacing w:val="-6"/>
                <w:sz w:val="22"/>
                <w:szCs w:val="22"/>
                <w:highlight w:val="none"/>
                <w:lang w:val="zh-CN" w:eastAsia="zh-CN"/>
              </w:rPr>
              <w:t>分；全面、科学合理、针对性和可操作性较强的得</w:t>
            </w:r>
            <w:r>
              <w:rPr>
                <w:rFonts w:hint="eastAsia" w:ascii="宋体" w:hAnsi="宋体" w:eastAsia="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lang w:val="zh-CN" w:eastAsia="zh-CN"/>
              </w:rPr>
              <w:t>分；全面、科学合理、针对性和可操作性一般的得</w:t>
            </w:r>
            <w:r>
              <w:rPr>
                <w:rFonts w:hint="eastAsia" w:ascii="宋体" w:hAnsi="宋体" w:eastAsia="宋体" w:cs="宋体"/>
                <w:color w:val="auto"/>
                <w:spacing w:val="-6"/>
                <w:sz w:val="22"/>
                <w:szCs w:val="22"/>
                <w:highlight w:val="none"/>
                <w:lang w:val="en-US" w:eastAsia="zh-CN"/>
              </w:rPr>
              <w:t>3</w:t>
            </w:r>
            <w:r>
              <w:rPr>
                <w:rFonts w:hint="eastAsia" w:ascii="宋体" w:hAnsi="宋体" w:eastAsia="宋体" w:cs="宋体"/>
                <w:color w:val="auto"/>
                <w:spacing w:val="-6"/>
                <w:sz w:val="22"/>
                <w:szCs w:val="22"/>
                <w:highlight w:val="none"/>
                <w:lang w:val="zh-CN" w:eastAsia="zh-CN"/>
              </w:rPr>
              <w:t>分；全面、科学合理、针对性和可操作性</w:t>
            </w:r>
            <w:r>
              <w:rPr>
                <w:rFonts w:hint="eastAsia" w:ascii="宋体" w:hAnsi="宋体" w:eastAsia="宋体" w:cs="宋体"/>
                <w:color w:val="auto"/>
                <w:spacing w:val="-6"/>
                <w:sz w:val="22"/>
                <w:szCs w:val="22"/>
                <w:highlight w:val="none"/>
                <w:lang w:val="en-US" w:eastAsia="zh-CN"/>
              </w:rPr>
              <w:t>不</w:t>
            </w:r>
            <w:r>
              <w:rPr>
                <w:rFonts w:hint="eastAsia" w:ascii="宋体" w:hAnsi="宋体" w:eastAsia="宋体" w:cs="宋体"/>
                <w:color w:val="auto"/>
                <w:spacing w:val="-6"/>
                <w:sz w:val="22"/>
                <w:szCs w:val="22"/>
                <w:highlight w:val="none"/>
                <w:lang w:val="zh-CN" w:eastAsia="zh-CN"/>
              </w:rPr>
              <w:t>强的得</w:t>
            </w:r>
            <w:r>
              <w:rPr>
                <w:rFonts w:hint="eastAsia" w:ascii="宋体" w:hAnsi="宋体" w:eastAsia="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lang w:val="zh-CN" w:eastAsia="zh-CN"/>
              </w:rPr>
              <w:t>分；未提供的不得分）</w:t>
            </w:r>
            <w:r>
              <w:rPr>
                <w:rFonts w:hint="eastAsia" w:ascii="宋体" w:hAnsi="宋体" w:eastAsia="宋体" w:cs="宋体"/>
                <w:color w:val="auto"/>
                <w:spacing w:val="-6"/>
                <w:sz w:val="22"/>
                <w:szCs w:val="22"/>
                <w:highlight w:val="none"/>
                <w:lang w:val="en-US" w:eastAsia="zh-CN"/>
              </w:rPr>
              <w:t>。</w:t>
            </w:r>
          </w:p>
          <w:p>
            <w:pPr>
              <w:spacing w:after="0" w:line="360" w:lineRule="exact"/>
              <w:jc w:val="left"/>
              <w:rPr>
                <w:rFonts w:hint="eastAsia" w:ascii="宋体" w:hAnsi="宋体" w:eastAsia="宋体" w:cs="宋体"/>
                <w:color w:val="auto"/>
                <w:spacing w:val="-6"/>
                <w:sz w:val="22"/>
                <w:szCs w:val="22"/>
                <w:highlight w:val="none"/>
                <w:lang w:val="en-US" w:eastAsia="zh-CN"/>
              </w:rPr>
            </w:pPr>
            <w:r>
              <w:rPr>
                <w:rFonts w:hint="eastAsia" w:ascii="宋体" w:hAnsi="宋体" w:eastAsia="宋体" w:cs="宋体"/>
                <w:color w:val="auto"/>
                <w:spacing w:val="-6"/>
                <w:sz w:val="22"/>
                <w:szCs w:val="22"/>
                <w:highlight w:val="none"/>
                <w:lang w:val="zh-CN" w:eastAsia="zh-CN"/>
              </w:rPr>
              <w:t>2.</w:t>
            </w:r>
            <w:r>
              <w:rPr>
                <w:rFonts w:hint="eastAsia" w:ascii="宋体" w:hAnsi="宋体" w:eastAsia="宋体" w:cs="宋体"/>
                <w:color w:val="auto"/>
                <w:spacing w:val="-6"/>
                <w:sz w:val="22"/>
                <w:szCs w:val="22"/>
                <w:highlight w:val="none"/>
                <w:lang w:val="en-US" w:eastAsia="zh-CN"/>
              </w:rPr>
              <w:t>酒店住宿安排方案（住宿安排须提供住宿点的具体星级等级，无挂牌的提供相当于同档次星级的资料，如网评资料、相关主管单位评定资料等；同时提供酒店相关地理位置及住宿点具体情况介绍及联系号码）与本项目疗休养特色的吻合程度综合给分。根据方案的</w:t>
            </w:r>
            <w:r>
              <w:rPr>
                <w:rFonts w:hint="eastAsia" w:ascii="宋体" w:hAnsi="宋体" w:eastAsia="宋体" w:cs="宋体"/>
                <w:color w:val="auto"/>
                <w:spacing w:val="-6"/>
                <w:sz w:val="22"/>
                <w:szCs w:val="22"/>
                <w:highlight w:val="none"/>
                <w:lang w:val="zh-CN" w:eastAsia="zh-CN"/>
              </w:rPr>
              <w:t>全面、科学合理、针对性和可操作性综合打分。（全面、科学合理、针对性和可操作性强的得</w:t>
            </w:r>
            <w:r>
              <w:rPr>
                <w:rFonts w:hint="eastAsia" w:ascii="宋体" w:hAnsi="宋体" w:eastAsia="宋体" w:cs="宋体"/>
                <w:color w:val="auto"/>
                <w:spacing w:val="-6"/>
                <w:sz w:val="22"/>
                <w:szCs w:val="22"/>
                <w:highlight w:val="none"/>
                <w:lang w:val="en-US" w:eastAsia="zh-CN"/>
              </w:rPr>
              <w:t>5</w:t>
            </w:r>
            <w:r>
              <w:rPr>
                <w:rFonts w:hint="eastAsia" w:ascii="宋体" w:hAnsi="宋体" w:eastAsia="宋体" w:cs="宋体"/>
                <w:color w:val="auto"/>
                <w:spacing w:val="-6"/>
                <w:sz w:val="22"/>
                <w:szCs w:val="22"/>
                <w:highlight w:val="none"/>
                <w:lang w:val="zh-CN" w:eastAsia="zh-CN"/>
              </w:rPr>
              <w:t>分；全面、科学合理、针对性和可操作性较强的得</w:t>
            </w:r>
            <w:r>
              <w:rPr>
                <w:rFonts w:hint="eastAsia" w:ascii="宋体" w:hAnsi="宋体" w:eastAsia="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lang w:val="zh-CN" w:eastAsia="zh-CN"/>
              </w:rPr>
              <w:t>分；全面、科学合理、针对性和可操作性一般的得</w:t>
            </w:r>
            <w:r>
              <w:rPr>
                <w:rFonts w:hint="eastAsia" w:ascii="宋体" w:hAnsi="宋体" w:eastAsia="宋体" w:cs="宋体"/>
                <w:color w:val="auto"/>
                <w:spacing w:val="-6"/>
                <w:sz w:val="22"/>
                <w:szCs w:val="22"/>
                <w:highlight w:val="none"/>
                <w:lang w:val="en-US" w:eastAsia="zh-CN"/>
              </w:rPr>
              <w:t>3</w:t>
            </w:r>
            <w:r>
              <w:rPr>
                <w:rFonts w:hint="eastAsia" w:ascii="宋体" w:hAnsi="宋体" w:eastAsia="宋体" w:cs="宋体"/>
                <w:color w:val="auto"/>
                <w:spacing w:val="-6"/>
                <w:sz w:val="22"/>
                <w:szCs w:val="22"/>
                <w:highlight w:val="none"/>
                <w:lang w:val="zh-CN" w:eastAsia="zh-CN"/>
              </w:rPr>
              <w:t>分；全面、科学合理、针对性和可操作性</w:t>
            </w:r>
            <w:r>
              <w:rPr>
                <w:rFonts w:hint="eastAsia" w:ascii="宋体" w:hAnsi="宋体" w:eastAsia="宋体" w:cs="宋体"/>
                <w:color w:val="auto"/>
                <w:spacing w:val="-6"/>
                <w:sz w:val="22"/>
                <w:szCs w:val="22"/>
                <w:highlight w:val="none"/>
                <w:lang w:val="en-US" w:eastAsia="zh-CN"/>
              </w:rPr>
              <w:t>不</w:t>
            </w:r>
            <w:r>
              <w:rPr>
                <w:rFonts w:hint="eastAsia" w:ascii="宋体" w:hAnsi="宋体" w:eastAsia="宋体" w:cs="宋体"/>
                <w:color w:val="auto"/>
                <w:spacing w:val="-6"/>
                <w:sz w:val="22"/>
                <w:szCs w:val="22"/>
                <w:highlight w:val="none"/>
                <w:lang w:val="zh-CN" w:eastAsia="zh-CN"/>
              </w:rPr>
              <w:t>强的得</w:t>
            </w:r>
            <w:r>
              <w:rPr>
                <w:rFonts w:hint="eastAsia" w:ascii="宋体" w:hAnsi="宋体" w:eastAsia="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lang w:val="zh-CN" w:eastAsia="zh-CN"/>
              </w:rPr>
              <w:t>分；未提供的不得分）</w:t>
            </w:r>
            <w:r>
              <w:rPr>
                <w:rFonts w:hint="eastAsia" w:ascii="宋体" w:hAnsi="宋体" w:eastAsia="宋体" w:cs="宋体"/>
                <w:color w:val="auto"/>
                <w:spacing w:val="-6"/>
                <w:sz w:val="22"/>
                <w:szCs w:val="22"/>
                <w:highlight w:val="none"/>
                <w:lang w:val="en-US" w:eastAsia="zh-CN"/>
              </w:rPr>
              <w:t>。</w:t>
            </w:r>
          </w:p>
          <w:p>
            <w:pPr>
              <w:spacing w:after="0" w:line="360" w:lineRule="exact"/>
              <w:jc w:val="left"/>
              <w:rPr>
                <w:rFonts w:hint="eastAsia" w:ascii="宋体" w:hAnsi="宋体" w:eastAsia="宋体" w:cs="宋体"/>
                <w:color w:val="auto"/>
                <w:spacing w:val="-6"/>
                <w:sz w:val="22"/>
                <w:szCs w:val="22"/>
                <w:highlight w:val="none"/>
                <w:lang w:val="zh-CN" w:eastAsia="zh-CN"/>
              </w:rPr>
            </w:pPr>
            <w:r>
              <w:rPr>
                <w:rFonts w:hint="eastAsia" w:ascii="宋体" w:hAnsi="宋体" w:eastAsia="宋体" w:cs="宋体"/>
                <w:color w:val="auto"/>
                <w:spacing w:val="-6"/>
                <w:sz w:val="22"/>
                <w:szCs w:val="22"/>
                <w:highlight w:val="none"/>
                <w:lang w:val="zh-CN" w:eastAsia="zh-CN"/>
              </w:rPr>
              <w:t>3.</w:t>
            </w:r>
            <w:r>
              <w:rPr>
                <w:rFonts w:hint="eastAsia" w:ascii="宋体" w:hAnsi="宋体" w:eastAsia="宋体" w:cs="宋体"/>
                <w:color w:val="auto"/>
                <w:spacing w:val="-6"/>
                <w:sz w:val="22"/>
                <w:szCs w:val="22"/>
                <w:highlight w:val="none"/>
                <w:lang w:val="en-US" w:eastAsia="zh-CN"/>
              </w:rPr>
              <w:t>就餐及餐标</w:t>
            </w:r>
            <w:r>
              <w:rPr>
                <w:rFonts w:hint="eastAsia" w:ascii="宋体" w:hAnsi="宋体" w:eastAsia="宋体" w:cs="宋体"/>
                <w:color w:val="auto"/>
                <w:spacing w:val="-6"/>
                <w:sz w:val="22"/>
                <w:szCs w:val="22"/>
                <w:highlight w:val="none"/>
                <w:lang w:val="zh-CN" w:eastAsia="zh-CN"/>
              </w:rPr>
              <w:t>或其他交通工具安排方案综合给分。（可提供相关图片、驾照、行驶证作为辅助评审资料）</w:t>
            </w:r>
            <w:r>
              <w:rPr>
                <w:rFonts w:hint="eastAsia" w:ascii="宋体" w:hAnsi="宋体" w:eastAsia="宋体" w:cs="宋体"/>
                <w:color w:val="auto"/>
                <w:spacing w:val="-6"/>
                <w:sz w:val="22"/>
                <w:szCs w:val="22"/>
                <w:highlight w:val="none"/>
                <w:lang w:val="en-US" w:eastAsia="zh-CN"/>
              </w:rPr>
              <w:t>安排方案的</w:t>
            </w:r>
            <w:r>
              <w:rPr>
                <w:rFonts w:hint="eastAsia" w:ascii="宋体" w:hAnsi="宋体" w:eastAsia="宋体" w:cs="宋体"/>
                <w:color w:val="auto"/>
                <w:spacing w:val="-6"/>
                <w:sz w:val="22"/>
                <w:szCs w:val="22"/>
                <w:highlight w:val="none"/>
                <w:lang w:val="zh-CN" w:eastAsia="zh-CN"/>
              </w:rPr>
              <w:t>全面、科学合理、针对性和可操作性综合打分。（全面、科学合理、针对性和可操作性强的得</w:t>
            </w:r>
            <w:r>
              <w:rPr>
                <w:rFonts w:hint="eastAsia" w:ascii="宋体" w:hAnsi="宋体" w:eastAsia="宋体" w:cs="宋体"/>
                <w:color w:val="auto"/>
                <w:spacing w:val="-6"/>
                <w:sz w:val="22"/>
                <w:szCs w:val="22"/>
                <w:highlight w:val="none"/>
                <w:lang w:val="en-US" w:eastAsia="zh-CN"/>
              </w:rPr>
              <w:t>5</w:t>
            </w:r>
            <w:r>
              <w:rPr>
                <w:rFonts w:hint="eastAsia" w:ascii="宋体" w:hAnsi="宋体" w:eastAsia="宋体" w:cs="宋体"/>
                <w:color w:val="auto"/>
                <w:spacing w:val="-6"/>
                <w:sz w:val="22"/>
                <w:szCs w:val="22"/>
                <w:highlight w:val="none"/>
                <w:lang w:val="zh-CN" w:eastAsia="zh-CN"/>
              </w:rPr>
              <w:t>分；全面、科学合理、针对性和可操作性较强的得</w:t>
            </w:r>
            <w:r>
              <w:rPr>
                <w:rFonts w:hint="eastAsia" w:ascii="宋体" w:hAnsi="宋体" w:eastAsia="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lang w:val="zh-CN" w:eastAsia="zh-CN"/>
              </w:rPr>
              <w:t>分；全面、科学合理、针对性和可操作性一般的得</w:t>
            </w:r>
            <w:r>
              <w:rPr>
                <w:rFonts w:hint="eastAsia" w:ascii="宋体" w:hAnsi="宋体" w:eastAsia="宋体" w:cs="宋体"/>
                <w:color w:val="auto"/>
                <w:spacing w:val="-6"/>
                <w:sz w:val="22"/>
                <w:szCs w:val="22"/>
                <w:highlight w:val="none"/>
                <w:lang w:val="en-US" w:eastAsia="zh-CN"/>
              </w:rPr>
              <w:t>3</w:t>
            </w:r>
            <w:r>
              <w:rPr>
                <w:rFonts w:hint="eastAsia" w:ascii="宋体" w:hAnsi="宋体" w:eastAsia="宋体" w:cs="宋体"/>
                <w:color w:val="auto"/>
                <w:spacing w:val="-6"/>
                <w:sz w:val="22"/>
                <w:szCs w:val="22"/>
                <w:highlight w:val="none"/>
                <w:lang w:val="zh-CN" w:eastAsia="zh-CN"/>
              </w:rPr>
              <w:t>分；全面、科学合理、针对性和可操作性</w:t>
            </w:r>
            <w:r>
              <w:rPr>
                <w:rFonts w:hint="eastAsia" w:ascii="宋体" w:hAnsi="宋体" w:eastAsia="宋体" w:cs="宋体"/>
                <w:color w:val="auto"/>
                <w:spacing w:val="-6"/>
                <w:sz w:val="22"/>
                <w:szCs w:val="22"/>
                <w:highlight w:val="none"/>
                <w:lang w:val="en-US" w:eastAsia="zh-CN"/>
              </w:rPr>
              <w:t>不</w:t>
            </w:r>
            <w:r>
              <w:rPr>
                <w:rFonts w:hint="eastAsia" w:ascii="宋体" w:hAnsi="宋体" w:eastAsia="宋体" w:cs="宋体"/>
                <w:color w:val="auto"/>
                <w:spacing w:val="-6"/>
                <w:sz w:val="22"/>
                <w:szCs w:val="22"/>
                <w:highlight w:val="none"/>
                <w:lang w:val="zh-CN" w:eastAsia="zh-CN"/>
              </w:rPr>
              <w:t>强的得</w:t>
            </w:r>
            <w:r>
              <w:rPr>
                <w:rFonts w:hint="eastAsia" w:ascii="宋体" w:hAnsi="宋体" w:eastAsia="宋体" w:cs="宋体"/>
                <w:color w:val="auto"/>
                <w:spacing w:val="-6"/>
                <w:sz w:val="22"/>
                <w:szCs w:val="22"/>
                <w:highlight w:val="none"/>
                <w:lang w:val="en-US" w:eastAsia="zh-CN"/>
              </w:rPr>
              <w:t>1</w:t>
            </w:r>
            <w:r>
              <w:rPr>
                <w:rFonts w:hint="eastAsia" w:ascii="宋体" w:hAnsi="宋体" w:eastAsia="宋体" w:cs="宋体"/>
                <w:color w:val="auto"/>
                <w:spacing w:val="-6"/>
                <w:sz w:val="22"/>
                <w:szCs w:val="22"/>
                <w:highlight w:val="none"/>
                <w:lang w:val="zh-CN" w:eastAsia="zh-CN"/>
              </w:rPr>
              <w:t>分；未提供的不得分）。</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宋体" w:hAnsi="宋体" w:eastAsia="宋体" w:cs="宋体"/>
                <w:color w:val="auto"/>
                <w:kern w:val="2"/>
                <w:sz w:val="22"/>
                <w:szCs w:val="22"/>
                <w:highlight w:val="none"/>
                <w:lang w:val="zh-CN" w:eastAsia="zh-CN" w:bidi="ar-SA"/>
              </w:rPr>
            </w:pPr>
            <w:r>
              <w:rPr>
                <w:rStyle w:val="74"/>
                <w:rFonts w:hint="eastAsia" w:ascii="宋体" w:hAnsi="宋体" w:eastAsia="宋体" w:cs="宋体"/>
                <w:color w:val="auto"/>
                <w:sz w:val="22"/>
                <w:szCs w:val="22"/>
                <w:highlight w:val="none"/>
                <w:lang w:val="en-US" w:eastAsia="zh-CN"/>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7"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p>
        </w:tc>
        <w:tc>
          <w:tcPr>
            <w:tcW w:w="1173"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default" w:ascii="宋体" w:hAnsi="宋体" w:eastAsia="宋体" w:cs="宋体"/>
                <w:color w:val="auto"/>
                <w:sz w:val="22"/>
                <w:szCs w:val="22"/>
                <w:highlight w:val="none"/>
                <w:lang w:val="en-US" w:eastAsia="zh-CN"/>
              </w:rPr>
            </w:pPr>
            <w:r>
              <w:rPr>
                <w:rStyle w:val="74"/>
                <w:rFonts w:hint="eastAsia" w:ascii="宋体" w:hAnsi="宋体" w:eastAsia="宋体" w:cs="宋体"/>
                <w:color w:val="auto"/>
                <w:sz w:val="22"/>
                <w:szCs w:val="22"/>
                <w:highlight w:val="none"/>
                <w:lang w:val="en-US" w:eastAsia="zh-CN"/>
              </w:rPr>
              <w:t>8</w:t>
            </w:r>
          </w:p>
        </w:tc>
        <w:tc>
          <w:tcPr>
            <w:tcW w:w="6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left"/>
              <w:rPr>
                <w:rFonts w:ascii="宋体" w:hAnsi="宋体" w:cs="宋体"/>
                <w:spacing w:val="-6"/>
                <w:sz w:val="22"/>
                <w:highlight w:val="none"/>
                <w:lang w:val="zh-CN"/>
              </w:rPr>
            </w:pPr>
            <w:r>
              <w:rPr>
                <w:rFonts w:hint="eastAsia" w:ascii="宋体" w:hAnsi="宋体" w:cs="宋体"/>
                <w:b/>
                <w:bCs/>
                <w:sz w:val="22"/>
                <w:highlight w:val="none"/>
              </w:rPr>
              <w:t>其他根据教职工特殊情况及需求所制定的特色（个性化）</w:t>
            </w:r>
            <w:r>
              <w:rPr>
                <w:rFonts w:hint="eastAsia" w:ascii="宋体" w:hAnsi="宋体" w:cs="宋体"/>
                <w:b/>
                <w:bCs/>
                <w:sz w:val="22"/>
                <w:highlight w:val="none"/>
                <w:lang w:val="zh-CN"/>
              </w:rPr>
              <w:t>疗休养策划</w:t>
            </w:r>
            <w:r>
              <w:rPr>
                <w:rFonts w:hint="eastAsia" w:ascii="宋体" w:hAnsi="宋体" w:cs="宋体"/>
                <w:b/>
                <w:bCs/>
                <w:sz w:val="22"/>
                <w:highlight w:val="none"/>
              </w:rPr>
              <w:t>备选</w:t>
            </w:r>
            <w:r>
              <w:rPr>
                <w:rFonts w:hint="eastAsia" w:ascii="宋体" w:hAnsi="宋体" w:cs="宋体"/>
                <w:b/>
                <w:bCs/>
                <w:sz w:val="22"/>
                <w:highlight w:val="none"/>
                <w:lang w:val="zh-CN"/>
              </w:rPr>
              <w:t>方案</w:t>
            </w:r>
            <w:r>
              <w:rPr>
                <w:rFonts w:hint="eastAsia" w:ascii="宋体" w:hAnsi="宋体" w:cs="宋体"/>
                <w:b/>
                <w:bCs/>
                <w:sz w:val="22"/>
                <w:highlight w:val="none"/>
              </w:rPr>
              <w:t>及建议（所制定的方案须符合省、市相关职工疗休养政策要求）</w:t>
            </w:r>
            <w:r>
              <w:rPr>
                <w:rFonts w:hint="eastAsia" w:ascii="宋体" w:hAnsi="宋体" w:cs="宋体"/>
                <w:sz w:val="22"/>
                <w:highlight w:val="none"/>
                <w:lang w:val="zh-CN"/>
              </w:rPr>
              <w:t>：</w:t>
            </w:r>
          </w:p>
          <w:p>
            <w:pPr>
              <w:spacing w:after="0" w:line="360" w:lineRule="exact"/>
              <w:jc w:val="left"/>
              <w:rPr>
                <w:rFonts w:hint="eastAsia" w:ascii="宋体" w:hAnsi="宋体" w:eastAsia="宋体" w:cs="宋体"/>
                <w:color w:val="auto"/>
                <w:spacing w:val="-6"/>
                <w:sz w:val="22"/>
                <w:szCs w:val="22"/>
                <w:highlight w:val="none"/>
                <w:lang w:val="zh-CN" w:eastAsia="zh-CN"/>
              </w:rPr>
            </w:pPr>
            <w:r>
              <w:rPr>
                <w:rFonts w:hint="eastAsia" w:ascii="宋体" w:hAnsi="宋体" w:cs="宋体"/>
                <w:spacing w:val="-6"/>
                <w:sz w:val="22"/>
                <w:highlight w:val="none"/>
              </w:rPr>
              <w:t>包括：对可能出现的情况进行分析及疗休养组织形式建议（0-2）、</w:t>
            </w:r>
            <w:r>
              <w:rPr>
                <w:rFonts w:hint="eastAsia" w:ascii="宋体" w:hAnsi="宋体" w:cs="宋体"/>
                <w:spacing w:val="-6"/>
                <w:sz w:val="22"/>
                <w:highlight w:val="none"/>
                <w:lang w:val="zh-CN"/>
              </w:rPr>
              <w:t>路线安排（包括景点安排）</w:t>
            </w:r>
            <w:r>
              <w:rPr>
                <w:rFonts w:hint="eastAsia" w:ascii="宋体" w:hAnsi="宋体" w:cs="宋体"/>
                <w:spacing w:val="-6"/>
                <w:sz w:val="22"/>
                <w:highlight w:val="none"/>
              </w:rPr>
              <w:t>方案（0-2）、</w:t>
            </w:r>
            <w:r>
              <w:rPr>
                <w:rFonts w:hint="eastAsia" w:ascii="宋体" w:hAnsi="宋体" w:cs="宋体"/>
                <w:spacing w:val="-6"/>
                <w:sz w:val="22"/>
                <w:highlight w:val="none"/>
                <w:lang w:val="zh-CN"/>
              </w:rPr>
              <w:t>住宿（</w:t>
            </w:r>
            <w:r>
              <w:rPr>
                <w:rFonts w:hint="eastAsia" w:ascii="宋体" w:hAnsi="宋体" w:cs="宋体"/>
                <w:spacing w:val="-6"/>
                <w:sz w:val="22"/>
                <w:highlight w:val="none"/>
              </w:rPr>
              <w:t>酒店或民宿等</w:t>
            </w:r>
            <w:r>
              <w:rPr>
                <w:rFonts w:hint="eastAsia" w:ascii="宋体" w:hAnsi="宋体" w:cs="宋体"/>
                <w:spacing w:val="-6"/>
                <w:sz w:val="22"/>
                <w:highlight w:val="none"/>
                <w:lang w:val="zh-CN"/>
              </w:rPr>
              <w:t>）安排</w:t>
            </w:r>
            <w:r>
              <w:rPr>
                <w:rFonts w:hint="eastAsia" w:ascii="宋体" w:hAnsi="宋体" w:cs="宋体"/>
                <w:spacing w:val="-6"/>
                <w:sz w:val="22"/>
                <w:highlight w:val="none"/>
              </w:rPr>
              <w:t>方案（0-2）、</w:t>
            </w:r>
            <w:r>
              <w:rPr>
                <w:rFonts w:hint="eastAsia" w:ascii="宋体" w:hAnsi="宋体" w:cs="宋体"/>
                <w:spacing w:val="-6"/>
                <w:sz w:val="22"/>
                <w:highlight w:val="none"/>
                <w:lang w:val="zh-CN"/>
              </w:rPr>
              <w:t>餐标、旅游车或其他交通工具安排</w:t>
            </w:r>
            <w:r>
              <w:rPr>
                <w:rFonts w:hint="eastAsia" w:ascii="宋体" w:hAnsi="宋体" w:cs="宋体"/>
                <w:spacing w:val="-6"/>
                <w:sz w:val="22"/>
                <w:highlight w:val="none"/>
              </w:rPr>
              <w:t>（0-2）等情况，由</w:t>
            </w:r>
            <w:r>
              <w:rPr>
                <w:rFonts w:hint="eastAsia" w:ascii="宋体" w:hAnsi="宋体" w:cs="宋体"/>
                <w:spacing w:val="-6"/>
                <w:sz w:val="22"/>
                <w:highlight w:val="none"/>
                <w:lang w:eastAsia="zh-CN"/>
              </w:rPr>
              <w:t>评审小组</w:t>
            </w:r>
            <w:r>
              <w:rPr>
                <w:rFonts w:hint="eastAsia" w:ascii="宋体" w:hAnsi="宋体" w:cs="宋体"/>
                <w:spacing w:val="-6"/>
                <w:sz w:val="22"/>
                <w:highlight w:val="none"/>
              </w:rPr>
              <w:t>根据方案详尽程度评分。</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Style w:val="74"/>
                <w:rFonts w:hint="eastAsia" w:ascii="宋体" w:hAnsi="宋体" w:eastAsia="宋体" w:cs="宋体"/>
                <w:color w:val="auto"/>
                <w:sz w:val="22"/>
                <w:szCs w:val="22"/>
                <w:highlight w:val="none"/>
                <w:lang w:val="en-US" w:eastAsia="zh-CN"/>
              </w:rPr>
            </w:pPr>
            <w:r>
              <w:rPr>
                <w:rStyle w:val="74"/>
                <w:rFonts w:hint="eastAsia" w:ascii="宋体" w:hAnsi="宋体" w:eastAsia="宋体" w:cs="宋体"/>
                <w:color w:val="auto"/>
                <w:sz w:val="22"/>
                <w:szCs w:val="22"/>
                <w:highlight w:val="none"/>
                <w:lang w:val="en-US" w:eastAsia="zh-CN"/>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baseline"/>
              <w:rPr>
                <w:rStyle w:val="74"/>
                <w:rFonts w:hint="eastAsia" w:ascii="宋体" w:hAnsi="宋体" w:eastAsia="宋体" w:cs="宋体"/>
                <w:color w:val="auto"/>
                <w:sz w:val="22"/>
                <w:szCs w:val="22"/>
                <w:highlight w:val="none"/>
                <w:lang w:val="en-US" w:eastAsia="zh-CN"/>
              </w:rPr>
            </w:pPr>
            <w:r>
              <w:rPr>
                <w:rStyle w:val="74"/>
                <w:rFonts w:hint="eastAsia" w:ascii="宋体" w:hAnsi="宋体" w:cs="宋体"/>
                <w:color w:val="auto"/>
                <w:sz w:val="22"/>
                <w:szCs w:val="22"/>
                <w:highlight w:val="none"/>
                <w:lang w:val="en-US" w:eastAsia="zh-CN"/>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color w:val="auto"/>
                <w:spacing w:val="-6"/>
                <w:sz w:val="22"/>
                <w:szCs w:val="22"/>
                <w:highlight w:val="none"/>
                <w:lang w:val="en-US" w:eastAsia="zh-CN"/>
              </w:rPr>
            </w:pPr>
            <w:r>
              <w:rPr>
                <w:rFonts w:hint="eastAsia" w:ascii="宋体" w:hAnsi="宋体" w:cs="宋体"/>
                <w:sz w:val="22"/>
                <w:highlight w:val="none"/>
                <w:lang w:val="zh-CN"/>
              </w:rPr>
              <w:t>后续服务和特色服务方案</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color w:val="auto"/>
                <w:spacing w:val="-6"/>
                <w:sz w:val="22"/>
                <w:szCs w:val="22"/>
                <w:highlight w:val="none"/>
                <w:lang w:val="zh-CN" w:eastAsia="zh-CN"/>
              </w:rPr>
            </w:pPr>
            <w:r>
              <w:rPr>
                <w:rFonts w:hint="eastAsia" w:ascii="宋体" w:hAnsi="宋体" w:eastAsia="宋体" w:cs="宋体"/>
                <w:spacing w:val="-6"/>
                <w:sz w:val="22"/>
                <w:highlight w:val="none"/>
                <w:lang w:val="en-US" w:eastAsia="zh-CN"/>
              </w:rPr>
              <w:t>3</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hint="eastAsia" w:ascii="宋体" w:hAnsi="宋体" w:eastAsia="宋体" w:cs="宋体"/>
                <w:color w:val="auto"/>
                <w:spacing w:val="-6"/>
                <w:sz w:val="22"/>
                <w:szCs w:val="22"/>
                <w:highlight w:val="none"/>
                <w:lang w:val="zh-CN" w:eastAsia="zh-CN"/>
              </w:rPr>
            </w:pPr>
            <w:r>
              <w:rPr>
                <w:rFonts w:hint="eastAsia" w:ascii="宋体" w:hAnsi="宋体" w:cs="宋体"/>
                <w:sz w:val="22"/>
                <w:highlight w:val="none"/>
                <w:lang w:val="zh-CN"/>
              </w:rPr>
              <w:t>根据投标人提供的后续服务方案和本项目的增值（特色）服务方案综合给分。</w:t>
            </w:r>
            <w:r>
              <w:rPr>
                <w:rFonts w:hint="eastAsia" w:ascii="宋体" w:hAnsi="宋体" w:cs="宋体"/>
                <w:spacing w:val="-6"/>
                <w:sz w:val="22"/>
                <w:highlight w:val="none"/>
                <w:lang w:val="zh-CN"/>
              </w:rPr>
              <w:t>根据方案是否覆盖全面、是否科学合理、具有针对性和可操作性打分：方案全面、合理，具可操作性的、针对性强的</w:t>
            </w:r>
            <w:r>
              <w:rPr>
                <w:rFonts w:hint="eastAsia" w:ascii="宋体" w:hAnsi="宋体" w:cs="宋体"/>
                <w:spacing w:val="-6"/>
                <w:sz w:val="22"/>
                <w:highlight w:val="none"/>
                <w:lang w:val="en-US" w:eastAsia="zh-CN"/>
              </w:rPr>
              <w:t>3</w:t>
            </w:r>
            <w:r>
              <w:rPr>
                <w:rFonts w:hint="eastAsia" w:ascii="宋体" w:hAnsi="宋体" w:cs="宋体"/>
                <w:spacing w:val="-6"/>
                <w:sz w:val="22"/>
                <w:highlight w:val="none"/>
                <w:lang w:val="zh-CN"/>
              </w:rPr>
              <w:t>分，较全面、合理、针对性较强的</w:t>
            </w:r>
            <w:r>
              <w:rPr>
                <w:rFonts w:hint="eastAsia" w:ascii="宋体" w:hAnsi="宋体" w:cs="宋体"/>
                <w:spacing w:val="-6"/>
                <w:sz w:val="22"/>
                <w:highlight w:val="none"/>
                <w:lang w:val="en-US" w:eastAsia="zh-CN"/>
              </w:rPr>
              <w:t>2</w:t>
            </w:r>
            <w:r>
              <w:rPr>
                <w:rFonts w:hint="eastAsia" w:ascii="宋体" w:hAnsi="宋体" w:cs="宋体"/>
                <w:spacing w:val="-6"/>
                <w:sz w:val="22"/>
                <w:highlight w:val="none"/>
                <w:lang w:val="zh-CN"/>
              </w:rPr>
              <w:t>分，方案全面、合理，针对性不强的得</w:t>
            </w:r>
            <w:r>
              <w:rPr>
                <w:rFonts w:hint="eastAsia" w:ascii="宋体" w:hAnsi="宋体" w:cs="宋体"/>
                <w:spacing w:val="-6"/>
                <w:sz w:val="22"/>
                <w:highlight w:val="none"/>
                <w:lang w:val="en-US" w:eastAsia="zh-CN"/>
              </w:rPr>
              <w:t>1</w:t>
            </w:r>
            <w:r>
              <w:rPr>
                <w:rFonts w:hint="eastAsia" w:ascii="宋体" w:hAnsi="宋体" w:cs="宋体"/>
                <w:spacing w:val="-6"/>
                <w:sz w:val="22"/>
                <w:highlight w:val="none"/>
                <w:lang w:val="zh-CN"/>
              </w:rPr>
              <w:t>分；未提供不得分。</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exact"/>
              <w:ind w:left="0" w:leftChars="0" w:firstLine="0" w:firstLineChars="0"/>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主观分</w:t>
            </w:r>
          </w:p>
        </w:tc>
      </w:tr>
    </w:tbl>
    <w:p>
      <w:pPr>
        <w:keepNext w:val="0"/>
        <w:keepLines w:val="0"/>
        <w:pageBreakBefore w:val="0"/>
        <w:numPr>
          <w:ilvl w:val="0"/>
          <w:numId w:val="13"/>
        </w:numPr>
        <w:kinsoku/>
        <w:wordWrap/>
        <w:overflowPunct/>
        <w:topLinePunct w:val="0"/>
        <w:autoSpaceDE/>
        <w:autoSpaceDN/>
        <w:bidi w:val="0"/>
        <w:adjustRightInd/>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报价评分（0分）：</w:t>
      </w:r>
    </w:p>
    <w:p>
      <w:pPr>
        <w:pStyle w:val="12"/>
        <w:keepNext w:val="0"/>
        <w:keepLines w:val="0"/>
        <w:pageBreakBefore w:val="0"/>
        <w:kinsoku/>
        <w:wordWrap/>
        <w:overflowPunct/>
        <w:topLinePunct w:val="0"/>
        <w:autoSpaceDE/>
        <w:autoSpaceDN/>
        <w:bidi w:val="0"/>
        <w:adjustRightInd/>
        <w:spacing w:line="360" w:lineRule="exact"/>
        <w:ind w:left="0" w:leftChars="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本项目采用固定价格采购，其价格不列为评审因素。</w:t>
      </w:r>
    </w:p>
    <w:p>
      <w:pPr>
        <w:keepNext w:val="0"/>
        <w:keepLines w:val="0"/>
        <w:pageBreakBefore w:val="0"/>
        <w:kinsoku/>
        <w:wordWrap/>
        <w:overflowPunct/>
        <w:topLinePunct w:val="0"/>
        <w:autoSpaceDE/>
        <w:autoSpaceDN/>
        <w:bidi w:val="0"/>
        <w:adjustRightInd/>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投标如缺少须提供的一种功能或配置或服务</w:t>
      </w: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rPr>
        <w:t>如若中标，该缺漏项费用将由中标人自行承担。</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highlight w:val="none"/>
        </w:rPr>
      </w:pPr>
      <w:r>
        <w:rPr>
          <w:rFonts w:hint="eastAsia" w:ascii="宋体" w:hAnsi="宋体" w:eastAsia="宋体" w:cs="宋体"/>
          <w:b/>
          <w:bCs/>
          <w:color w:val="auto"/>
          <w:sz w:val="22"/>
          <w:highlight w:val="none"/>
          <w:lang w:val="en-US" w:eastAsia="zh-CN"/>
        </w:rPr>
        <w:t>3.</w:t>
      </w:r>
      <w:r>
        <w:rPr>
          <w:rFonts w:hint="eastAsia" w:ascii="宋体" w:hAnsi="宋体" w:eastAsia="宋体" w:cs="宋体"/>
          <w:color w:val="auto"/>
          <w:sz w:val="22"/>
          <w:highlight w:val="none"/>
        </w:rPr>
        <w:t>投标人的综合评分为“商务和技术分”和“报价分”的的总计。</w:t>
      </w:r>
    </w:p>
    <w:sectPr>
      <w:headerReference r:id="rId4" w:type="default"/>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MS PGothic">
    <w:panose1 w:val="020B0600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59" w:rightChars="17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32130" cy="16319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32130" cy="163195"/>
                      </a:xfrm>
                      <a:prstGeom prst="rect">
                        <a:avLst/>
                      </a:prstGeom>
                      <a:noFill/>
                      <a:ln w="15875">
                        <a:noFill/>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85pt;width:41.9pt;mso-position-horizontal:center;mso-position-horizontal-relative:margin;mso-wrap-style:none;z-index:251663360;mso-width-relative:page;mso-height-relative:page;" filled="f" stroked="f" coordsize="21600,21600" o:gfxdata="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3i6cXVAAAAAwEAAA8AAAAAAAAA&#10;AQAgAAAAIgAAAGRycy9kb3ducmV2LnhtbFBLAQIUABQAAAAIAIdO4kDjDBDT2wEAAK8DAAAOAAAA&#10;AAAAAAEAIAAAACQBAABkcnMvZTJvRG9jLnhtbFBLBQYAAAAABgAGAFkBAABxBQ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r>
                      <w:rPr>
                        <w:rFonts w:hint="eastAsia"/>
                        <w:sz w:val="1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23"/>
        <w:rPr>
          <w:rFonts w:hint="eastAsia" w:eastAsia="宋体"/>
          <w:lang w:eastAsia="zh-CN"/>
        </w:rPr>
      </w:pPr>
      <w:r>
        <w:rPr>
          <w:rStyle w:val="38"/>
        </w:rPr>
        <w:footnoteRef/>
      </w:r>
      <w:r>
        <w:t xml:space="preserve"> </w:t>
      </w:r>
      <w:r>
        <w:rPr>
          <w:rFonts w:hint="eastAsia"/>
        </w:rPr>
        <w:t>从业人员、营业收入、资产总额填报上一年度数据，无上一年度数据的新成立企业可不填报</w:t>
      </w:r>
      <w:r>
        <w:rPr>
          <w:rFonts w:hint="eastAsia"/>
          <w:lang w:eastAsia="zh-CN"/>
        </w:rPr>
        <w:t>。</w:t>
      </w:r>
    </w:p>
  </w:footnote>
  <w:footnote w:id="1">
    <w:p>
      <w:pPr>
        <w:pStyle w:val="2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tabs>
        <w:tab w:val="left" w:pos="8115"/>
        <w:tab w:val="clear" w:pos="4153"/>
        <w:tab w:val="clear" w:pos="8306"/>
      </w:tabs>
      <w:jc w:val="right"/>
    </w:pPr>
    <w:r>
      <w:rPr>
        <w:rFonts w:hint="eastAsia"/>
      </w:rPr>
      <w:t>浙江乐诚工程咨询有限公司招标文件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26F34"/>
    <w:multiLevelType w:val="singleLevel"/>
    <w:tmpl w:val="84B26F34"/>
    <w:lvl w:ilvl="0" w:tentative="0">
      <w:start w:val="1"/>
      <w:numFmt w:val="decimalEnclosedCircleChinese"/>
      <w:suff w:val="nothing"/>
      <w:lvlText w:val="%1　"/>
      <w:lvlJc w:val="left"/>
      <w:pPr>
        <w:ind w:left="0" w:firstLine="400"/>
      </w:pPr>
      <w:rPr>
        <w:rFonts w:hint="eastAsia"/>
      </w:rPr>
    </w:lvl>
  </w:abstractNum>
  <w:abstractNum w:abstractNumId="1">
    <w:nsid w:val="9F6BF74B"/>
    <w:multiLevelType w:val="singleLevel"/>
    <w:tmpl w:val="9F6BF74B"/>
    <w:lvl w:ilvl="0" w:tentative="0">
      <w:start w:val="2"/>
      <w:numFmt w:val="decimal"/>
      <w:lvlText w:val="%1."/>
      <w:lvlJc w:val="left"/>
      <w:pPr>
        <w:tabs>
          <w:tab w:val="left" w:pos="312"/>
        </w:tabs>
      </w:pPr>
    </w:lvl>
  </w:abstractNum>
  <w:abstractNum w:abstractNumId="2">
    <w:nsid w:val="B139176E"/>
    <w:multiLevelType w:val="singleLevel"/>
    <w:tmpl w:val="B139176E"/>
    <w:lvl w:ilvl="0" w:tentative="0">
      <w:start w:val="6"/>
      <w:numFmt w:val="decimal"/>
      <w:suff w:val="nothing"/>
      <w:lvlText w:val="%1）"/>
      <w:lvlJc w:val="left"/>
      <w:pPr>
        <w:ind w:left="-20"/>
      </w:pPr>
    </w:lvl>
  </w:abstractNum>
  <w:abstractNum w:abstractNumId="3">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C8B16661"/>
    <w:multiLevelType w:val="singleLevel"/>
    <w:tmpl w:val="C8B16661"/>
    <w:lvl w:ilvl="0" w:tentative="0">
      <w:start w:val="1"/>
      <w:numFmt w:val="chineseCounting"/>
      <w:suff w:val="nothing"/>
      <w:lvlText w:val="%1、"/>
      <w:lvlJc w:val="left"/>
      <w:rPr>
        <w:rFonts w:hint="eastAsia"/>
      </w:rPr>
    </w:lvl>
  </w:abstractNum>
  <w:abstractNum w:abstractNumId="5">
    <w:nsid w:val="CA4A5494"/>
    <w:multiLevelType w:val="singleLevel"/>
    <w:tmpl w:val="CA4A5494"/>
    <w:lvl w:ilvl="0" w:tentative="0">
      <w:start w:val="1"/>
      <w:numFmt w:val="decimal"/>
      <w:suff w:val="nothing"/>
      <w:lvlText w:val="（%1）"/>
      <w:lvlJc w:val="left"/>
    </w:lvl>
  </w:abstractNum>
  <w:abstractNum w:abstractNumId="6">
    <w:nsid w:val="F9EC2A9F"/>
    <w:multiLevelType w:val="singleLevel"/>
    <w:tmpl w:val="F9EC2A9F"/>
    <w:lvl w:ilvl="0" w:tentative="0">
      <w:start w:val="1"/>
      <w:numFmt w:val="decimal"/>
      <w:lvlText w:val="%1."/>
      <w:lvlJc w:val="left"/>
      <w:pPr>
        <w:tabs>
          <w:tab w:val="left" w:pos="312"/>
        </w:tabs>
      </w:pPr>
    </w:lvl>
  </w:abstractNum>
  <w:abstractNum w:abstractNumId="7">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8">
    <w:nsid w:val="2A227DD7"/>
    <w:multiLevelType w:val="singleLevel"/>
    <w:tmpl w:val="2A227DD7"/>
    <w:lvl w:ilvl="0" w:tentative="0">
      <w:start w:val="4"/>
      <w:numFmt w:val="chineseCounting"/>
      <w:suff w:val="nothing"/>
      <w:lvlText w:val="（%1）"/>
      <w:lvlJc w:val="left"/>
      <w:rPr>
        <w:rFonts w:hint="eastAsia"/>
      </w:rPr>
    </w:lvl>
  </w:abstractNum>
  <w:abstractNum w:abstractNumId="9">
    <w:nsid w:val="4C59000B"/>
    <w:multiLevelType w:val="singleLevel"/>
    <w:tmpl w:val="4C59000B"/>
    <w:lvl w:ilvl="0" w:tentative="0">
      <w:start w:val="1"/>
      <w:numFmt w:val="decimal"/>
      <w:suff w:val="nothing"/>
      <w:lvlText w:val="%1、"/>
      <w:lvlJc w:val="left"/>
    </w:lvl>
  </w:abstractNum>
  <w:abstractNum w:abstractNumId="10">
    <w:nsid w:val="51207DEB"/>
    <w:multiLevelType w:val="singleLevel"/>
    <w:tmpl w:val="51207DEB"/>
    <w:lvl w:ilvl="0" w:tentative="0">
      <w:start w:val="1"/>
      <w:numFmt w:val="chineseCounting"/>
      <w:suff w:val="space"/>
      <w:lvlText w:val="第%1部分"/>
      <w:lvlJc w:val="left"/>
      <w:rPr>
        <w:rFonts w:hint="eastAsia"/>
      </w:rPr>
    </w:lvl>
  </w:abstractNum>
  <w:abstractNum w:abstractNumId="11">
    <w:nsid w:val="55684DA5"/>
    <w:multiLevelType w:val="singleLevel"/>
    <w:tmpl w:val="55684DA5"/>
    <w:lvl w:ilvl="0" w:tentative="0">
      <w:start w:val="1"/>
      <w:numFmt w:val="decimalEnclosedCircleChinese"/>
      <w:suff w:val="nothing"/>
      <w:lvlText w:val="%1　"/>
      <w:lvlJc w:val="left"/>
      <w:pPr>
        <w:ind w:left="0" w:firstLine="400"/>
      </w:pPr>
      <w:rPr>
        <w:rFonts w:hint="eastAsia"/>
      </w:rPr>
    </w:lvl>
  </w:abstractNum>
  <w:abstractNum w:abstractNumId="12">
    <w:nsid w:val="557FD3DA"/>
    <w:multiLevelType w:val="singleLevel"/>
    <w:tmpl w:val="557FD3DA"/>
    <w:lvl w:ilvl="0" w:tentative="0">
      <w:start w:val="3"/>
      <w:numFmt w:val="chineseCounting"/>
      <w:suff w:val="nothing"/>
      <w:lvlText w:val="%1、"/>
      <w:lvlJc w:val="left"/>
      <w:rPr>
        <w:rFonts w:cs="Times New Roman"/>
      </w:rPr>
    </w:lvl>
  </w:abstractNum>
  <w:num w:numId="1">
    <w:abstractNumId w:val="3"/>
  </w:num>
  <w:num w:numId="2">
    <w:abstractNumId w:val="10"/>
  </w:num>
  <w:num w:numId="3">
    <w:abstractNumId w:val="6"/>
  </w:num>
  <w:num w:numId="4">
    <w:abstractNumId w:val="11"/>
  </w:num>
  <w:num w:numId="5">
    <w:abstractNumId w:val="2"/>
  </w:num>
  <w:num w:numId="6">
    <w:abstractNumId w:val="5"/>
  </w:num>
  <w:num w:numId="7">
    <w:abstractNumId w:val="7"/>
  </w:num>
  <w:num w:numId="8">
    <w:abstractNumId w:val="9"/>
  </w:num>
  <w:num w:numId="9">
    <w:abstractNumId w:val="4"/>
  </w:num>
  <w:num w:numId="10">
    <w:abstractNumId w:val="12"/>
  </w:num>
  <w:num w:numId="11">
    <w:abstractNumId w:val="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NzY0ZjAzNmI0Y2Y3ZTk4ZDNiYzVjOTlmN2Y3MTQifQ=="/>
  </w:docVars>
  <w:rsids>
    <w:rsidRoot w:val="0077105C"/>
    <w:rsid w:val="00003A8E"/>
    <w:rsid w:val="00003B8B"/>
    <w:rsid w:val="00004ACA"/>
    <w:rsid w:val="00006C3A"/>
    <w:rsid w:val="000104E3"/>
    <w:rsid w:val="00011DDF"/>
    <w:rsid w:val="000126A9"/>
    <w:rsid w:val="00012BEA"/>
    <w:rsid w:val="0002341D"/>
    <w:rsid w:val="00023928"/>
    <w:rsid w:val="00026DF1"/>
    <w:rsid w:val="00032287"/>
    <w:rsid w:val="000358F0"/>
    <w:rsid w:val="00040878"/>
    <w:rsid w:val="00041DB4"/>
    <w:rsid w:val="00043348"/>
    <w:rsid w:val="00043A6C"/>
    <w:rsid w:val="000457EF"/>
    <w:rsid w:val="000507FF"/>
    <w:rsid w:val="000545B7"/>
    <w:rsid w:val="0005663D"/>
    <w:rsid w:val="00056ADF"/>
    <w:rsid w:val="00057DF7"/>
    <w:rsid w:val="000602E9"/>
    <w:rsid w:val="00060469"/>
    <w:rsid w:val="00060F30"/>
    <w:rsid w:val="000612EF"/>
    <w:rsid w:val="00066845"/>
    <w:rsid w:val="000731FD"/>
    <w:rsid w:val="00074112"/>
    <w:rsid w:val="0008186D"/>
    <w:rsid w:val="00081A37"/>
    <w:rsid w:val="0008260D"/>
    <w:rsid w:val="00083CAF"/>
    <w:rsid w:val="00086D9D"/>
    <w:rsid w:val="00087EC6"/>
    <w:rsid w:val="00097A19"/>
    <w:rsid w:val="000A3D9E"/>
    <w:rsid w:val="000A4CA6"/>
    <w:rsid w:val="000A5A7A"/>
    <w:rsid w:val="000B53F4"/>
    <w:rsid w:val="000B565E"/>
    <w:rsid w:val="000B6159"/>
    <w:rsid w:val="000B7DB9"/>
    <w:rsid w:val="000C25F3"/>
    <w:rsid w:val="000C28D0"/>
    <w:rsid w:val="000C3755"/>
    <w:rsid w:val="000C6819"/>
    <w:rsid w:val="000C7072"/>
    <w:rsid w:val="000D0620"/>
    <w:rsid w:val="000D6160"/>
    <w:rsid w:val="000E1320"/>
    <w:rsid w:val="000F0EE3"/>
    <w:rsid w:val="000F3299"/>
    <w:rsid w:val="000F5270"/>
    <w:rsid w:val="000F5B1D"/>
    <w:rsid w:val="000F5EA6"/>
    <w:rsid w:val="00101FE4"/>
    <w:rsid w:val="00105C9A"/>
    <w:rsid w:val="00105D7E"/>
    <w:rsid w:val="0011292B"/>
    <w:rsid w:val="001132E2"/>
    <w:rsid w:val="00113F54"/>
    <w:rsid w:val="001175AC"/>
    <w:rsid w:val="001207CC"/>
    <w:rsid w:val="00122E4D"/>
    <w:rsid w:val="001260BB"/>
    <w:rsid w:val="0013237A"/>
    <w:rsid w:val="00132400"/>
    <w:rsid w:val="00132AAE"/>
    <w:rsid w:val="00133077"/>
    <w:rsid w:val="001404FE"/>
    <w:rsid w:val="00140D4A"/>
    <w:rsid w:val="0014331F"/>
    <w:rsid w:val="00143E1D"/>
    <w:rsid w:val="00144DEC"/>
    <w:rsid w:val="0014546A"/>
    <w:rsid w:val="00145D07"/>
    <w:rsid w:val="00147480"/>
    <w:rsid w:val="0015078E"/>
    <w:rsid w:val="00150A0F"/>
    <w:rsid w:val="001518ED"/>
    <w:rsid w:val="00153CDA"/>
    <w:rsid w:val="001540A3"/>
    <w:rsid w:val="001557C5"/>
    <w:rsid w:val="00156CCD"/>
    <w:rsid w:val="001570FE"/>
    <w:rsid w:val="0016257C"/>
    <w:rsid w:val="00163F80"/>
    <w:rsid w:val="00165C61"/>
    <w:rsid w:val="0016770B"/>
    <w:rsid w:val="0017112C"/>
    <w:rsid w:val="001716F3"/>
    <w:rsid w:val="0017476F"/>
    <w:rsid w:val="001768AD"/>
    <w:rsid w:val="0018141D"/>
    <w:rsid w:val="00182127"/>
    <w:rsid w:val="001822F8"/>
    <w:rsid w:val="00183839"/>
    <w:rsid w:val="00186A6C"/>
    <w:rsid w:val="00194CCA"/>
    <w:rsid w:val="00196379"/>
    <w:rsid w:val="001B0609"/>
    <w:rsid w:val="001B0883"/>
    <w:rsid w:val="001B0DFB"/>
    <w:rsid w:val="001B32B4"/>
    <w:rsid w:val="001B5603"/>
    <w:rsid w:val="001C1E7D"/>
    <w:rsid w:val="001C2259"/>
    <w:rsid w:val="001C636B"/>
    <w:rsid w:val="001C6DFA"/>
    <w:rsid w:val="001E2935"/>
    <w:rsid w:val="001F0342"/>
    <w:rsid w:val="001F4FD4"/>
    <w:rsid w:val="001F56C4"/>
    <w:rsid w:val="0020352C"/>
    <w:rsid w:val="00203EBC"/>
    <w:rsid w:val="00204A26"/>
    <w:rsid w:val="00207187"/>
    <w:rsid w:val="0020787C"/>
    <w:rsid w:val="002132FC"/>
    <w:rsid w:val="002168ED"/>
    <w:rsid w:val="00222DDA"/>
    <w:rsid w:val="00222EE2"/>
    <w:rsid w:val="0022566E"/>
    <w:rsid w:val="00230F1E"/>
    <w:rsid w:val="00231898"/>
    <w:rsid w:val="00234308"/>
    <w:rsid w:val="00241445"/>
    <w:rsid w:val="0024282A"/>
    <w:rsid w:val="00251544"/>
    <w:rsid w:val="00252945"/>
    <w:rsid w:val="00254A9E"/>
    <w:rsid w:val="00261663"/>
    <w:rsid w:val="002627AC"/>
    <w:rsid w:val="00263DBF"/>
    <w:rsid w:val="00263E40"/>
    <w:rsid w:val="002673EA"/>
    <w:rsid w:val="00270625"/>
    <w:rsid w:val="00273C8A"/>
    <w:rsid w:val="00282BE2"/>
    <w:rsid w:val="00285FEB"/>
    <w:rsid w:val="00296F4B"/>
    <w:rsid w:val="002A39E4"/>
    <w:rsid w:val="002A5393"/>
    <w:rsid w:val="002A7AF9"/>
    <w:rsid w:val="002A7B47"/>
    <w:rsid w:val="002B0010"/>
    <w:rsid w:val="002B023B"/>
    <w:rsid w:val="002B0C9A"/>
    <w:rsid w:val="002B2107"/>
    <w:rsid w:val="002C08E5"/>
    <w:rsid w:val="002C1CDB"/>
    <w:rsid w:val="002C3DB6"/>
    <w:rsid w:val="002D20F6"/>
    <w:rsid w:val="002D3FF2"/>
    <w:rsid w:val="002D55A9"/>
    <w:rsid w:val="002D5D33"/>
    <w:rsid w:val="002E116F"/>
    <w:rsid w:val="002E3406"/>
    <w:rsid w:val="002E6413"/>
    <w:rsid w:val="002E66B0"/>
    <w:rsid w:val="002F18CE"/>
    <w:rsid w:val="002F71E5"/>
    <w:rsid w:val="00300AC5"/>
    <w:rsid w:val="00302FCF"/>
    <w:rsid w:val="00304644"/>
    <w:rsid w:val="003049DA"/>
    <w:rsid w:val="00304B9D"/>
    <w:rsid w:val="003156B5"/>
    <w:rsid w:val="00317C20"/>
    <w:rsid w:val="0032028E"/>
    <w:rsid w:val="003213F8"/>
    <w:rsid w:val="00321468"/>
    <w:rsid w:val="0032251D"/>
    <w:rsid w:val="003248FF"/>
    <w:rsid w:val="00327E9A"/>
    <w:rsid w:val="003309CC"/>
    <w:rsid w:val="00330A87"/>
    <w:rsid w:val="00331D79"/>
    <w:rsid w:val="00332EC2"/>
    <w:rsid w:val="00334FF9"/>
    <w:rsid w:val="00340883"/>
    <w:rsid w:val="00340A34"/>
    <w:rsid w:val="00342671"/>
    <w:rsid w:val="00342680"/>
    <w:rsid w:val="003433DC"/>
    <w:rsid w:val="003444DC"/>
    <w:rsid w:val="003454C1"/>
    <w:rsid w:val="00347100"/>
    <w:rsid w:val="0035085D"/>
    <w:rsid w:val="003550C0"/>
    <w:rsid w:val="00355AE1"/>
    <w:rsid w:val="0036115C"/>
    <w:rsid w:val="00362803"/>
    <w:rsid w:val="00363F5C"/>
    <w:rsid w:val="00370589"/>
    <w:rsid w:val="003746C4"/>
    <w:rsid w:val="003747DD"/>
    <w:rsid w:val="00377953"/>
    <w:rsid w:val="00377FE3"/>
    <w:rsid w:val="00380C7B"/>
    <w:rsid w:val="00386472"/>
    <w:rsid w:val="003901CE"/>
    <w:rsid w:val="00391E22"/>
    <w:rsid w:val="00395767"/>
    <w:rsid w:val="0039640C"/>
    <w:rsid w:val="0039763B"/>
    <w:rsid w:val="003A26DA"/>
    <w:rsid w:val="003A4570"/>
    <w:rsid w:val="003A5724"/>
    <w:rsid w:val="003B414E"/>
    <w:rsid w:val="003B723D"/>
    <w:rsid w:val="003B78AA"/>
    <w:rsid w:val="003B7C81"/>
    <w:rsid w:val="003B7EAA"/>
    <w:rsid w:val="003C21DC"/>
    <w:rsid w:val="003C775D"/>
    <w:rsid w:val="003D0502"/>
    <w:rsid w:val="003D15A4"/>
    <w:rsid w:val="003D1F15"/>
    <w:rsid w:val="003D680D"/>
    <w:rsid w:val="003E2383"/>
    <w:rsid w:val="003E2999"/>
    <w:rsid w:val="003E301B"/>
    <w:rsid w:val="003E4760"/>
    <w:rsid w:val="003E61F0"/>
    <w:rsid w:val="003F29FB"/>
    <w:rsid w:val="003F2C3E"/>
    <w:rsid w:val="003F6CCF"/>
    <w:rsid w:val="00403E9D"/>
    <w:rsid w:val="00403FA4"/>
    <w:rsid w:val="00405C22"/>
    <w:rsid w:val="004151D4"/>
    <w:rsid w:val="00416AC0"/>
    <w:rsid w:val="00423D81"/>
    <w:rsid w:val="004240A8"/>
    <w:rsid w:val="00426155"/>
    <w:rsid w:val="004309FA"/>
    <w:rsid w:val="00432010"/>
    <w:rsid w:val="004324AB"/>
    <w:rsid w:val="0043495E"/>
    <w:rsid w:val="0043631A"/>
    <w:rsid w:val="00440F7F"/>
    <w:rsid w:val="00442784"/>
    <w:rsid w:val="00443342"/>
    <w:rsid w:val="00450BE2"/>
    <w:rsid w:val="004510A6"/>
    <w:rsid w:val="00452390"/>
    <w:rsid w:val="00453744"/>
    <w:rsid w:val="004648E3"/>
    <w:rsid w:val="00466555"/>
    <w:rsid w:val="004667A1"/>
    <w:rsid w:val="00467D8E"/>
    <w:rsid w:val="00472430"/>
    <w:rsid w:val="00472977"/>
    <w:rsid w:val="00473D55"/>
    <w:rsid w:val="004745D3"/>
    <w:rsid w:val="00477002"/>
    <w:rsid w:val="00483C23"/>
    <w:rsid w:val="00485846"/>
    <w:rsid w:val="00493D9A"/>
    <w:rsid w:val="004951ED"/>
    <w:rsid w:val="0049634D"/>
    <w:rsid w:val="004A07FB"/>
    <w:rsid w:val="004A11EC"/>
    <w:rsid w:val="004A19E1"/>
    <w:rsid w:val="004A2C9E"/>
    <w:rsid w:val="004A526B"/>
    <w:rsid w:val="004A5C3F"/>
    <w:rsid w:val="004A5D08"/>
    <w:rsid w:val="004A632C"/>
    <w:rsid w:val="004A6785"/>
    <w:rsid w:val="004A6F82"/>
    <w:rsid w:val="004B0E35"/>
    <w:rsid w:val="004B27F5"/>
    <w:rsid w:val="004B3A25"/>
    <w:rsid w:val="004B566B"/>
    <w:rsid w:val="004B77F3"/>
    <w:rsid w:val="004D05FE"/>
    <w:rsid w:val="004D7CE2"/>
    <w:rsid w:val="004E096B"/>
    <w:rsid w:val="004E0F0C"/>
    <w:rsid w:val="004E2A3C"/>
    <w:rsid w:val="004E656C"/>
    <w:rsid w:val="004F559F"/>
    <w:rsid w:val="004F674A"/>
    <w:rsid w:val="004F6ADB"/>
    <w:rsid w:val="0050061C"/>
    <w:rsid w:val="00503552"/>
    <w:rsid w:val="0050792B"/>
    <w:rsid w:val="0051201B"/>
    <w:rsid w:val="00516CC2"/>
    <w:rsid w:val="0052048D"/>
    <w:rsid w:val="005204A1"/>
    <w:rsid w:val="00522C0C"/>
    <w:rsid w:val="00532D11"/>
    <w:rsid w:val="00536C23"/>
    <w:rsid w:val="005379B0"/>
    <w:rsid w:val="00540D43"/>
    <w:rsid w:val="00540E7C"/>
    <w:rsid w:val="0054288D"/>
    <w:rsid w:val="005439E1"/>
    <w:rsid w:val="00543DD0"/>
    <w:rsid w:val="00545705"/>
    <w:rsid w:val="00546135"/>
    <w:rsid w:val="005475C6"/>
    <w:rsid w:val="005513BB"/>
    <w:rsid w:val="0055369D"/>
    <w:rsid w:val="00556E6D"/>
    <w:rsid w:val="00560CBB"/>
    <w:rsid w:val="00561C78"/>
    <w:rsid w:val="005626D3"/>
    <w:rsid w:val="005630C8"/>
    <w:rsid w:val="00563435"/>
    <w:rsid w:val="00567B73"/>
    <w:rsid w:val="00571AAB"/>
    <w:rsid w:val="00572049"/>
    <w:rsid w:val="005760B3"/>
    <w:rsid w:val="0057676F"/>
    <w:rsid w:val="00576AD5"/>
    <w:rsid w:val="00591BD6"/>
    <w:rsid w:val="005922DF"/>
    <w:rsid w:val="00592D53"/>
    <w:rsid w:val="00593BBF"/>
    <w:rsid w:val="005963F3"/>
    <w:rsid w:val="0059696F"/>
    <w:rsid w:val="005A0BE8"/>
    <w:rsid w:val="005A6998"/>
    <w:rsid w:val="005A6CFB"/>
    <w:rsid w:val="005A76EC"/>
    <w:rsid w:val="005D3FCC"/>
    <w:rsid w:val="005D471C"/>
    <w:rsid w:val="005E34EE"/>
    <w:rsid w:val="005E6893"/>
    <w:rsid w:val="005E791B"/>
    <w:rsid w:val="005E79FF"/>
    <w:rsid w:val="005E7D83"/>
    <w:rsid w:val="005F1A3B"/>
    <w:rsid w:val="005F23AD"/>
    <w:rsid w:val="005F463E"/>
    <w:rsid w:val="005F658D"/>
    <w:rsid w:val="005F6B90"/>
    <w:rsid w:val="005F7262"/>
    <w:rsid w:val="005F7AED"/>
    <w:rsid w:val="00602B81"/>
    <w:rsid w:val="0060579F"/>
    <w:rsid w:val="00606C57"/>
    <w:rsid w:val="006104D9"/>
    <w:rsid w:val="0061084C"/>
    <w:rsid w:val="006117CC"/>
    <w:rsid w:val="00612FB6"/>
    <w:rsid w:val="00617C4D"/>
    <w:rsid w:val="00620ED7"/>
    <w:rsid w:val="00633180"/>
    <w:rsid w:val="00634F4D"/>
    <w:rsid w:val="0063506D"/>
    <w:rsid w:val="006358CB"/>
    <w:rsid w:val="00636BC6"/>
    <w:rsid w:val="00641B84"/>
    <w:rsid w:val="00646E09"/>
    <w:rsid w:val="006511C9"/>
    <w:rsid w:val="00651895"/>
    <w:rsid w:val="0065201B"/>
    <w:rsid w:val="006524F3"/>
    <w:rsid w:val="00653670"/>
    <w:rsid w:val="00654187"/>
    <w:rsid w:val="006564D3"/>
    <w:rsid w:val="00663A1E"/>
    <w:rsid w:val="00664C8A"/>
    <w:rsid w:val="00674397"/>
    <w:rsid w:val="00682698"/>
    <w:rsid w:val="00684BAC"/>
    <w:rsid w:val="0069034C"/>
    <w:rsid w:val="00690534"/>
    <w:rsid w:val="00696113"/>
    <w:rsid w:val="006A3DD1"/>
    <w:rsid w:val="006A6830"/>
    <w:rsid w:val="006B1563"/>
    <w:rsid w:val="006B1607"/>
    <w:rsid w:val="006B29E3"/>
    <w:rsid w:val="006B4822"/>
    <w:rsid w:val="006C14BA"/>
    <w:rsid w:val="006C2B37"/>
    <w:rsid w:val="006D2249"/>
    <w:rsid w:val="006D5BB8"/>
    <w:rsid w:val="006E2467"/>
    <w:rsid w:val="006E33F4"/>
    <w:rsid w:val="006E493D"/>
    <w:rsid w:val="006E66EB"/>
    <w:rsid w:val="006E76A8"/>
    <w:rsid w:val="006F0482"/>
    <w:rsid w:val="006F118C"/>
    <w:rsid w:val="006F19FA"/>
    <w:rsid w:val="006F2348"/>
    <w:rsid w:val="007015A5"/>
    <w:rsid w:val="00704E14"/>
    <w:rsid w:val="00710827"/>
    <w:rsid w:val="00715B86"/>
    <w:rsid w:val="0071666B"/>
    <w:rsid w:val="0072097C"/>
    <w:rsid w:val="00722218"/>
    <w:rsid w:val="00722285"/>
    <w:rsid w:val="00727797"/>
    <w:rsid w:val="0073174B"/>
    <w:rsid w:val="00731FD5"/>
    <w:rsid w:val="007343DC"/>
    <w:rsid w:val="007350D9"/>
    <w:rsid w:val="00736DED"/>
    <w:rsid w:val="007447FA"/>
    <w:rsid w:val="00745472"/>
    <w:rsid w:val="00746267"/>
    <w:rsid w:val="007465DC"/>
    <w:rsid w:val="00747A1A"/>
    <w:rsid w:val="007502D4"/>
    <w:rsid w:val="007510BF"/>
    <w:rsid w:val="00752793"/>
    <w:rsid w:val="00752901"/>
    <w:rsid w:val="00754289"/>
    <w:rsid w:val="0075573C"/>
    <w:rsid w:val="0075650C"/>
    <w:rsid w:val="007627AC"/>
    <w:rsid w:val="00766F11"/>
    <w:rsid w:val="0077105C"/>
    <w:rsid w:val="007725AC"/>
    <w:rsid w:val="0077266A"/>
    <w:rsid w:val="007757BB"/>
    <w:rsid w:val="007774FC"/>
    <w:rsid w:val="00784974"/>
    <w:rsid w:val="00785A1A"/>
    <w:rsid w:val="0079269B"/>
    <w:rsid w:val="007955FD"/>
    <w:rsid w:val="007A01FA"/>
    <w:rsid w:val="007A380B"/>
    <w:rsid w:val="007B2A8E"/>
    <w:rsid w:val="007B310C"/>
    <w:rsid w:val="007B5508"/>
    <w:rsid w:val="007B5753"/>
    <w:rsid w:val="007B5D48"/>
    <w:rsid w:val="007C1C6D"/>
    <w:rsid w:val="007C2AD0"/>
    <w:rsid w:val="007C4620"/>
    <w:rsid w:val="007D0DE8"/>
    <w:rsid w:val="007D2ECF"/>
    <w:rsid w:val="007D3BF0"/>
    <w:rsid w:val="007E1708"/>
    <w:rsid w:val="007E1FD2"/>
    <w:rsid w:val="007E209D"/>
    <w:rsid w:val="007E2F1C"/>
    <w:rsid w:val="007E414F"/>
    <w:rsid w:val="007E65A2"/>
    <w:rsid w:val="007E6EAD"/>
    <w:rsid w:val="007E6FDD"/>
    <w:rsid w:val="007F5585"/>
    <w:rsid w:val="007F5696"/>
    <w:rsid w:val="008025E2"/>
    <w:rsid w:val="008069C3"/>
    <w:rsid w:val="008122F5"/>
    <w:rsid w:val="00813965"/>
    <w:rsid w:val="008166B5"/>
    <w:rsid w:val="008167F1"/>
    <w:rsid w:val="00824203"/>
    <w:rsid w:val="00824E71"/>
    <w:rsid w:val="00825164"/>
    <w:rsid w:val="00826B9D"/>
    <w:rsid w:val="00826E9A"/>
    <w:rsid w:val="008271A3"/>
    <w:rsid w:val="00827BC6"/>
    <w:rsid w:val="00834D7F"/>
    <w:rsid w:val="00836FC9"/>
    <w:rsid w:val="008409F9"/>
    <w:rsid w:val="00841487"/>
    <w:rsid w:val="00853618"/>
    <w:rsid w:val="00854EE7"/>
    <w:rsid w:val="00857374"/>
    <w:rsid w:val="00860156"/>
    <w:rsid w:val="00862DC0"/>
    <w:rsid w:val="00870137"/>
    <w:rsid w:val="00870B61"/>
    <w:rsid w:val="00871E2A"/>
    <w:rsid w:val="00873133"/>
    <w:rsid w:val="00876669"/>
    <w:rsid w:val="0088214B"/>
    <w:rsid w:val="00883D22"/>
    <w:rsid w:val="00885A37"/>
    <w:rsid w:val="00892B4B"/>
    <w:rsid w:val="008931FC"/>
    <w:rsid w:val="008A1BB2"/>
    <w:rsid w:val="008A7713"/>
    <w:rsid w:val="008B0F77"/>
    <w:rsid w:val="008B17D6"/>
    <w:rsid w:val="008B1B8C"/>
    <w:rsid w:val="008B2947"/>
    <w:rsid w:val="008B2B77"/>
    <w:rsid w:val="008B43BF"/>
    <w:rsid w:val="008B72E8"/>
    <w:rsid w:val="008B73BD"/>
    <w:rsid w:val="008C0A8A"/>
    <w:rsid w:val="008C2580"/>
    <w:rsid w:val="008C34BC"/>
    <w:rsid w:val="008C72EE"/>
    <w:rsid w:val="008D1E95"/>
    <w:rsid w:val="008D4DB9"/>
    <w:rsid w:val="008D6D00"/>
    <w:rsid w:val="008E3395"/>
    <w:rsid w:val="008E4282"/>
    <w:rsid w:val="008E46A3"/>
    <w:rsid w:val="008E4818"/>
    <w:rsid w:val="008E48C1"/>
    <w:rsid w:val="00900EDC"/>
    <w:rsid w:val="009013C1"/>
    <w:rsid w:val="009034C6"/>
    <w:rsid w:val="00905199"/>
    <w:rsid w:val="00905382"/>
    <w:rsid w:val="009144F9"/>
    <w:rsid w:val="00915F03"/>
    <w:rsid w:val="009161F6"/>
    <w:rsid w:val="00917EE1"/>
    <w:rsid w:val="009201F3"/>
    <w:rsid w:val="009228DB"/>
    <w:rsid w:val="009235E2"/>
    <w:rsid w:val="00931D3E"/>
    <w:rsid w:val="00933477"/>
    <w:rsid w:val="009341E9"/>
    <w:rsid w:val="009343F9"/>
    <w:rsid w:val="00935CF8"/>
    <w:rsid w:val="00937C7B"/>
    <w:rsid w:val="00942418"/>
    <w:rsid w:val="00947646"/>
    <w:rsid w:val="00951BE0"/>
    <w:rsid w:val="00953672"/>
    <w:rsid w:val="009537FB"/>
    <w:rsid w:val="00960FB4"/>
    <w:rsid w:val="0096287A"/>
    <w:rsid w:val="00963B31"/>
    <w:rsid w:val="00970259"/>
    <w:rsid w:val="009704A6"/>
    <w:rsid w:val="009704AA"/>
    <w:rsid w:val="009715D5"/>
    <w:rsid w:val="00971620"/>
    <w:rsid w:val="00972664"/>
    <w:rsid w:val="009755B0"/>
    <w:rsid w:val="0097598C"/>
    <w:rsid w:val="00976FEF"/>
    <w:rsid w:val="00977661"/>
    <w:rsid w:val="009801EC"/>
    <w:rsid w:val="00982389"/>
    <w:rsid w:val="009823BD"/>
    <w:rsid w:val="00991F0C"/>
    <w:rsid w:val="00992903"/>
    <w:rsid w:val="00993742"/>
    <w:rsid w:val="00994BB6"/>
    <w:rsid w:val="009A031F"/>
    <w:rsid w:val="009A0480"/>
    <w:rsid w:val="009A37A8"/>
    <w:rsid w:val="009A3906"/>
    <w:rsid w:val="009A4BC6"/>
    <w:rsid w:val="009A500B"/>
    <w:rsid w:val="009B41F6"/>
    <w:rsid w:val="009C204D"/>
    <w:rsid w:val="009D1BA6"/>
    <w:rsid w:val="009D2A6B"/>
    <w:rsid w:val="009D49F0"/>
    <w:rsid w:val="009D4A5B"/>
    <w:rsid w:val="009D56E5"/>
    <w:rsid w:val="009D67ED"/>
    <w:rsid w:val="009D7C02"/>
    <w:rsid w:val="009E1DF8"/>
    <w:rsid w:val="009E4D8B"/>
    <w:rsid w:val="009F048C"/>
    <w:rsid w:val="009F21FC"/>
    <w:rsid w:val="009F23C0"/>
    <w:rsid w:val="009F5A37"/>
    <w:rsid w:val="00A1099B"/>
    <w:rsid w:val="00A11A6B"/>
    <w:rsid w:val="00A15D13"/>
    <w:rsid w:val="00A16B45"/>
    <w:rsid w:val="00A177F9"/>
    <w:rsid w:val="00A2015E"/>
    <w:rsid w:val="00A22B4D"/>
    <w:rsid w:val="00A24A00"/>
    <w:rsid w:val="00A30646"/>
    <w:rsid w:val="00A35556"/>
    <w:rsid w:val="00A357B7"/>
    <w:rsid w:val="00A35A72"/>
    <w:rsid w:val="00A402CC"/>
    <w:rsid w:val="00A433B3"/>
    <w:rsid w:val="00A434DD"/>
    <w:rsid w:val="00A476CE"/>
    <w:rsid w:val="00A47B14"/>
    <w:rsid w:val="00A50675"/>
    <w:rsid w:val="00A50C5F"/>
    <w:rsid w:val="00A549E3"/>
    <w:rsid w:val="00A55BCF"/>
    <w:rsid w:val="00A6002C"/>
    <w:rsid w:val="00A604A4"/>
    <w:rsid w:val="00A63CBD"/>
    <w:rsid w:val="00A6569E"/>
    <w:rsid w:val="00A6599E"/>
    <w:rsid w:val="00A66827"/>
    <w:rsid w:val="00A674CA"/>
    <w:rsid w:val="00A70319"/>
    <w:rsid w:val="00A70BD7"/>
    <w:rsid w:val="00A73AD7"/>
    <w:rsid w:val="00A770E3"/>
    <w:rsid w:val="00A8036F"/>
    <w:rsid w:val="00A83BAC"/>
    <w:rsid w:val="00A86B79"/>
    <w:rsid w:val="00A87D46"/>
    <w:rsid w:val="00A913C6"/>
    <w:rsid w:val="00A95C2C"/>
    <w:rsid w:val="00AA3B5C"/>
    <w:rsid w:val="00AA4306"/>
    <w:rsid w:val="00AA5144"/>
    <w:rsid w:val="00AB076C"/>
    <w:rsid w:val="00AB2053"/>
    <w:rsid w:val="00AB4661"/>
    <w:rsid w:val="00AB76EC"/>
    <w:rsid w:val="00AC2457"/>
    <w:rsid w:val="00AC3D2A"/>
    <w:rsid w:val="00AC3DFC"/>
    <w:rsid w:val="00AC446B"/>
    <w:rsid w:val="00AC6A48"/>
    <w:rsid w:val="00AD281B"/>
    <w:rsid w:val="00AD641A"/>
    <w:rsid w:val="00AD6820"/>
    <w:rsid w:val="00AE5895"/>
    <w:rsid w:val="00AF149F"/>
    <w:rsid w:val="00AF1809"/>
    <w:rsid w:val="00AF3567"/>
    <w:rsid w:val="00AF3CA1"/>
    <w:rsid w:val="00AF6A40"/>
    <w:rsid w:val="00B01B36"/>
    <w:rsid w:val="00B049D3"/>
    <w:rsid w:val="00B05E56"/>
    <w:rsid w:val="00B05F74"/>
    <w:rsid w:val="00B06E15"/>
    <w:rsid w:val="00B07206"/>
    <w:rsid w:val="00B072A3"/>
    <w:rsid w:val="00B078DF"/>
    <w:rsid w:val="00B10013"/>
    <w:rsid w:val="00B11D56"/>
    <w:rsid w:val="00B1290E"/>
    <w:rsid w:val="00B143FC"/>
    <w:rsid w:val="00B177F8"/>
    <w:rsid w:val="00B2094E"/>
    <w:rsid w:val="00B24DC2"/>
    <w:rsid w:val="00B32351"/>
    <w:rsid w:val="00B368E9"/>
    <w:rsid w:val="00B37E59"/>
    <w:rsid w:val="00B400A4"/>
    <w:rsid w:val="00B45592"/>
    <w:rsid w:val="00B45CB7"/>
    <w:rsid w:val="00B479A9"/>
    <w:rsid w:val="00B54D0F"/>
    <w:rsid w:val="00B54D36"/>
    <w:rsid w:val="00B55CA8"/>
    <w:rsid w:val="00B60CB1"/>
    <w:rsid w:val="00B61E79"/>
    <w:rsid w:val="00B6210E"/>
    <w:rsid w:val="00B62450"/>
    <w:rsid w:val="00B66EC1"/>
    <w:rsid w:val="00B67886"/>
    <w:rsid w:val="00B71985"/>
    <w:rsid w:val="00B75E5D"/>
    <w:rsid w:val="00B8128E"/>
    <w:rsid w:val="00B81D30"/>
    <w:rsid w:val="00B869DA"/>
    <w:rsid w:val="00B91822"/>
    <w:rsid w:val="00B91921"/>
    <w:rsid w:val="00B93CBE"/>
    <w:rsid w:val="00B94581"/>
    <w:rsid w:val="00B94715"/>
    <w:rsid w:val="00B971FF"/>
    <w:rsid w:val="00B97DEA"/>
    <w:rsid w:val="00BA098F"/>
    <w:rsid w:val="00BA0FB6"/>
    <w:rsid w:val="00BA2509"/>
    <w:rsid w:val="00BA382A"/>
    <w:rsid w:val="00BA63ED"/>
    <w:rsid w:val="00BA7B27"/>
    <w:rsid w:val="00BB39C9"/>
    <w:rsid w:val="00BB548C"/>
    <w:rsid w:val="00BB75F1"/>
    <w:rsid w:val="00BC0A28"/>
    <w:rsid w:val="00BC1DB5"/>
    <w:rsid w:val="00BC2425"/>
    <w:rsid w:val="00BC3F6D"/>
    <w:rsid w:val="00BC6651"/>
    <w:rsid w:val="00BC74DD"/>
    <w:rsid w:val="00BC7C5E"/>
    <w:rsid w:val="00BD3B0C"/>
    <w:rsid w:val="00BD5735"/>
    <w:rsid w:val="00BD7AA0"/>
    <w:rsid w:val="00BF0FEE"/>
    <w:rsid w:val="00BF3486"/>
    <w:rsid w:val="00BF6920"/>
    <w:rsid w:val="00C02585"/>
    <w:rsid w:val="00C05DE7"/>
    <w:rsid w:val="00C06A27"/>
    <w:rsid w:val="00C07D71"/>
    <w:rsid w:val="00C13269"/>
    <w:rsid w:val="00C15523"/>
    <w:rsid w:val="00C207E7"/>
    <w:rsid w:val="00C20E45"/>
    <w:rsid w:val="00C2540C"/>
    <w:rsid w:val="00C27701"/>
    <w:rsid w:val="00C279F8"/>
    <w:rsid w:val="00C3103F"/>
    <w:rsid w:val="00C31DD7"/>
    <w:rsid w:val="00C35FC9"/>
    <w:rsid w:val="00C37F96"/>
    <w:rsid w:val="00C43F9A"/>
    <w:rsid w:val="00C447D2"/>
    <w:rsid w:val="00C4614F"/>
    <w:rsid w:val="00C47D1C"/>
    <w:rsid w:val="00C50B72"/>
    <w:rsid w:val="00C530E8"/>
    <w:rsid w:val="00C54D99"/>
    <w:rsid w:val="00C55BFB"/>
    <w:rsid w:val="00C56109"/>
    <w:rsid w:val="00C6218A"/>
    <w:rsid w:val="00C663EA"/>
    <w:rsid w:val="00C70C1C"/>
    <w:rsid w:val="00C777A7"/>
    <w:rsid w:val="00C808BC"/>
    <w:rsid w:val="00C8155E"/>
    <w:rsid w:val="00C83A40"/>
    <w:rsid w:val="00C84133"/>
    <w:rsid w:val="00C84925"/>
    <w:rsid w:val="00C9105C"/>
    <w:rsid w:val="00C92E08"/>
    <w:rsid w:val="00C9686B"/>
    <w:rsid w:val="00C97A95"/>
    <w:rsid w:val="00CA2C2D"/>
    <w:rsid w:val="00CA5E7A"/>
    <w:rsid w:val="00CA7CBC"/>
    <w:rsid w:val="00CB1090"/>
    <w:rsid w:val="00CB7C72"/>
    <w:rsid w:val="00CC05C3"/>
    <w:rsid w:val="00CC1279"/>
    <w:rsid w:val="00CC3FEF"/>
    <w:rsid w:val="00CC58B2"/>
    <w:rsid w:val="00CD0D1A"/>
    <w:rsid w:val="00CD2EF9"/>
    <w:rsid w:val="00CE13D0"/>
    <w:rsid w:val="00CE13E7"/>
    <w:rsid w:val="00CE33E2"/>
    <w:rsid w:val="00CE49C7"/>
    <w:rsid w:val="00CF03D6"/>
    <w:rsid w:val="00CF0731"/>
    <w:rsid w:val="00CF0816"/>
    <w:rsid w:val="00CF45B2"/>
    <w:rsid w:val="00CF6A5D"/>
    <w:rsid w:val="00D0056C"/>
    <w:rsid w:val="00D10729"/>
    <w:rsid w:val="00D10A18"/>
    <w:rsid w:val="00D142C1"/>
    <w:rsid w:val="00D14F91"/>
    <w:rsid w:val="00D15FA1"/>
    <w:rsid w:val="00D225A2"/>
    <w:rsid w:val="00D2310D"/>
    <w:rsid w:val="00D254A7"/>
    <w:rsid w:val="00D273F6"/>
    <w:rsid w:val="00D27A0A"/>
    <w:rsid w:val="00D31327"/>
    <w:rsid w:val="00D31376"/>
    <w:rsid w:val="00D36571"/>
    <w:rsid w:val="00D368A8"/>
    <w:rsid w:val="00D36DBA"/>
    <w:rsid w:val="00D37A55"/>
    <w:rsid w:val="00D4040A"/>
    <w:rsid w:val="00D42A3D"/>
    <w:rsid w:val="00D42DED"/>
    <w:rsid w:val="00D45ACA"/>
    <w:rsid w:val="00D460A1"/>
    <w:rsid w:val="00D46949"/>
    <w:rsid w:val="00D50118"/>
    <w:rsid w:val="00D513B3"/>
    <w:rsid w:val="00D54291"/>
    <w:rsid w:val="00D57961"/>
    <w:rsid w:val="00D57C93"/>
    <w:rsid w:val="00D60F6E"/>
    <w:rsid w:val="00D61DB8"/>
    <w:rsid w:val="00D63B5A"/>
    <w:rsid w:val="00D659E6"/>
    <w:rsid w:val="00D70FA0"/>
    <w:rsid w:val="00D73703"/>
    <w:rsid w:val="00D73C1E"/>
    <w:rsid w:val="00D8330D"/>
    <w:rsid w:val="00D840ED"/>
    <w:rsid w:val="00D8622F"/>
    <w:rsid w:val="00D91979"/>
    <w:rsid w:val="00D91B09"/>
    <w:rsid w:val="00D9364B"/>
    <w:rsid w:val="00D94AE7"/>
    <w:rsid w:val="00D94DD5"/>
    <w:rsid w:val="00D95FE8"/>
    <w:rsid w:val="00D979F2"/>
    <w:rsid w:val="00DA23AC"/>
    <w:rsid w:val="00DA29A4"/>
    <w:rsid w:val="00DA4201"/>
    <w:rsid w:val="00DA6990"/>
    <w:rsid w:val="00DA6A5A"/>
    <w:rsid w:val="00DB0B47"/>
    <w:rsid w:val="00DB2CE2"/>
    <w:rsid w:val="00DB4CBD"/>
    <w:rsid w:val="00DB4DB2"/>
    <w:rsid w:val="00DB5AB6"/>
    <w:rsid w:val="00DC0218"/>
    <w:rsid w:val="00DC1366"/>
    <w:rsid w:val="00DC415D"/>
    <w:rsid w:val="00DC6FA3"/>
    <w:rsid w:val="00DD593C"/>
    <w:rsid w:val="00DE12AB"/>
    <w:rsid w:val="00DE53FB"/>
    <w:rsid w:val="00DE7B0B"/>
    <w:rsid w:val="00DF082B"/>
    <w:rsid w:val="00DF5B3B"/>
    <w:rsid w:val="00DF7266"/>
    <w:rsid w:val="00E00F37"/>
    <w:rsid w:val="00E0179D"/>
    <w:rsid w:val="00E065CD"/>
    <w:rsid w:val="00E10415"/>
    <w:rsid w:val="00E10C19"/>
    <w:rsid w:val="00E11792"/>
    <w:rsid w:val="00E11B81"/>
    <w:rsid w:val="00E1328E"/>
    <w:rsid w:val="00E15797"/>
    <w:rsid w:val="00E24EB1"/>
    <w:rsid w:val="00E25BE9"/>
    <w:rsid w:val="00E2617B"/>
    <w:rsid w:val="00E3318A"/>
    <w:rsid w:val="00E401F5"/>
    <w:rsid w:val="00E40B2F"/>
    <w:rsid w:val="00E42201"/>
    <w:rsid w:val="00E42479"/>
    <w:rsid w:val="00E43960"/>
    <w:rsid w:val="00E57D7D"/>
    <w:rsid w:val="00E61611"/>
    <w:rsid w:val="00E62ACF"/>
    <w:rsid w:val="00E633A0"/>
    <w:rsid w:val="00E66803"/>
    <w:rsid w:val="00E72FF8"/>
    <w:rsid w:val="00E76AF7"/>
    <w:rsid w:val="00E77389"/>
    <w:rsid w:val="00E77DB3"/>
    <w:rsid w:val="00E815D8"/>
    <w:rsid w:val="00E81755"/>
    <w:rsid w:val="00E83491"/>
    <w:rsid w:val="00E8617B"/>
    <w:rsid w:val="00E90CDB"/>
    <w:rsid w:val="00E94DD5"/>
    <w:rsid w:val="00E97F1B"/>
    <w:rsid w:val="00EA0D87"/>
    <w:rsid w:val="00EB1962"/>
    <w:rsid w:val="00EB3A37"/>
    <w:rsid w:val="00EB494B"/>
    <w:rsid w:val="00EC1939"/>
    <w:rsid w:val="00EC1FDD"/>
    <w:rsid w:val="00EC7C2C"/>
    <w:rsid w:val="00ED2A02"/>
    <w:rsid w:val="00ED2D9E"/>
    <w:rsid w:val="00ED3DF9"/>
    <w:rsid w:val="00ED63B9"/>
    <w:rsid w:val="00ED6D26"/>
    <w:rsid w:val="00EF5878"/>
    <w:rsid w:val="00F029F6"/>
    <w:rsid w:val="00F05042"/>
    <w:rsid w:val="00F05A18"/>
    <w:rsid w:val="00F061E5"/>
    <w:rsid w:val="00F10386"/>
    <w:rsid w:val="00F11672"/>
    <w:rsid w:val="00F12FE4"/>
    <w:rsid w:val="00F203F1"/>
    <w:rsid w:val="00F212B6"/>
    <w:rsid w:val="00F22810"/>
    <w:rsid w:val="00F25409"/>
    <w:rsid w:val="00F26310"/>
    <w:rsid w:val="00F27265"/>
    <w:rsid w:val="00F27BEA"/>
    <w:rsid w:val="00F351C8"/>
    <w:rsid w:val="00F45F68"/>
    <w:rsid w:val="00F4756C"/>
    <w:rsid w:val="00F477F6"/>
    <w:rsid w:val="00F51603"/>
    <w:rsid w:val="00F516AF"/>
    <w:rsid w:val="00F52C96"/>
    <w:rsid w:val="00F55763"/>
    <w:rsid w:val="00F57BA7"/>
    <w:rsid w:val="00F667B2"/>
    <w:rsid w:val="00F70075"/>
    <w:rsid w:val="00F702A1"/>
    <w:rsid w:val="00F721FB"/>
    <w:rsid w:val="00F727AB"/>
    <w:rsid w:val="00F73DAE"/>
    <w:rsid w:val="00F74C3A"/>
    <w:rsid w:val="00F750BF"/>
    <w:rsid w:val="00F76B45"/>
    <w:rsid w:val="00F77735"/>
    <w:rsid w:val="00F77F63"/>
    <w:rsid w:val="00F830E5"/>
    <w:rsid w:val="00F83EB0"/>
    <w:rsid w:val="00F851FC"/>
    <w:rsid w:val="00F867EE"/>
    <w:rsid w:val="00F924D7"/>
    <w:rsid w:val="00F93901"/>
    <w:rsid w:val="00FA3045"/>
    <w:rsid w:val="00FA38EF"/>
    <w:rsid w:val="00FA501F"/>
    <w:rsid w:val="00FA63A2"/>
    <w:rsid w:val="00FA7D89"/>
    <w:rsid w:val="00FB0C2D"/>
    <w:rsid w:val="00FB22FB"/>
    <w:rsid w:val="00FB3CEC"/>
    <w:rsid w:val="00FC28CC"/>
    <w:rsid w:val="00FC3E2B"/>
    <w:rsid w:val="00FC5852"/>
    <w:rsid w:val="00FC5A5F"/>
    <w:rsid w:val="00FD1F48"/>
    <w:rsid w:val="00FD2628"/>
    <w:rsid w:val="00FD3D6C"/>
    <w:rsid w:val="00FD44C8"/>
    <w:rsid w:val="00FE1158"/>
    <w:rsid w:val="00FE1942"/>
    <w:rsid w:val="00FE1FB8"/>
    <w:rsid w:val="00FE2106"/>
    <w:rsid w:val="00FE28D5"/>
    <w:rsid w:val="00FE67CB"/>
    <w:rsid w:val="00FF0515"/>
    <w:rsid w:val="00FF4E6E"/>
    <w:rsid w:val="00FF74F7"/>
    <w:rsid w:val="0174421B"/>
    <w:rsid w:val="018717BE"/>
    <w:rsid w:val="01BF097B"/>
    <w:rsid w:val="01D105CE"/>
    <w:rsid w:val="01E73C24"/>
    <w:rsid w:val="021A76DB"/>
    <w:rsid w:val="02766999"/>
    <w:rsid w:val="02791447"/>
    <w:rsid w:val="02CB6DCA"/>
    <w:rsid w:val="02CF60FD"/>
    <w:rsid w:val="02D97D23"/>
    <w:rsid w:val="032A0016"/>
    <w:rsid w:val="033243A8"/>
    <w:rsid w:val="033C4F4D"/>
    <w:rsid w:val="035442EC"/>
    <w:rsid w:val="035B707C"/>
    <w:rsid w:val="037126EF"/>
    <w:rsid w:val="0386205B"/>
    <w:rsid w:val="03AA5705"/>
    <w:rsid w:val="03B64080"/>
    <w:rsid w:val="03E63F73"/>
    <w:rsid w:val="03E73237"/>
    <w:rsid w:val="03EE5F1E"/>
    <w:rsid w:val="049D62A6"/>
    <w:rsid w:val="04A362EF"/>
    <w:rsid w:val="04B7013D"/>
    <w:rsid w:val="04BB3243"/>
    <w:rsid w:val="04BF5738"/>
    <w:rsid w:val="04EE55EA"/>
    <w:rsid w:val="04EF3205"/>
    <w:rsid w:val="056563FC"/>
    <w:rsid w:val="05B92DB0"/>
    <w:rsid w:val="060B54D3"/>
    <w:rsid w:val="06102D2E"/>
    <w:rsid w:val="063B2D6C"/>
    <w:rsid w:val="06506B03"/>
    <w:rsid w:val="069627A6"/>
    <w:rsid w:val="06A002E0"/>
    <w:rsid w:val="06AA7299"/>
    <w:rsid w:val="06C0040A"/>
    <w:rsid w:val="06C22BAA"/>
    <w:rsid w:val="06CF225A"/>
    <w:rsid w:val="06F33957"/>
    <w:rsid w:val="07000B16"/>
    <w:rsid w:val="07012726"/>
    <w:rsid w:val="07155AF2"/>
    <w:rsid w:val="071F2378"/>
    <w:rsid w:val="07307513"/>
    <w:rsid w:val="07324641"/>
    <w:rsid w:val="077C788A"/>
    <w:rsid w:val="07AD5E6F"/>
    <w:rsid w:val="08591333"/>
    <w:rsid w:val="087F1B50"/>
    <w:rsid w:val="089867F5"/>
    <w:rsid w:val="08F100D7"/>
    <w:rsid w:val="08FB0BD0"/>
    <w:rsid w:val="09141087"/>
    <w:rsid w:val="09146712"/>
    <w:rsid w:val="0932589E"/>
    <w:rsid w:val="095306DD"/>
    <w:rsid w:val="09695409"/>
    <w:rsid w:val="0993275B"/>
    <w:rsid w:val="09EE5A33"/>
    <w:rsid w:val="09F33BC2"/>
    <w:rsid w:val="0A005A8E"/>
    <w:rsid w:val="0A005B38"/>
    <w:rsid w:val="0A012F12"/>
    <w:rsid w:val="0A5A21CE"/>
    <w:rsid w:val="0A600644"/>
    <w:rsid w:val="0A63046B"/>
    <w:rsid w:val="0A655977"/>
    <w:rsid w:val="0A6F30BC"/>
    <w:rsid w:val="0A8670D2"/>
    <w:rsid w:val="0A8A6649"/>
    <w:rsid w:val="0A8D0F9E"/>
    <w:rsid w:val="0AB440F8"/>
    <w:rsid w:val="0AD2601C"/>
    <w:rsid w:val="0B085950"/>
    <w:rsid w:val="0B0D0CC4"/>
    <w:rsid w:val="0B283234"/>
    <w:rsid w:val="0B963D2B"/>
    <w:rsid w:val="0B9948AC"/>
    <w:rsid w:val="0BBD289A"/>
    <w:rsid w:val="0BC35643"/>
    <w:rsid w:val="0BD3673C"/>
    <w:rsid w:val="0BD939C5"/>
    <w:rsid w:val="0C0E0E49"/>
    <w:rsid w:val="0C0F3E0E"/>
    <w:rsid w:val="0C232562"/>
    <w:rsid w:val="0C5A518D"/>
    <w:rsid w:val="0C920654"/>
    <w:rsid w:val="0D060C4A"/>
    <w:rsid w:val="0D2602EE"/>
    <w:rsid w:val="0D7E5526"/>
    <w:rsid w:val="0D8E5096"/>
    <w:rsid w:val="0DB506E0"/>
    <w:rsid w:val="0DC70E1E"/>
    <w:rsid w:val="0DD37DB4"/>
    <w:rsid w:val="0DD61C72"/>
    <w:rsid w:val="0E3039A1"/>
    <w:rsid w:val="0E333E3A"/>
    <w:rsid w:val="0E401B23"/>
    <w:rsid w:val="0E8A18A4"/>
    <w:rsid w:val="0E9E3EDE"/>
    <w:rsid w:val="0EB21FBD"/>
    <w:rsid w:val="0EC518EB"/>
    <w:rsid w:val="0ECF454E"/>
    <w:rsid w:val="0EE22D8A"/>
    <w:rsid w:val="0EF735EC"/>
    <w:rsid w:val="0EF9511D"/>
    <w:rsid w:val="0F2A7991"/>
    <w:rsid w:val="0F7A251E"/>
    <w:rsid w:val="0F9F7708"/>
    <w:rsid w:val="0FF33AF6"/>
    <w:rsid w:val="100E0CEE"/>
    <w:rsid w:val="10607443"/>
    <w:rsid w:val="10737E0E"/>
    <w:rsid w:val="10EC2887"/>
    <w:rsid w:val="10F72164"/>
    <w:rsid w:val="110D5CB2"/>
    <w:rsid w:val="116945A1"/>
    <w:rsid w:val="116A035F"/>
    <w:rsid w:val="11875444"/>
    <w:rsid w:val="11A95278"/>
    <w:rsid w:val="11AF44DF"/>
    <w:rsid w:val="11C852FC"/>
    <w:rsid w:val="11F72CE6"/>
    <w:rsid w:val="123B7DDD"/>
    <w:rsid w:val="12C32F78"/>
    <w:rsid w:val="12CF0657"/>
    <w:rsid w:val="12E95249"/>
    <w:rsid w:val="12FE2ECF"/>
    <w:rsid w:val="134E40D7"/>
    <w:rsid w:val="13511013"/>
    <w:rsid w:val="13580F4D"/>
    <w:rsid w:val="135C3DD4"/>
    <w:rsid w:val="13E7075D"/>
    <w:rsid w:val="13FA3C55"/>
    <w:rsid w:val="141745DC"/>
    <w:rsid w:val="14725E70"/>
    <w:rsid w:val="14B118C5"/>
    <w:rsid w:val="14B415E1"/>
    <w:rsid w:val="14D16621"/>
    <w:rsid w:val="14D43BDB"/>
    <w:rsid w:val="151B44F0"/>
    <w:rsid w:val="152E2DCC"/>
    <w:rsid w:val="153017B9"/>
    <w:rsid w:val="15820285"/>
    <w:rsid w:val="15D83F7E"/>
    <w:rsid w:val="15F1546C"/>
    <w:rsid w:val="160547D6"/>
    <w:rsid w:val="161B5CF0"/>
    <w:rsid w:val="161C40B5"/>
    <w:rsid w:val="16467CC8"/>
    <w:rsid w:val="165F2BDF"/>
    <w:rsid w:val="16720653"/>
    <w:rsid w:val="168E46B6"/>
    <w:rsid w:val="16A87CE1"/>
    <w:rsid w:val="16AB2718"/>
    <w:rsid w:val="16E021C2"/>
    <w:rsid w:val="16E77D6B"/>
    <w:rsid w:val="179E277E"/>
    <w:rsid w:val="17BE3B1C"/>
    <w:rsid w:val="17F14C98"/>
    <w:rsid w:val="18074726"/>
    <w:rsid w:val="18080A9E"/>
    <w:rsid w:val="18296253"/>
    <w:rsid w:val="18B773FA"/>
    <w:rsid w:val="18D32287"/>
    <w:rsid w:val="18E86454"/>
    <w:rsid w:val="18ED538B"/>
    <w:rsid w:val="18F06F9F"/>
    <w:rsid w:val="18F40D5E"/>
    <w:rsid w:val="18FF73A6"/>
    <w:rsid w:val="191A45C5"/>
    <w:rsid w:val="192F2566"/>
    <w:rsid w:val="194E0081"/>
    <w:rsid w:val="195F6609"/>
    <w:rsid w:val="199A0455"/>
    <w:rsid w:val="19AF15A8"/>
    <w:rsid w:val="19D83035"/>
    <w:rsid w:val="19D87710"/>
    <w:rsid w:val="1A2A3728"/>
    <w:rsid w:val="1A512009"/>
    <w:rsid w:val="1A8644CD"/>
    <w:rsid w:val="1AA569B7"/>
    <w:rsid w:val="1AB3650A"/>
    <w:rsid w:val="1ADA6788"/>
    <w:rsid w:val="1AFA2B1C"/>
    <w:rsid w:val="1B1E7BE8"/>
    <w:rsid w:val="1B68216E"/>
    <w:rsid w:val="1B6F77A7"/>
    <w:rsid w:val="1B704CD6"/>
    <w:rsid w:val="1B817D0B"/>
    <w:rsid w:val="1B855F93"/>
    <w:rsid w:val="1BD6575E"/>
    <w:rsid w:val="1BF3240C"/>
    <w:rsid w:val="1C1E24F0"/>
    <w:rsid w:val="1C5115AF"/>
    <w:rsid w:val="1C59360F"/>
    <w:rsid w:val="1C7F44D1"/>
    <w:rsid w:val="1CBA44B6"/>
    <w:rsid w:val="1CBC6A50"/>
    <w:rsid w:val="1CE46D8A"/>
    <w:rsid w:val="1D195A3C"/>
    <w:rsid w:val="1D386B0A"/>
    <w:rsid w:val="1D39665B"/>
    <w:rsid w:val="1D453B92"/>
    <w:rsid w:val="1D7066B8"/>
    <w:rsid w:val="1D873EC6"/>
    <w:rsid w:val="1DA444AF"/>
    <w:rsid w:val="1DB06DBB"/>
    <w:rsid w:val="1DD4347C"/>
    <w:rsid w:val="1DD866A7"/>
    <w:rsid w:val="1DEC0FD1"/>
    <w:rsid w:val="1E1F64E2"/>
    <w:rsid w:val="1E4273A0"/>
    <w:rsid w:val="1E4708BE"/>
    <w:rsid w:val="1E5B402C"/>
    <w:rsid w:val="1E7F3375"/>
    <w:rsid w:val="1E9C0FD7"/>
    <w:rsid w:val="1EA27733"/>
    <w:rsid w:val="1EA71441"/>
    <w:rsid w:val="1EDB57B8"/>
    <w:rsid w:val="1F474417"/>
    <w:rsid w:val="1F507DBE"/>
    <w:rsid w:val="1F6D7F66"/>
    <w:rsid w:val="1F7801F4"/>
    <w:rsid w:val="1FA051B1"/>
    <w:rsid w:val="1FE01BF2"/>
    <w:rsid w:val="1FF103F0"/>
    <w:rsid w:val="20005C3E"/>
    <w:rsid w:val="200C1FD7"/>
    <w:rsid w:val="202A0BEF"/>
    <w:rsid w:val="20676614"/>
    <w:rsid w:val="207356D7"/>
    <w:rsid w:val="207F247C"/>
    <w:rsid w:val="20B1574E"/>
    <w:rsid w:val="20C12A4D"/>
    <w:rsid w:val="212E3396"/>
    <w:rsid w:val="214F070A"/>
    <w:rsid w:val="21504889"/>
    <w:rsid w:val="21511091"/>
    <w:rsid w:val="216A59FA"/>
    <w:rsid w:val="218D304A"/>
    <w:rsid w:val="219915D3"/>
    <w:rsid w:val="219D45B2"/>
    <w:rsid w:val="21A672A2"/>
    <w:rsid w:val="21BC28A6"/>
    <w:rsid w:val="21C329A3"/>
    <w:rsid w:val="21E35A1A"/>
    <w:rsid w:val="21E56FBC"/>
    <w:rsid w:val="21F14C6E"/>
    <w:rsid w:val="21FA005D"/>
    <w:rsid w:val="21FB12EC"/>
    <w:rsid w:val="220137C3"/>
    <w:rsid w:val="224F6446"/>
    <w:rsid w:val="225861FF"/>
    <w:rsid w:val="226C4FAD"/>
    <w:rsid w:val="227D4BE3"/>
    <w:rsid w:val="229F47AE"/>
    <w:rsid w:val="22A27797"/>
    <w:rsid w:val="22D3233B"/>
    <w:rsid w:val="22E25839"/>
    <w:rsid w:val="232C7632"/>
    <w:rsid w:val="2333170A"/>
    <w:rsid w:val="237F1E99"/>
    <w:rsid w:val="23BC6D45"/>
    <w:rsid w:val="23FD21A6"/>
    <w:rsid w:val="24096C1E"/>
    <w:rsid w:val="2442787A"/>
    <w:rsid w:val="24465B0D"/>
    <w:rsid w:val="248458D3"/>
    <w:rsid w:val="24AF30EF"/>
    <w:rsid w:val="24C31ACA"/>
    <w:rsid w:val="24C37822"/>
    <w:rsid w:val="24C979B7"/>
    <w:rsid w:val="24D228AC"/>
    <w:rsid w:val="24DE282F"/>
    <w:rsid w:val="2502156D"/>
    <w:rsid w:val="250234C2"/>
    <w:rsid w:val="2516370B"/>
    <w:rsid w:val="251E3CB6"/>
    <w:rsid w:val="25427164"/>
    <w:rsid w:val="25525D92"/>
    <w:rsid w:val="255B191F"/>
    <w:rsid w:val="255C3EA5"/>
    <w:rsid w:val="2563572A"/>
    <w:rsid w:val="25637736"/>
    <w:rsid w:val="25AE478C"/>
    <w:rsid w:val="25B90919"/>
    <w:rsid w:val="25D05537"/>
    <w:rsid w:val="261206FC"/>
    <w:rsid w:val="26311CDA"/>
    <w:rsid w:val="263B2C60"/>
    <w:rsid w:val="26411C1D"/>
    <w:rsid w:val="265453C2"/>
    <w:rsid w:val="26567ACD"/>
    <w:rsid w:val="26940C90"/>
    <w:rsid w:val="26A175D7"/>
    <w:rsid w:val="26B26F4A"/>
    <w:rsid w:val="26D3098E"/>
    <w:rsid w:val="2715177C"/>
    <w:rsid w:val="271E227A"/>
    <w:rsid w:val="272F1AD3"/>
    <w:rsid w:val="2741315F"/>
    <w:rsid w:val="279B1B14"/>
    <w:rsid w:val="27C77490"/>
    <w:rsid w:val="27F64177"/>
    <w:rsid w:val="28046D84"/>
    <w:rsid w:val="286B5532"/>
    <w:rsid w:val="28723D1A"/>
    <w:rsid w:val="288F52D5"/>
    <w:rsid w:val="28BC7E86"/>
    <w:rsid w:val="28E5527A"/>
    <w:rsid w:val="291D38AE"/>
    <w:rsid w:val="29216A36"/>
    <w:rsid w:val="29225D1F"/>
    <w:rsid w:val="29234A57"/>
    <w:rsid w:val="29321FE3"/>
    <w:rsid w:val="29476C8B"/>
    <w:rsid w:val="294E725A"/>
    <w:rsid w:val="29526C4F"/>
    <w:rsid w:val="29551B41"/>
    <w:rsid w:val="29572E0D"/>
    <w:rsid w:val="29803570"/>
    <w:rsid w:val="29B95570"/>
    <w:rsid w:val="29CF4CDE"/>
    <w:rsid w:val="29EE601C"/>
    <w:rsid w:val="2A141291"/>
    <w:rsid w:val="2A17665E"/>
    <w:rsid w:val="2A3519F9"/>
    <w:rsid w:val="2A5516F1"/>
    <w:rsid w:val="2A5F5F98"/>
    <w:rsid w:val="2A7279D5"/>
    <w:rsid w:val="2A862EB1"/>
    <w:rsid w:val="2ACB7330"/>
    <w:rsid w:val="2AD479BA"/>
    <w:rsid w:val="2AEA3820"/>
    <w:rsid w:val="2AEC01AB"/>
    <w:rsid w:val="2B0B3023"/>
    <w:rsid w:val="2B451595"/>
    <w:rsid w:val="2B78175F"/>
    <w:rsid w:val="2B9039C7"/>
    <w:rsid w:val="2BC359F4"/>
    <w:rsid w:val="2BFA65AF"/>
    <w:rsid w:val="2C2119A9"/>
    <w:rsid w:val="2C341F5F"/>
    <w:rsid w:val="2C51791C"/>
    <w:rsid w:val="2C6D06DB"/>
    <w:rsid w:val="2CA1763D"/>
    <w:rsid w:val="2CDF46B1"/>
    <w:rsid w:val="2D3044ED"/>
    <w:rsid w:val="2D4A2971"/>
    <w:rsid w:val="2D714B9D"/>
    <w:rsid w:val="2D8F14A1"/>
    <w:rsid w:val="2D8F3AF9"/>
    <w:rsid w:val="2D94069C"/>
    <w:rsid w:val="2DA141C4"/>
    <w:rsid w:val="2DB7125F"/>
    <w:rsid w:val="2DF43E01"/>
    <w:rsid w:val="2E03773F"/>
    <w:rsid w:val="2E296119"/>
    <w:rsid w:val="2E336E30"/>
    <w:rsid w:val="2E586EFC"/>
    <w:rsid w:val="2E5909BE"/>
    <w:rsid w:val="2E6C063D"/>
    <w:rsid w:val="2EA31300"/>
    <w:rsid w:val="2EBB1A0E"/>
    <w:rsid w:val="2ECB3349"/>
    <w:rsid w:val="2EDC20CB"/>
    <w:rsid w:val="2F236C79"/>
    <w:rsid w:val="2F2D3DF4"/>
    <w:rsid w:val="2F4319EA"/>
    <w:rsid w:val="2F9861EC"/>
    <w:rsid w:val="2FA808A6"/>
    <w:rsid w:val="2FAD4710"/>
    <w:rsid w:val="2FD0497E"/>
    <w:rsid w:val="2FD6409B"/>
    <w:rsid w:val="2FE9450B"/>
    <w:rsid w:val="30010B58"/>
    <w:rsid w:val="300A56D7"/>
    <w:rsid w:val="301E4C05"/>
    <w:rsid w:val="302774A3"/>
    <w:rsid w:val="303A0349"/>
    <w:rsid w:val="30566F21"/>
    <w:rsid w:val="30771812"/>
    <w:rsid w:val="308B6CE7"/>
    <w:rsid w:val="30DC0F43"/>
    <w:rsid w:val="31314B0F"/>
    <w:rsid w:val="31975348"/>
    <w:rsid w:val="319A0EEB"/>
    <w:rsid w:val="31AA48F6"/>
    <w:rsid w:val="31C01998"/>
    <w:rsid w:val="31D66C4B"/>
    <w:rsid w:val="32182B20"/>
    <w:rsid w:val="32226669"/>
    <w:rsid w:val="32261F27"/>
    <w:rsid w:val="32726352"/>
    <w:rsid w:val="32897241"/>
    <w:rsid w:val="32CD3557"/>
    <w:rsid w:val="32F26CE9"/>
    <w:rsid w:val="330E191A"/>
    <w:rsid w:val="33207E7D"/>
    <w:rsid w:val="337E770A"/>
    <w:rsid w:val="33E95046"/>
    <w:rsid w:val="3406659D"/>
    <w:rsid w:val="34066F3C"/>
    <w:rsid w:val="341751DE"/>
    <w:rsid w:val="34316959"/>
    <w:rsid w:val="344E2731"/>
    <w:rsid w:val="345B6BC1"/>
    <w:rsid w:val="34685AE6"/>
    <w:rsid w:val="34AB3B17"/>
    <w:rsid w:val="34B95D31"/>
    <w:rsid w:val="34DE1EC7"/>
    <w:rsid w:val="35192255"/>
    <w:rsid w:val="353E11C4"/>
    <w:rsid w:val="35581B81"/>
    <w:rsid w:val="357218FA"/>
    <w:rsid w:val="35896F5C"/>
    <w:rsid w:val="35AC6D6C"/>
    <w:rsid w:val="35B96287"/>
    <w:rsid w:val="35C13050"/>
    <w:rsid w:val="35FE4C86"/>
    <w:rsid w:val="360F286B"/>
    <w:rsid w:val="363E657D"/>
    <w:rsid w:val="36510EAD"/>
    <w:rsid w:val="366A5161"/>
    <w:rsid w:val="366F1AE0"/>
    <w:rsid w:val="36706BB8"/>
    <w:rsid w:val="368E39AF"/>
    <w:rsid w:val="369A304A"/>
    <w:rsid w:val="369F433B"/>
    <w:rsid w:val="36D04A11"/>
    <w:rsid w:val="370E5B9C"/>
    <w:rsid w:val="37134BE4"/>
    <w:rsid w:val="371948C9"/>
    <w:rsid w:val="373321D9"/>
    <w:rsid w:val="376B4967"/>
    <w:rsid w:val="377E4B13"/>
    <w:rsid w:val="37836223"/>
    <w:rsid w:val="379762ED"/>
    <w:rsid w:val="37A22AA5"/>
    <w:rsid w:val="37C849B6"/>
    <w:rsid w:val="37F61973"/>
    <w:rsid w:val="37F62926"/>
    <w:rsid w:val="385B2B32"/>
    <w:rsid w:val="386C755C"/>
    <w:rsid w:val="386F0D9D"/>
    <w:rsid w:val="389B032D"/>
    <w:rsid w:val="38B277DA"/>
    <w:rsid w:val="38DC1FD6"/>
    <w:rsid w:val="393865A1"/>
    <w:rsid w:val="39D6051A"/>
    <w:rsid w:val="39EB1191"/>
    <w:rsid w:val="39FC65CC"/>
    <w:rsid w:val="39FE6F59"/>
    <w:rsid w:val="3A941C32"/>
    <w:rsid w:val="3AA83C87"/>
    <w:rsid w:val="3AB67AB0"/>
    <w:rsid w:val="3AD603BE"/>
    <w:rsid w:val="3AEF76EC"/>
    <w:rsid w:val="3AF2384C"/>
    <w:rsid w:val="3B002605"/>
    <w:rsid w:val="3B0E070B"/>
    <w:rsid w:val="3B0E7276"/>
    <w:rsid w:val="3B5A0033"/>
    <w:rsid w:val="3B8C157D"/>
    <w:rsid w:val="3BA34E54"/>
    <w:rsid w:val="3BAD45C9"/>
    <w:rsid w:val="3BC477EF"/>
    <w:rsid w:val="3BCB62E9"/>
    <w:rsid w:val="3BD54ECE"/>
    <w:rsid w:val="3BE26336"/>
    <w:rsid w:val="3BFB1EE5"/>
    <w:rsid w:val="3C260152"/>
    <w:rsid w:val="3C4F3ADC"/>
    <w:rsid w:val="3C5C187A"/>
    <w:rsid w:val="3C7F4555"/>
    <w:rsid w:val="3C9B5744"/>
    <w:rsid w:val="3CC276DE"/>
    <w:rsid w:val="3CC333E8"/>
    <w:rsid w:val="3CFF78D5"/>
    <w:rsid w:val="3D3706E1"/>
    <w:rsid w:val="3D43066B"/>
    <w:rsid w:val="3D4A148F"/>
    <w:rsid w:val="3D4C5425"/>
    <w:rsid w:val="3D6A1E76"/>
    <w:rsid w:val="3D944C04"/>
    <w:rsid w:val="3DF862BE"/>
    <w:rsid w:val="3E522CC8"/>
    <w:rsid w:val="3E6C53A7"/>
    <w:rsid w:val="3EB06511"/>
    <w:rsid w:val="3EE8198D"/>
    <w:rsid w:val="3EF50D73"/>
    <w:rsid w:val="3F001701"/>
    <w:rsid w:val="3F01199F"/>
    <w:rsid w:val="3F0561CC"/>
    <w:rsid w:val="3F7B1879"/>
    <w:rsid w:val="3FB07CE1"/>
    <w:rsid w:val="3FC24032"/>
    <w:rsid w:val="3FE0008D"/>
    <w:rsid w:val="3FE27F44"/>
    <w:rsid w:val="3FE44DB0"/>
    <w:rsid w:val="40295C55"/>
    <w:rsid w:val="40461D6E"/>
    <w:rsid w:val="404F327E"/>
    <w:rsid w:val="40764F3C"/>
    <w:rsid w:val="40C75330"/>
    <w:rsid w:val="40CA7613"/>
    <w:rsid w:val="40ED7B88"/>
    <w:rsid w:val="40F51F80"/>
    <w:rsid w:val="4119401A"/>
    <w:rsid w:val="4134318C"/>
    <w:rsid w:val="414420D7"/>
    <w:rsid w:val="41497185"/>
    <w:rsid w:val="419844D8"/>
    <w:rsid w:val="41A2034E"/>
    <w:rsid w:val="41B240A7"/>
    <w:rsid w:val="41D536E3"/>
    <w:rsid w:val="420014A1"/>
    <w:rsid w:val="42193AB1"/>
    <w:rsid w:val="422D2160"/>
    <w:rsid w:val="42396A7D"/>
    <w:rsid w:val="42D058FD"/>
    <w:rsid w:val="42EC7954"/>
    <w:rsid w:val="43090FD9"/>
    <w:rsid w:val="43313A24"/>
    <w:rsid w:val="43416A49"/>
    <w:rsid w:val="435C75F3"/>
    <w:rsid w:val="43715308"/>
    <w:rsid w:val="439A49B4"/>
    <w:rsid w:val="43BB6864"/>
    <w:rsid w:val="43E01243"/>
    <w:rsid w:val="43F00510"/>
    <w:rsid w:val="44133386"/>
    <w:rsid w:val="4431474F"/>
    <w:rsid w:val="44321313"/>
    <w:rsid w:val="443C122C"/>
    <w:rsid w:val="447E2A0F"/>
    <w:rsid w:val="449A30DE"/>
    <w:rsid w:val="44A47695"/>
    <w:rsid w:val="44BE5E0A"/>
    <w:rsid w:val="44BE666B"/>
    <w:rsid w:val="450918B6"/>
    <w:rsid w:val="452F4F26"/>
    <w:rsid w:val="45405345"/>
    <w:rsid w:val="45463295"/>
    <w:rsid w:val="45632A05"/>
    <w:rsid w:val="45875321"/>
    <w:rsid w:val="4588590C"/>
    <w:rsid w:val="458D4CE5"/>
    <w:rsid w:val="45AB5E98"/>
    <w:rsid w:val="45C513B0"/>
    <w:rsid w:val="45C861FB"/>
    <w:rsid w:val="46014259"/>
    <w:rsid w:val="46192347"/>
    <w:rsid w:val="461C5622"/>
    <w:rsid w:val="462678CF"/>
    <w:rsid w:val="46602401"/>
    <w:rsid w:val="4668035E"/>
    <w:rsid w:val="468F73FE"/>
    <w:rsid w:val="469A0BA6"/>
    <w:rsid w:val="46A4761C"/>
    <w:rsid w:val="46BD0001"/>
    <w:rsid w:val="46D344BE"/>
    <w:rsid w:val="46F62080"/>
    <w:rsid w:val="46FC4F20"/>
    <w:rsid w:val="47270310"/>
    <w:rsid w:val="47716BD8"/>
    <w:rsid w:val="47872571"/>
    <w:rsid w:val="478E4E27"/>
    <w:rsid w:val="47B570E5"/>
    <w:rsid w:val="47BD2B2E"/>
    <w:rsid w:val="47CC29CB"/>
    <w:rsid w:val="47CC540F"/>
    <w:rsid w:val="48042B34"/>
    <w:rsid w:val="482228FB"/>
    <w:rsid w:val="482D5F67"/>
    <w:rsid w:val="48304BEE"/>
    <w:rsid w:val="48827BBB"/>
    <w:rsid w:val="488F4366"/>
    <w:rsid w:val="48CA28C2"/>
    <w:rsid w:val="48D86719"/>
    <w:rsid w:val="490259A8"/>
    <w:rsid w:val="49132D3B"/>
    <w:rsid w:val="49472743"/>
    <w:rsid w:val="498116C1"/>
    <w:rsid w:val="49821CEF"/>
    <w:rsid w:val="499F1C25"/>
    <w:rsid w:val="49AC50DE"/>
    <w:rsid w:val="49B101C9"/>
    <w:rsid w:val="49C05A4A"/>
    <w:rsid w:val="49C23135"/>
    <w:rsid w:val="49E4340C"/>
    <w:rsid w:val="49F673AD"/>
    <w:rsid w:val="4A171FDA"/>
    <w:rsid w:val="4A1F34F0"/>
    <w:rsid w:val="4A3E1DFE"/>
    <w:rsid w:val="4A3E21F3"/>
    <w:rsid w:val="4A4F3F3B"/>
    <w:rsid w:val="4A5859B6"/>
    <w:rsid w:val="4A5E5A7F"/>
    <w:rsid w:val="4A7B361B"/>
    <w:rsid w:val="4A8E24A5"/>
    <w:rsid w:val="4AA85AA1"/>
    <w:rsid w:val="4AAC3CC5"/>
    <w:rsid w:val="4AB074A4"/>
    <w:rsid w:val="4AB859D6"/>
    <w:rsid w:val="4ADC18E8"/>
    <w:rsid w:val="4B3012BB"/>
    <w:rsid w:val="4B4F2A61"/>
    <w:rsid w:val="4BC75FB4"/>
    <w:rsid w:val="4BCB40E3"/>
    <w:rsid w:val="4BCD4F56"/>
    <w:rsid w:val="4BE15EC5"/>
    <w:rsid w:val="4C375DB1"/>
    <w:rsid w:val="4C3B48FD"/>
    <w:rsid w:val="4C457A46"/>
    <w:rsid w:val="4C57618A"/>
    <w:rsid w:val="4CA41DD0"/>
    <w:rsid w:val="4CBD6FDE"/>
    <w:rsid w:val="4CE87073"/>
    <w:rsid w:val="4CF71222"/>
    <w:rsid w:val="4D2D61FC"/>
    <w:rsid w:val="4D9661D8"/>
    <w:rsid w:val="4DB45FFA"/>
    <w:rsid w:val="4DD62336"/>
    <w:rsid w:val="4DE107E9"/>
    <w:rsid w:val="4DEB5A29"/>
    <w:rsid w:val="4E1315AB"/>
    <w:rsid w:val="4E332FE3"/>
    <w:rsid w:val="4E57075F"/>
    <w:rsid w:val="4E846B0F"/>
    <w:rsid w:val="4E9A4715"/>
    <w:rsid w:val="4E9F1C96"/>
    <w:rsid w:val="4EA62F7D"/>
    <w:rsid w:val="4EAF0CD3"/>
    <w:rsid w:val="4EB4138B"/>
    <w:rsid w:val="4EF76B75"/>
    <w:rsid w:val="4F01282E"/>
    <w:rsid w:val="4F070F3A"/>
    <w:rsid w:val="4F1C0266"/>
    <w:rsid w:val="4F2B1152"/>
    <w:rsid w:val="4F5712D6"/>
    <w:rsid w:val="4F6F18D7"/>
    <w:rsid w:val="4FB9185A"/>
    <w:rsid w:val="4FDE24B2"/>
    <w:rsid w:val="4FE35DF0"/>
    <w:rsid w:val="4FE94B64"/>
    <w:rsid w:val="50067E3A"/>
    <w:rsid w:val="501C56B7"/>
    <w:rsid w:val="50530BC8"/>
    <w:rsid w:val="508C01A9"/>
    <w:rsid w:val="50A54FE5"/>
    <w:rsid w:val="50B0253B"/>
    <w:rsid w:val="50C15033"/>
    <w:rsid w:val="50E372FB"/>
    <w:rsid w:val="50FA20DB"/>
    <w:rsid w:val="51187221"/>
    <w:rsid w:val="5131350C"/>
    <w:rsid w:val="51340B85"/>
    <w:rsid w:val="513C2EDD"/>
    <w:rsid w:val="519949CA"/>
    <w:rsid w:val="51DA2A54"/>
    <w:rsid w:val="51DE196A"/>
    <w:rsid w:val="51E273BE"/>
    <w:rsid w:val="51EF26CD"/>
    <w:rsid w:val="52244CE0"/>
    <w:rsid w:val="523B5CD2"/>
    <w:rsid w:val="52847CC6"/>
    <w:rsid w:val="52B17872"/>
    <w:rsid w:val="52BA0C9C"/>
    <w:rsid w:val="52C06C9F"/>
    <w:rsid w:val="53187152"/>
    <w:rsid w:val="534C5B64"/>
    <w:rsid w:val="53515CAE"/>
    <w:rsid w:val="53526AE0"/>
    <w:rsid w:val="536107A3"/>
    <w:rsid w:val="538240B5"/>
    <w:rsid w:val="53AD440C"/>
    <w:rsid w:val="53DE163D"/>
    <w:rsid w:val="53E745D4"/>
    <w:rsid w:val="541455EA"/>
    <w:rsid w:val="542303F8"/>
    <w:rsid w:val="545D2753"/>
    <w:rsid w:val="54604F80"/>
    <w:rsid w:val="54612EE1"/>
    <w:rsid w:val="546209B4"/>
    <w:rsid w:val="54666D10"/>
    <w:rsid w:val="54684F8A"/>
    <w:rsid w:val="5478407C"/>
    <w:rsid w:val="5490425F"/>
    <w:rsid w:val="54961B6C"/>
    <w:rsid w:val="54EC26DD"/>
    <w:rsid w:val="54F239FA"/>
    <w:rsid w:val="55090217"/>
    <w:rsid w:val="551A29AD"/>
    <w:rsid w:val="552314BB"/>
    <w:rsid w:val="55364E1B"/>
    <w:rsid w:val="55437EFB"/>
    <w:rsid w:val="554F64D5"/>
    <w:rsid w:val="55844014"/>
    <w:rsid w:val="55AC05AB"/>
    <w:rsid w:val="55B11FF0"/>
    <w:rsid w:val="55C34E73"/>
    <w:rsid w:val="55FC2402"/>
    <w:rsid w:val="55FC6482"/>
    <w:rsid w:val="56433506"/>
    <w:rsid w:val="564353D0"/>
    <w:rsid w:val="56617DD7"/>
    <w:rsid w:val="568238F3"/>
    <w:rsid w:val="56AB71DB"/>
    <w:rsid w:val="570B3E02"/>
    <w:rsid w:val="576D37A4"/>
    <w:rsid w:val="57B049BA"/>
    <w:rsid w:val="57C05CCD"/>
    <w:rsid w:val="57C413A5"/>
    <w:rsid w:val="57CD1F68"/>
    <w:rsid w:val="57EE3484"/>
    <w:rsid w:val="58215AB6"/>
    <w:rsid w:val="582B0154"/>
    <w:rsid w:val="585616D8"/>
    <w:rsid w:val="58900C95"/>
    <w:rsid w:val="589C50B7"/>
    <w:rsid w:val="58B20AEC"/>
    <w:rsid w:val="58BF52A9"/>
    <w:rsid w:val="58D87F55"/>
    <w:rsid w:val="58DF4FEC"/>
    <w:rsid w:val="58FE49B7"/>
    <w:rsid w:val="59021FD2"/>
    <w:rsid w:val="59177DE0"/>
    <w:rsid w:val="59267B33"/>
    <w:rsid w:val="59615283"/>
    <w:rsid w:val="596662A5"/>
    <w:rsid w:val="59902F35"/>
    <w:rsid w:val="5994238E"/>
    <w:rsid w:val="5995052F"/>
    <w:rsid w:val="59960E60"/>
    <w:rsid w:val="59D165F0"/>
    <w:rsid w:val="59E04505"/>
    <w:rsid w:val="59FA3177"/>
    <w:rsid w:val="5A3A0AA5"/>
    <w:rsid w:val="5A4F554A"/>
    <w:rsid w:val="5A506F3E"/>
    <w:rsid w:val="5A625D06"/>
    <w:rsid w:val="5AF46232"/>
    <w:rsid w:val="5B347DF2"/>
    <w:rsid w:val="5B6441D3"/>
    <w:rsid w:val="5B7B31A9"/>
    <w:rsid w:val="5BDD7F38"/>
    <w:rsid w:val="5C047B83"/>
    <w:rsid w:val="5C267747"/>
    <w:rsid w:val="5C414134"/>
    <w:rsid w:val="5C9A3C1D"/>
    <w:rsid w:val="5CEC1798"/>
    <w:rsid w:val="5D050023"/>
    <w:rsid w:val="5D077BAE"/>
    <w:rsid w:val="5D1B4EFD"/>
    <w:rsid w:val="5D232C38"/>
    <w:rsid w:val="5D2E7780"/>
    <w:rsid w:val="5D787B8A"/>
    <w:rsid w:val="5D956205"/>
    <w:rsid w:val="5D983E4F"/>
    <w:rsid w:val="5DCF5602"/>
    <w:rsid w:val="5DDF3A71"/>
    <w:rsid w:val="5DF448E5"/>
    <w:rsid w:val="5E390CAF"/>
    <w:rsid w:val="5E3C6D30"/>
    <w:rsid w:val="5E4E37AD"/>
    <w:rsid w:val="5E5F5EF7"/>
    <w:rsid w:val="5E697D49"/>
    <w:rsid w:val="5E6D720A"/>
    <w:rsid w:val="5EC5386C"/>
    <w:rsid w:val="5EE51AE4"/>
    <w:rsid w:val="5EF048AB"/>
    <w:rsid w:val="5F036FBE"/>
    <w:rsid w:val="5F0A15F3"/>
    <w:rsid w:val="5F2929E0"/>
    <w:rsid w:val="5F433247"/>
    <w:rsid w:val="5F45258B"/>
    <w:rsid w:val="5F690130"/>
    <w:rsid w:val="5F966E18"/>
    <w:rsid w:val="5F970059"/>
    <w:rsid w:val="5FB0093D"/>
    <w:rsid w:val="5FE15FF0"/>
    <w:rsid w:val="5FE65556"/>
    <w:rsid w:val="609C6B9A"/>
    <w:rsid w:val="60B52778"/>
    <w:rsid w:val="60D90292"/>
    <w:rsid w:val="61022FB1"/>
    <w:rsid w:val="6113529D"/>
    <w:rsid w:val="61166383"/>
    <w:rsid w:val="614A63D5"/>
    <w:rsid w:val="614B4412"/>
    <w:rsid w:val="6155317E"/>
    <w:rsid w:val="615F1B75"/>
    <w:rsid w:val="61D57BE4"/>
    <w:rsid w:val="626C4C08"/>
    <w:rsid w:val="629A0A03"/>
    <w:rsid w:val="62C47FC5"/>
    <w:rsid w:val="62D31681"/>
    <w:rsid w:val="62F449E2"/>
    <w:rsid w:val="630E388B"/>
    <w:rsid w:val="63813D88"/>
    <w:rsid w:val="63AA056F"/>
    <w:rsid w:val="63FA14BE"/>
    <w:rsid w:val="640516EE"/>
    <w:rsid w:val="64257378"/>
    <w:rsid w:val="64284B5D"/>
    <w:rsid w:val="642E3C6C"/>
    <w:rsid w:val="644F3765"/>
    <w:rsid w:val="648614BB"/>
    <w:rsid w:val="64BC7EC9"/>
    <w:rsid w:val="64C85EB7"/>
    <w:rsid w:val="64E472EC"/>
    <w:rsid w:val="64F1387C"/>
    <w:rsid w:val="64FD041F"/>
    <w:rsid w:val="64FE7D01"/>
    <w:rsid w:val="64FF55AF"/>
    <w:rsid w:val="6510790A"/>
    <w:rsid w:val="655D5D1D"/>
    <w:rsid w:val="65847FCB"/>
    <w:rsid w:val="65D41757"/>
    <w:rsid w:val="65E850A7"/>
    <w:rsid w:val="66205162"/>
    <w:rsid w:val="664B3CD4"/>
    <w:rsid w:val="666770BE"/>
    <w:rsid w:val="666A2BB2"/>
    <w:rsid w:val="667A050A"/>
    <w:rsid w:val="668A491E"/>
    <w:rsid w:val="66CC6427"/>
    <w:rsid w:val="670B7947"/>
    <w:rsid w:val="67357FCF"/>
    <w:rsid w:val="67467301"/>
    <w:rsid w:val="675D5843"/>
    <w:rsid w:val="67967A99"/>
    <w:rsid w:val="67C174B3"/>
    <w:rsid w:val="67E17EC2"/>
    <w:rsid w:val="681A2772"/>
    <w:rsid w:val="681E5132"/>
    <w:rsid w:val="682354AC"/>
    <w:rsid w:val="684C208C"/>
    <w:rsid w:val="68982479"/>
    <w:rsid w:val="68B02F4E"/>
    <w:rsid w:val="68E82796"/>
    <w:rsid w:val="690560DF"/>
    <w:rsid w:val="69075C34"/>
    <w:rsid w:val="691A5EE6"/>
    <w:rsid w:val="6956398A"/>
    <w:rsid w:val="696C0310"/>
    <w:rsid w:val="69845C64"/>
    <w:rsid w:val="69B247C8"/>
    <w:rsid w:val="69C64714"/>
    <w:rsid w:val="69CC56B4"/>
    <w:rsid w:val="69EF59B1"/>
    <w:rsid w:val="6A0700E9"/>
    <w:rsid w:val="6A2B02B0"/>
    <w:rsid w:val="6A327563"/>
    <w:rsid w:val="6A69319F"/>
    <w:rsid w:val="6AAA1233"/>
    <w:rsid w:val="6B0C2BB0"/>
    <w:rsid w:val="6B4337DD"/>
    <w:rsid w:val="6B484557"/>
    <w:rsid w:val="6B5B3A72"/>
    <w:rsid w:val="6B6D5FC2"/>
    <w:rsid w:val="6B8C7A65"/>
    <w:rsid w:val="6C05102C"/>
    <w:rsid w:val="6C171503"/>
    <w:rsid w:val="6C1A7210"/>
    <w:rsid w:val="6C1B6850"/>
    <w:rsid w:val="6C225448"/>
    <w:rsid w:val="6C9C5BD4"/>
    <w:rsid w:val="6CB76C88"/>
    <w:rsid w:val="6CF42ABF"/>
    <w:rsid w:val="6D083E4F"/>
    <w:rsid w:val="6D1C298A"/>
    <w:rsid w:val="6D216851"/>
    <w:rsid w:val="6D5E2905"/>
    <w:rsid w:val="6D8766AE"/>
    <w:rsid w:val="6D8E1695"/>
    <w:rsid w:val="6D9222C1"/>
    <w:rsid w:val="6D9803A2"/>
    <w:rsid w:val="6DCD28E3"/>
    <w:rsid w:val="6DEA4F8E"/>
    <w:rsid w:val="6DF710C0"/>
    <w:rsid w:val="6E0C0136"/>
    <w:rsid w:val="6E130DE5"/>
    <w:rsid w:val="6E194716"/>
    <w:rsid w:val="6E4965E2"/>
    <w:rsid w:val="6E777718"/>
    <w:rsid w:val="6E7962F9"/>
    <w:rsid w:val="6EAE2137"/>
    <w:rsid w:val="6EB221A0"/>
    <w:rsid w:val="6EB44823"/>
    <w:rsid w:val="6ECF300F"/>
    <w:rsid w:val="6EEE712E"/>
    <w:rsid w:val="6EEF3EC3"/>
    <w:rsid w:val="6F010C33"/>
    <w:rsid w:val="6F58000D"/>
    <w:rsid w:val="6F7E7354"/>
    <w:rsid w:val="6F8F7CCA"/>
    <w:rsid w:val="6F9A4163"/>
    <w:rsid w:val="6FCD1A6E"/>
    <w:rsid w:val="6FF35895"/>
    <w:rsid w:val="704D5C66"/>
    <w:rsid w:val="7075685A"/>
    <w:rsid w:val="70A30A11"/>
    <w:rsid w:val="70AC2981"/>
    <w:rsid w:val="70C04C1F"/>
    <w:rsid w:val="70CF0B3D"/>
    <w:rsid w:val="710B0B62"/>
    <w:rsid w:val="71354387"/>
    <w:rsid w:val="7162408D"/>
    <w:rsid w:val="71772542"/>
    <w:rsid w:val="71B21069"/>
    <w:rsid w:val="71DB24DA"/>
    <w:rsid w:val="71F633F8"/>
    <w:rsid w:val="71F744F2"/>
    <w:rsid w:val="722760B2"/>
    <w:rsid w:val="72A33D69"/>
    <w:rsid w:val="731A697D"/>
    <w:rsid w:val="733D4CBA"/>
    <w:rsid w:val="735A2220"/>
    <w:rsid w:val="73793F92"/>
    <w:rsid w:val="73A92D6E"/>
    <w:rsid w:val="73D83477"/>
    <w:rsid w:val="73E43E5B"/>
    <w:rsid w:val="74153903"/>
    <w:rsid w:val="741A7F9E"/>
    <w:rsid w:val="747924D5"/>
    <w:rsid w:val="748D443D"/>
    <w:rsid w:val="74B63C4A"/>
    <w:rsid w:val="74BF0839"/>
    <w:rsid w:val="74CF6187"/>
    <w:rsid w:val="74D30D95"/>
    <w:rsid w:val="74F62207"/>
    <w:rsid w:val="754A4575"/>
    <w:rsid w:val="75745F30"/>
    <w:rsid w:val="75CC5684"/>
    <w:rsid w:val="76021F59"/>
    <w:rsid w:val="765B1419"/>
    <w:rsid w:val="76652961"/>
    <w:rsid w:val="76971CDF"/>
    <w:rsid w:val="769D4069"/>
    <w:rsid w:val="76A60379"/>
    <w:rsid w:val="76AA5144"/>
    <w:rsid w:val="76AC1D52"/>
    <w:rsid w:val="76F83B54"/>
    <w:rsid w:val="76FF47C7"/>
    <w:rsid w:val="771E43D3"/>
    <w:rsid w:val="773125E2"/>
    <w:rsid w:val="77764CBC"/>
    <w:rsid w:val="77AC0674"/>
    <w:rsid w:val="77CE2B57"/>
    <w:rsid w:val="77E43DD2"/>
    <w:rsid w:val="77F6075E"/>
    <w:rsid w:val="7812577F"/>
    <w:rsid w:val="78151A26"/>
    <w:rsid w:val="78286AF7"/>
    <w:rsid w:val="782D3663"/>
    <w:rsid w:val="788829E6"/>
    <w:rsid w:val="789B7702"/>
    <w:rsid w:val="78BA03C6"/>
    <w:rsid w:val="78CE10CB"/>
    <w:rsid w:val="78E11465"/>
    <w:rsid w:val="78F64552"/>
    <w:rsid w:val="78F6798A"/>
    <w:rsid w:val="793C5C50"/>
    <w:rsid w:val="796C0923"/>
    <w:rsid w:val="798D0AD2"/>
    <w:rsid w:val="799135A7"/>
    <w:rsid w:val="79A41C7C"/>
    <w:rsid w:val="79FD2C7F"/>
    <w:rsid w:val="7A1C65EB"/>
    <w:rsid w:val="7A60175F"/>
    <w:rsid w:val="7A951FC7"/>
    <w:rsid w:val="7AAD6B20"/>
    <w:rsid w:val="7AD54C34"/>
    <w:rsid w:val="7B020435"/>
    <w:rsid w:val="7B103C8D"/>
    <w:rsid w:val="7B1648CF"/>
    <w:rsid w:val="7B186F3F"/>
    <w:rsid w:val="7B214B9C"/>
    <w:rsid w:val="7B445833"/>
    <w:rsid w:val="7B7D212A"/>
    <w:rsid w:val="7BA831B4"/>
    <w:rsid w:val="7BA86FCC"/>
    <w:rsid w:val="7BF01892"/>
    <w:rsid w:val="7C0D1894"/>
    <w:rsid w:val="7C28417F"/>
    <w:rsid w:val="7C362405"/>
    <w:rsid w:val="7C632338"/>
    <w:rsid w:val="7C691EE7"/>
    <w:rsid w:val="7C7D7BB2"/>
    <w:rsid w:val="7C7E7DC7"/>
    <w:rsid w:val="7CB20432"/>
    <w:rsid w:val="7CB26258"/>
    <w:rsid w:val="7CE33D99"/>
    <w:rsid w:val="7CEC6459"/>
    <w:rsid w:val="7D2801DA"/>
    <w:rsid w:val="7D3A306F"/>
    <w:rsid w:val="7D4166AE"/>
    <w:rsid w:val="7DA00BB7"/>
    <w:rsid w:val="7DAF5004"/>
    <w:rsid w:val="7DC557DE"/>
    <w:rsid w:val="7DF1189C"/>
    <w:rsid w:val="7E197D90"/>
    <w:rsid w:val="7E21461F"/>
    <w:rsid w:val="7E29605A"/>
    <w:rsid w:val="7E421C90"/>
    <w:rsid w:val="7E5D785B"/>
    <w:rsid w:val="7E615386"/>
    <w:rsid w:val="7E63219A"/>
    <w:rsid w:val="7E6E2BF3"/>
    <w:rsid w:val="7E6F3B2B"/>
    <w:rsid w:val="7E725807"/>
    <w:rsid w:val="7E7E2902"/>
    <w:rsid w:val="7E8F68F6"/>
    <w:rsid w:val="7E9175FA"/>
    <w:rsid w:val="7E953069"/>
    <w:rsid w:val="7F3905D7"/>
    <w:rsid w:val="7F913F52"/>
    <w:rsid w:val="7F99375C"/>
    <w:rsid w:val="7F9E1B56"/>
    <w:rsid w:val="7FAF7D48"/>
    <w:rsid w:val="7FCC20CA"/>
    <w:rsid w:val="7FCE2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qFormat="1" w:uiPriority="39"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nhideWhenUsed="0" w:uiPriority="0" w:semiHidden="0" w:name="List 4"/>
    <w:lsdException w:uiPriority="0" w:name="List 5"/>
    <w:lsdException w:uiPriority="0" w:name="List Bullet 2"/>
    <w:lsdException w:unhideWhenUsed="0" w:uiPriority="0" w:semiHidden="0" w:name="List Bullet 3"/>
    <w:lsdException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302"/>
      </w:tabs>
      <w:spacing w:before="120" w:after="120"/>
      <w:ind w:firstLine="161"/>
      <w:jc w:val="center"/>
      <w:outlineLvl w:val="0"/>
    </w:pPr>
    <w:rPr>
      <w:rFonts w:ascii="宋体" w:hAnsi="宋体"/>
      <w:b/>
      <w:bCs/>
      <w:caps/>
      <w:sz w:val="32"/>
      <w:szCs w:val="32"/>
    </w:rPr>
  </w:style>
  <w:style w:type="paragraph" w:styleId="8">
    <w:name w:val="Normal Indent"/>
    <w:basedOn w:val="1"/>
    <w:qFormat/>
    <w:uiPriority w:val="0"/>
    <w:pPr>
      <w:adjustRightInd w:val="0"/>
      <w:spacing w:line="312" w:lineRule="atLeast"/>
      <w:ind w:firstLine="420"/>
      <w:textAlignment w:val="baseline"/>
    </w:pPr>
    <w:rPr>
      <w:rFonts w:ascii="宋体" w:hAnsi="Courier New"/>
      <w:kern w:val="0"/>
    </w:rPr>
  </w:style>
  <w:style w:type="paragraph" w:styleId="9">
    <w:name w:val="annotation text"/>
    <w:basedOn w:val="1"/>
    <w:link w:val="44"/>
    <w:qFormat/>
    <w:uiPriority w:val="0"/>
    <w:pPr>
      <w:jc w:val="left"/>
    </w:pPr>
  </w:style>
  <w:style w:type="paragraph" w:styleId="10">
    <w:name w:val="Body Text 3"/>
    <w:basedOn w:val="1"/>
    <w:qFormat/>
    <w:uiPriority w:val="0"/>
    <w:rPr>
      <w:sz w:val="16"/>
      <w:szCs w:val="16"/>
    </w:rPr>
  </w:style>
  <w:style w:type="paragraph" w:styleId="11">
    <w:name w:val="Body Text"/>
    <w:basedOn w:val="1"/>
    <w:next w:val="1"/>
    <w:qFormat/>
    <w:uiPriority w:val="0"/>
    <w:pPr>
      <w:spacing w:after="120"/>
    </w:pPr>
  </w:style>
  <w:style w:type="paragraph" w:styleId="12">
    <w:name w:val="Body Text Indent"/>
    <w:basedOn w:val="1"/>
    <w:next w:val="1"/>
    <w:qFormat/>
    <w:uiPriority w:val="0"/>
    <w:pPr>
      <w:ind w:left="480" w:hanging="480" w:hangingChars="200"/>
    </w:pPr>
    <w:rPr>
      <w:sz w:val="24"/>
    </w:rPr>
  </w:style>
  <w:style w:type="paragraph" w:styleId="13">
    <w:name w:val="List 2"/>
    <w:basedOn w:val="1"/>
    <w:qFormat/>
    <w:uiPriority w:val="99"/>
    <w:pPr>
      <w:ind w:left="100" w:leftChars="200" w:hanging="200" w:hangingChars="200"/>
    </w:pPr>
    <w:rPr>
      <w:sz w:val="28"/>
      <w:szCs w:val="28"/>
    </w:rPr>
  </w:style>
  <w:style w:type="paragraph" w:styleId="14">
    <w:name w:val="Block Text"/>
    <w:basedOn w:val="1"/>
    <w:qFormat/>
    <w:uiPriority w:val="99"/>
    <w:pPr>
      <w:spacing w:after="120"/>
      <w:ind w:left="1440" w:leftChars="700" w:right="1440" w:rightChars="700"/>
    </w:pPr>
  </w:style>
  <w:style w:type="paragraph" w:styleId="15">
    <w:name w:val="Plain Text"/>
    <w:basedOn w:val="1"/>
    <w:link w:val="46"/>
    <w:qFormat/>
    <w:uiPriority w:val="0"/>
    <w:pPr>
      <w:widowControl/>
      <w:overflowPunct w:val="0"/>
      <w:autoSpaceDE w:val="0"/>
      <w:autoSpaceDN w:val="0"/>
      <w:adjustRightInd w:val="0"/>
      <w:jc w:val="left"/>
      <w:textAlignment w:val="baseline"/>
    </w:pPr>
    <w:rPr>
      <w:rFonts w:ascii="宋体" w:hAnsi="Courier New"/>
      <w:sz w:val="24"/>
    </w:rPr>
  </w:style>
  <w:style w:type="paragraph" w:styleId="16">
    <w:name w:val="Date"/>
    <w:basedOn w:val="1"/>
    <w:next w:val="1"/>
    <w:qFormat/>
    <w:uiPriority w:val="0"/>
    <w:pPr>
      <w:ind w:left="2500" w:leftChars="2500"/>
    </w:pPr>
    <w:rPr>
      <w:rFonts w:eastAsia="楷体_GB2312"/>
      <w:sz w:val="32"/>
      <w:szCs w:val="20"/>
    </w:rPr>
  </w:style>
  <w:style w:type="paragraph" w:styleId="17">
    <w:name w:val="Balloon Text"/>
    <w:basedOn w:val="1"/>
    <w:link w:val="4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rPr>
  </w:style>
  <w:style w:type="paragraph" w:styleId="21">
    <w:name w:val="toc 4"/>
    <w:basedOn w:val="1"/>
    <w:next w:val="1"/>
    <w:unhideWhenUsed/>
    <w:qFormat/>
    <w:uiPriority w:val="39"/>
    <w:pPr>
      <w:ind w:left="1260" w:leftChars="600"/>
    </w:pPr>
  </w:style>
  <w:style w:type="paragraph" w:styleId="22">
    <w:name w:val="List"/>
    <w:basedOn w:val="1"/>
    <w:qFormat/>
    <w:uiPriority w:val="0"/>
    <w:pPr>
      <w:ind w:left="200" w:hanging="200" w:hangingChars="200"/>
    </w:pPr>
  </w:style>
  <w:style w:type="paragraph" w:styleId="23">
    <w:name w:val="footnote text"/>
    <w:basedOn w:val="1"/>
    <w:qFormat/>
    <w:uiPriority w:val="99"/>
    <w:pPr>
      <w:snapToGrid w:val="0"/>
      <w:jc w:val="left"/>
    </w:pPr>
    <w:rPr>
      <w:sz w:val="18"/>
    </w:rPr>
  </w:style>
  <w:style w:type="paragraph" w:styleId="24">
    <w:name w:val="toc 6"/>
    <w:basedOn w:val="1"/>
    <w:next w:val="1"/>
    <w:qFormat/>
    <w:uiPriority w:val="0"/>
    <w:pPr>
      <w:spacing w:line="360" w:lineRule="auto"/>
      <w:ind w:left="1200" w:firstLine="200" w:firstLineChars="200"/>
      <w:jc w:val="left"/>
    </w:pPr>
    <w:rPr>
      <w:rFonts w:cs="Calibri"/>
      <w:sz w:val="18"/>
      <w:szCs w:val="18"/>
    </w:rPr>
  </w:style>
  <w:style w:type="paragraph" w:styleId="25">
    <w:name w:val="toc 2"/>
    <w:basedOn w:val="1"/>
    <w:next w:val="1"/>
    <w:qFormat/>
    <w:uiPriority w:val="39"/>
    <w:pPr>
      <w:tabs>
        <w:tab w:val="right" w:leader="dot" w:pos="8931"/>
      </w:tabs>
    </w:pPr>
    <w:rPr>
      <w:rFonts w:eastAsia="黑体"/>
      <w:smallCaps/>
      <w:szCs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paragraph" w:styleId="28">
    <w:name w:val="annotation subject"/>
    <w:basedOn w:val="9"/>
    <w:next w:val="9"/>
    <w:link w:val="48"/>
    <w:qFormat/>
    <w:uiPriority w:val="0"/>
    <w:rPr>
      <w:b/>
      <w:bCs/>
    </w:rPr>
  </w:style>
  <w:style w:type="paragraph" w:styleId="29">
    <w:name w:val="Body Text First Indent"/>
    <w:basedOn w:val="11"/>
    <w:next w:val="24"/>
    <w:qFormat/>
    <w:uiPriority w:val="0"/>
    <w:pPr>
      <w:autoSpaceDE w:val="0"/>
      <w:autoSpaceDN w:val="0"/>
      <w:adjustRightInd w:val="0"/>
      <w:ind w:firstLine="420" w:firstLineChars="100"/>
      <w:jc w:val="left"/>
    </w:pPr>
    <w:rPr>
      <w:rFonts w:ascii="仿宋_GB2312"/>
      <w:b/>
      <w:kern w:val="0"/>
      <w:sz w:val="32"/>
      <w:szCs w:val="32"/>
    </w:rPr>
  </w:style>
  <w:style w:type="paragraph" w:styleId="30">
    <w:name w:val="Body Text First Indent 2"/>
    <w:basedOn w:val="12"/>
    <w:next w:val="1"/>
    <w:unhideWhenUsed/>
    <w:qFormat/>
    <w:uiPriority w:val="99"/>
    <w:pPr>
      <w:ind w:firstLine="420"/>
    </w:p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0"/>
    <w:rPr>
      <w:b/>
    </w:rPr>
  </w:style>
  <w:style w:type="character" w:styleId="35">
    <w:name w:val="Emphasis"/>
    <w:basedOn w:val="33"/>
    <w:qFormat/>
    <w:uiPriority w:val="20"/>
    <w:rPr>
      <w:i/>
      <w:iCs/>
    </w:rPr>
  </w:style>
  <w:style w:type="character" w:styleId="36">
    <w:name w:val="Hyperlink"/>
    <w:basedOn w:val="33"/>
    <w:qFormat/>
    <w:uiPriority w:val="0"/>
  </w:style>
  <w:style w:type="character" w:styleId="37">
    <w:name w:val="annotation reference"/>
    <w:basedOn w:val="33"/>
    <w:qFormat/>
    <w:uiPriority w:val="0"/>
    <w:rPr>
      <w:sz w:val="21"/>
      <w:szCs w:val="21"/>
    </w:rPr>
  </w:style>
  <w:style w:type="character" w:styleId="38">
    <w:name w:val="footnote reference"/>
    <w:basedOn w:val="33"/>
    <w:qFormat/>
    <w:uiPriority w:val="99"/>
    <w:rPr>
      <w:rFonts w:cs="Times New Roman"/>
      <w:vertAlign w:val="superscript"/>
    </w:rPr>
  </w:style>
  <w:style w:type="character" w:styleId="39">
    <w:name w:val="HTML Sample"/>
    <w:basedOn w:val="33"/>
    <w:semiHidden/>
    <w:unhideWhenUsed/>
    <w:uiPriority w:val="0"/>
    <w:rPr>
      <w:rFonts w:ascii="Courier New" w:hAnsi="Courier New"/>
    </w:rPr>
  </w:style>
  <w:style w:type="paragraph" w:customStyle="1" w:styleId="40">
    <w:name w:val="Default"/>
    <w:next w:val="4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Normal]"/>
    <w:qFormat/>
    <w:uiPriority w:val="99"/>
    <w:rPr>
      <w:rFonts w:ascii="宋体" w:hAnsi="宋体" w:eastAsia="宋体" w:cs="Times New Roman"/>
      <w:sz w:val="24"/>
      <w:szCs w:val="22"/>
      <w:lang w:val="zh-CN" w:eastAsia="zh-CN" w:bidi="ar-SA"/>
    </w:rPr>
  </w:style>
  <w:style w:type="character" w:customStyle="1" w:styleId="44">
    <w:name w:val="批注文字 Char"/>
    <w:link w:val="9"/>
    <w:qFormat/>
    <w:uiPriority w:val="0"/>
    <w:rPr>
      <w:rFonts w:ascii="Times New Roman" w:hAnsi="Times New Roman" w:eastAsia="宋体" w:cs="Times New Roman"/>
      <w:kern w:val="2"/>
      <w:sz w:val="21"/>
      <w:szCs w:val="22"/>
    </w:rPr>
  </w:style>
  <w:style w:type="character" w:customStyle="1" w:styleId="45">
    <w:name w:val="font11"/>
    <w:qFormat/>
    <w:uiPriority w:val="0"/>
    <w:rPr>
      <w:rFonts w:hint="default" w:ascii="仿宋_GB2312" w:eastAsia="仿宋_GB2312" w:cs="仿宋_GB2312"/>
      <w:color w:val="000000"/>
      <w:sz w:val="24"/>
      <w:szCs w:val="24"/>
      <w:u w:val="none"/>
    </w:rPr>
  </w:style>
  <w:style w:type="character" w:customStyle="1" w:styleId="46">
    <w:name w:val="纯文本 Char"/>
    <w:link w:val="15"/>
    <w:qFormat/>
    <w:uiPriority w:val="0"/>
    <w:rPr>
      <w:rFonts w:ascii="宋体" w:hAnsi="Courier New"/>
      <w:kern w:val="2"/>
      <w:sz w:val="24"/>
      <w:szCs w:val="22"/>
    </w:rPr>
  </w:style>
  <w:style w:type="character" w:customStyle="1" w:styleId="47">
    <w:name w:val="批注框文本 Char"/>
    <w:link w:val="17"/>
    <w:qFormat/>
    <w:uiPriority w:val="0"/>
    <w:rPr>
      <w:kern w:val="2"/>
      <w:sz w:val="18"/>
      <w:szCs w:val="18"/>
    </w:rPr>
  </w:style>
  <w:style w:type="character" w:customStyle="1" w:styleId="48">
    <w:name w:val="批注主题 Char"/>
    <w:basedOn w:val="44"/>
    <w:link w:val="28"/>
    <w:qFormat/>
    <w:uiPriority w:val="0"/>
    <w:rPr>
      <w:rFonts w:ascii="Times New Roman" w:hAnsi="Times New Roman" w:eastAsia="宋体" w:cs="Times New Roman"/>
      <w:kern w:val="2"/>
      <w:sz w:val="21"/>
      <w:szCs w:val="22"/>
    </w:rPr>
  </w:style>
  <w:style w:type="paragraph" w:customStyle="1" w:styleId="49">
    <w:name w:val="表格文字"/>
    <w:basedOn w:val="1"/>
    <w:next w:val="11"/>
    <w:qFormat/>
    <w:uiPriority w:val="0"/>
    <w:pPr>
      <w:adjustRightInd w:val="0"/>
      <w:spacing w:line="420" w:lineRule="atLeast"/>
      <w:jc w:val="left"/>
      <w:textAlignment w:val="baseline"/>
    </w:pPr>
    <w:rPr>
      <w:kern w:val="0"/>
      <w:szCs w:val="24"/>
    </w:rPr>
  </w:style>
  <w:style w:type="paragraph" w:customStyle="1" w:styleId="50">
    <w:name w:val="正文1"/>
    <w:basedOn w:val="1"/>
    <w:qFormat/>
    <w:uiPriority w:val="0"/>
    <w:rPr>
      <w:rFonts w:ascii="宋体" w:hAnsi="宋体" w:cs="宋体"/>
    </w:rPr>
  </w:style>
  <w:style w:type="paragraph" w:customStyle="1" w:styleId="51">
    <w:name w:val="正文2"/>
    <w:basedOn w:val="1"/>
    <w:qFormat/>
    <w:uiPriority w:val="0"/>
    <w:pPr>
      <w:spacing w:before="156" w:line="360" w:lineRule="auto"/>
      <w:ind w:firstLine="510" w:firstLineChars="200"/>
    </w:pPr>
    <w:rPr>
      <w:sz w:val="24"/>
      <w:szCs w:val="20"/>
    </w:rPr>
  </w:style>
  <w:style w:type="paragraph" w:customStyle="1" w:styleId="52">
    <w:name w:val="列表段落1"/>
    <w:basedOn w:val="1"/>
    <w:qFormat/>
    <w:uiPriority w:val="34"/>
    <w:pPr>
      <w:widowControl/>
      <w:ind w:firstLine="420" w:firstLineChars="200"/>
      <w:jc w:val="left"/>
    </w:pPr>
    <w:rPr>
      <w:rFonts w:eastAsia="微软雅黑"/>
      <w:szCs w:val="20"/>
    </w:rPr>
  </w:style>
  <w:style w:type="paragraph" w:customStyle="1" w:styleId="53">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54">
    <w:name w:val="样式1"/>
    <w:basedOn w:val="3"/>
    <w:qFormat/>
    <w:uiPriority w:val="0"/>
    <w:pPr>
      <w:tabs>
        <w:tab w:val="left" w:pos="425"/>
      </w:tabs>
      <w:spacing w:beforeLines="50" w:line="240" w:lineRule="auto"/>
      <w:jc w:val="center"/>
    </w:pPr>
    <w:rPr>
      <w:rFonts w:ascii="宋体" w:hAnsi="宋体"/>
      <w:sz w:val="21"/>
      <w:szCs w:val="36"/>
    </w:rPr>
  </w:style>
  <w:style w:type="paragraph" w:customStyle="1" w:styleId="55">
    <w:name w:val="正文，段落，小四，22磅行距"/>
    <w:basedOn w:val="1"/>
    <w:qFormat/>
    <w:uiPriority w:val="0"/>
    <w:pPr>
      <w:spacing w:line="440" w:lineRule="exact"/>
      <w:ind w:firstLine="420"/>
    </w:pPr>
    <w:rPr>
      <w:kern w:val="0"/>
      <w:sz w:val="24"/>
      <w:szCs w:val="24"/>
    </w:rPr>
  </w:style>
  <w:style w:type="paragraph" w:customStyle="1" w:styleId="56">
    <w:name w:val="列出段落2"/>
    <w:basedOn w:val="1"/>
    <w:qFormat/>
    <w:uiPriority w:val="34"/>
    <w:pPr>
      <w:widowControl/>
      <w:ind w:firstLine="420" w:firstLineChars="200"/>
      <w:jc w:val="left"/>
    </w:pPr>
    <w:rPr>
      <w:rFonts w:eastAsia="微软雅黑"/>
      <w:szCs w:val="20"/>
    </w:rPr>
  </w:style>
  <w:style w:type="paragraph" w:customStyle="1" w:styleId="57">
    <w:name w:val="无间隔1"/>
    <w:qFormat/>
    <w:uiPriority w:val="1"/>
    <w:pPr>
      <w:widowControl w:val="0"/>
      <w:snapToGrid w:val="0"/>
      <w:jc w:val="both"/>
    </w:pPr>
    <w:rPr>
      <w:rFonts w:ascii="Calibri" w:hAnsi="Calibri" w:eastAsia="宋体" w:cs="Times New Roman"/>
      <w:kern w:val="2"/>
      <w:sz w:val="21"/>
      <w:szCs w:val="24"/>
      <w:lang w:val="en-US" w:eastAsia="zh-CN" w:bidi="ar-SA"/>
    </w:rPr>
  </w:style>
  <w:style w:type="paragraph" w:customStyle="1" w:styleId="58">
    <w:name w:val="偏离表"/>
    <w:basedOn w:val="1"/>
    <w:qFormat/>
    <w:uiPriority w:val="0"/>
    <w:pPr>
      <w:jc w:val="center"/>
    </w:pPr>
    <w:rPr>
      <w:sz w:val="18"/>
    </w:rPr>
  </w:style>
  <w:style w:type="paragraph" w:customStyle="1" w:styleId="59">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60">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61">
    <w:name w:val="默认段落字体 Para Char Char Char Char Char Char Char Char Char1 Char Char Char Char"/>
    <w:basedOn w:val="1"/>
    <w:qFormat/>
    <w:uiPriority w:val="99"/>
    <w:rPr>
      <w:rFonts w:ascii="Tahoma" w:hAnsi="Tahoma" w:cs="Tahoma"/>
      <w:sz w:val="24"/>
      <w:szCs w:val="24"/>
    </w:rPr>
  </w:style>
  <w:style w:type="paragraph" w:styleId="62">
    <w:name w:val="List Paragraph"/>
    <w:basedOn w:val="1"/>
    <w:qFormat/>
    <w:uiPriority w:val="99"/>
    <w:pPr>
      <w:ind w:firstLine="420" w:firstLineChars="200"/>
    </w:pPr>
  </w:style>
  <w:style w:type="paragraph" w:customStyle="1" w:styleId="63">
    <w:name w:val="首行缩进"/>
    <w:basedOn w:val="1"/>
    <w:qFormat/>
    <w:uiPriority w:val="0"/>
    <w:pPr>
      <w:spacing w:line="360" w:lineRule="auto"/>
      <w:ind w:firstLine="420"/>
    </w:pPr>
    <w:rPr>
      <w:rFonts w:cs="宋体"/>
      <w:szCs w:val="20"/>
    </w:rPr>
  </w:style>
  <w:style w:type="paragraph" w:customStyle="1" w:styleId="64">
    <w:name w:val="纯文本2"/>
    <w:basedOn w:val="65"/>
    <w:qFormat/>
    <w:uiPriority w:val="0"/>
    <w:pPr>
      <w:widowControl/>
      <w:jc w:val="left"/>
    </w:pPr>
    <w:rPr>
      <w:rFonts w:ascii="宋体" w:hAnsi="Courier New"/>
    </w:rPr>
  </w:style>
  <w:style w:type="paragraph" w:customStyle="1" w:styleId="65">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纯文本 New New"/>
    <w:basedOn w:val="1"/>
    <w:qFormat/>
    <w:uiPriority w:val="0"/>
    <w:pPr>
      <w:widowControl/>
      <w:overflowPunct w:val="0"/>
      <w:autoSpaceDE w:val="0"/>
      <w:autoSpaceDN w:val="0"/>
      <w:adjustRightInd w:val="0"/>
      <w:jc w:val="left"/>
      <w:textAlignment w:val="baseline"/>
    </w:pPr>
    <w:rPr>
      <w:rFonts w:ascii="宋体" w:hAnsi="Courier New"/>
    </w:rPr>
  </w:style>
  <w:style w:type="paragraph" w:customStyle="1" w:styleId="67">
    <w:name w:val="Plain Text1"/>
    <w:basedOn w:val="68"/>
    <w:qFormat/>
    <w:uiPriority w:val="0"/>
    <w:pPr>
      <w:adjustRightInd w:val="0"/>
    </w:pPr>
    <w:rPr>
      <w:rFonts w:hint="eastAsia" w:ascii="宋体" w:hAnsi="Courier New" w:eastAsia="楷体_GB2312"/>
      <w:sz w:val="28"/>
    </w:rPr>
  </w:style>
  <w:style w:type="paragraph" w:customStyle="1" w:styleId="68">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9">
    <w:name w:val="正文文字3"/>
    <w:basedOn w:val="11"/>
    <w:qFormat/>
    <w:uiPriority w:val="0"/>
    <w:pPr>
      <w:spacing w:after="0"/>
    </w:pPr>
  </w:style>
  <w:style w:type="paragraph" w:customStyle="1" w:styleId="7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1">
    <w:name w:val="正文文本 21"/>
    <w:basedOn w:val="1"/>
    <w:qFormat/>
    <w:uiPriority w:val="0"/>
    <w:pPr>
      <w:adjustRightInd w:val="0"/>
      <w:spacing w:line="300" w:lineRule="auto"/>
      <w:jc w:val="center"/>
    </w:pPr>
    <w:rPr>
      <w:rFonts w:ascii="宋体" w:hAnsi="宋体"/>
      <w:sz w:val="24"/>
    </w:rPr>
  </w:style>
  <w:style w:type="paragraph" w:customStyle="1" w:styleId="72">
    <w:name w:val="xl35"/>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sz w:val="24"/>
      <w:szCs w:val="24"/>
    </w:rPr>
  </w:style>
  <w:style w:type="paragraph" w:customStyle="1" w:styleId="73">
    <w:name w:val="Body text|1"/>
    <w:basedOn w:val="1"/>
    <w:qFormat/>
    <w:uiPriority w:val="0"/>
    <w:pPr>
      <w:spacing w:line="360" w:lineRule="auto"/>
      <w:ind w:firstLine="400"/>
    </w:pPr>
    <w:rPr>
      <w:rFonts w:ascii="宋体" w:hAnsi="宋体" w:cs="宋体"/>
      <w:sz w:val="22"/>
      <w:lang w:val="zh-TW" w:eastAsia="zh-TW" w:bidi="zh-TW"/>
    </w:rPr>
  </w:style>
  <w:style w:type="character" w:customStyle="1" w:styleId="74">
    <w:name w:val="NormalCharacter"/>
    <w:link w:val="75"/>
    <w:semiHidden/>
    <w:qFormat/>
    <w:uiPriority w:val="0"/>
    <w:rPr>
      <w:rFonts w:ascii="Times New Roman" w:hAnsi="Times New Roman"/>
    </w:rPr>
  </w:style>
  <w:style w:type="paragraph" w:customStyle="1" w:styleId="75">
    <w:name w:val="UserStyle_26"/>
    <w:basedOn w:val="1"/>
    <w:link w:val="74"/>
    <w:qFormat/>
    <w:uiPriority w:val="0"/>
    <w:pPr>
      <w:textAlignment w:val="baseline"/>
    </w:pPr>
    <w:rPr>
      <w:rFonts w:ascii="Times New Roman" w:hAnsi="Times New Roman"/>
    </w:rPr>
  </w:style>
  <w:style w:type="paragraph" w:customStyle="1" w:styleId="76">
    <w:name w:val="正文文字"/>
    <w:basedOn w:val="1"/>
    <w:qFormat/>
    <w:uiPriority w:val="0"/>
    <w:pPr>
      <w:widowControl/>
      <w:spacing w:line="952" w:lineRule="atLeast"/>
      <w:ind w:firstLine="419"/>
    </w:pPr>
    <w:rPr>
      <w:b/>
      <w:color w:val="000000"/>
      <w:sz w:val="44"/>
      <w:u w:val="none" w:color="000000"/>
    </w:rPr>
  </w:style>
  <w:style w:type="paragraph" w:customStyle="1" w:styleId="77">
    <w:name w:val="UserStyle_266"/>
    <w:basedOn w:val="1"/>
    <w:next w:val="78"/>
    <w:qFormat/>
    <w:uiPriority w:val="0"/>
    <w:pPr>
      <w:jc w:val="left"/>
      <w:textAlignment w:val="baseline"/>
    </w:pPr>
    <w:rPr>
      <w:rFonts w:ascii="Times New Roman" w:hAnsi="Times New Roman"/>
      <w:kern w:val="21"/>
      <w:szCs w:val="21"/>
    </w:rPr>
  </w:style>
  <w:style w:type="paragraph" w:customStyle="1" w:styleId="78">
    <w:name w:val="BodyText"/>
    <w:basedOn w:val="1"/>
    <w:next w:val="1"/>
    <w:qFormat/>
    <w:uiPriority w:val="0"/>
    <w:pPr>
      <w:spacing w:after="120"/>
      <w:textAlignment w:val="baseline"/>
    </w:pPr>
    <w:rPr>
      <w:rFonts w:ascii="仿宋_GB2312" w:hAnsi="Times New Roman"/>
      <w:b/>
    </w:rPr>
  </w:style>
  <w:style w:type="paragraph" w:customStyle="1" w:styleId="79">
    <w:name w:val="NormalIndent"/>
    <w:basedOn w:val="1"/>
    <w:next w:val="1"/>
    <w:qFormat/>
    <w:uiPriority w:val="0"/>
    <w:pPr>
      <w:spacing w:line="312" w:lineRule="atLeast"/>
      <w:ind w:firstLine="420"/>
      <w:textAlignment w:val="baseline"/>
    </w:pPr>
    <w:rPr>
      <w:rFonts w:ascii="仿宋_GB2312" w:hAnsi="Times New Roman"/>
      <w:b/>
      <w:kern w:val="0"/>
      <w:szCs w:val="32"/>
    </w:rPr>
  </w:style>
  <w:style w:type="paragraph" w:customStyle="1" w:styleId="80">
    <w:name w:val="WPSOffice手动目录 1"/>
    <w:qFormat/>
    <w:uiPriority w:val="0"/>
    <w:pPr>
      <w:ind w:leftChars="0"/>
    </w:pPr>
    <w:rPr>
      <w:rFonts w:ascii="Times New Roman" w:hAnsi="Times New Roman" w:eastAsia="宋体" w:cs="Times New Roman"/>
      <w:sz w:val="20"/>
      <w:szCs w:val="20"/>
    </w:rPr>
  </w:style>
  <w:style w:type="paragraph" w:customStyle="1" w:styleId="8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80466B-A004-4E42-8698-61079CFABA96}">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66</Pages>
  <Words>40931</Words>
  <Characters>43326</Characters>
  <Lines>345</Lines>
  <Paragraphs>97</Paragraphs>
  <TotalTime>181</TotalTime>
  <ScaleCrop>false</ScaleCrop>
  <LinksUpToDate>false</LinksUpToDate>
  <CharactersWithSpaces>46515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2020-05-10T08:51:00Z</dcterms:created>
  <dc:creator>Administrator</dc:creator>
  <cp:lastModifiedBy>密</cp:lastModifiedBy>
  <cp:lastPrinted>2023-03-20T07:10:00Z</cp:lastPrinted>
  <dcterms:modified xsi:type="dcterms:W3CDTF">2023-05-30T05:56:34Z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BD05C2F571CB4461BE4BF18CB0F55A5E_13</vt:lpwstr>
  </property>
</Properties>
</file>