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采购需求</w:t>
      </w:r>
    </w:p>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3"/>
        <w:tblW w:w="0" w:type="auto"/>
        <w:jc w:val="center"/>
        <w:tblLayout w:type="fixed"/>
        <w:tblCellMar>
          <w:top w:w="0" w:type="dxa"/>
          <w:left w:w="108" w:type="dxa"/>
          <w:bottom w:w="0" w:type="dxa"/>
          <w:right w:w="108" w:type="dxa"/>
        </w:tblCellMar>
      </w:tblPr>
      <w:tblGrid>
        <w:gridCol w:w="1038"/>
        <w:gridCol w:w="3059"/>
        <w:gridCol w:w="1701"/>
        <w:gridCol w:w="1403"/>
        <w:gridCol w:w="2125"/>
      </w:tblGrid>
      <w:tr>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单人预算金额(元)</w:t>
            </w:r>
          </w:p>
        </w:tc>
        <w:tc>
          <w:tcPr>
            <w:tcW w:w="212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70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2022年新生体检及2023年研究生复试体检</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bCs/>
                <w:color w:val="auto"/>
                <w:kern w:val="0"/>
                <w:sz w:val="22"/>
                <w:highlight w:val="none"/>
              </w:rPr>
              <w:t xml:space="preserve">10000人左右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60</w:t>
            </w:r>
          </w:p>
        </w:tc>
        <w:tc>
          <w:tcPr>
            <w:tcW w:w="212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根据实际体检人数和中标单价进行最终结算</w:t>
            </w:r>
          </w:p>
        </w:tc>
      </w:tr>
    </w:tbl>
    <w:p>
      <w:pPr>
        <w:snapToGrid w:val="0"/>
        <w:spacing w:line="360" w:lineRule="exact"/>
        <w:rPr>
          <w:rFonts w:hint="eastAsia" w:ascii="宋体" w:hAnsi="宋体" w:cs="宋体"/>
          <w:b/>
          <w:bCs/>
          <w:color w:val="auto"/>
          <w:spacing w:val="-6"/>
          <w:sz w:val="22"/>
          <w:szCs w:val="22"/>
          <w:highlight w:val="none"/>
        </w:rPr>
      </w:pPr>
    </w:p>
    <w:p>
      <w:pPr>
        <w:numPr>
          <w:ilvl w:val="0"/>
          <w:numId w:val="1"/>
        </w:num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商务要求（技术要求里另有注明的以技术要求为准）</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履约保证金及</w:t>
            </w:r>
            <w:r>
              <w:rPr>
                <w:rFonts w:hint="eastAsia" w:ascii="宋体" w:hAnsi="宋体" w:cs="宋体"/>
                <w:color w:val="auto"/>
                <w:kern w:val="0"/>
                <w:sz w:val="22"/>
                <w:szCs w:val="22"/>
                <w:highlight w:val="non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合同签订后收取5000元履约保证金</w:t>
            </w:r>
            <w:r>
              <w:rPr>
                <w:rFonts w:hint="eastAsia" w:ascii="宋体" w:hAnsi="宋体" w:eastAsia="宋体" w:cs="宋体"/>
                <w:color w:val="auto"/>
                <w:kern w:val="0"/>
                <w:sz w:val="22"/>
                <w:szCs w:val="22"/>
                <w:highlight w:val="none"/>
                <w:lang w:val="en-US" w:eastAsia="zh-CN"/>
              </w:rPr>
              <w:t>（可通过保函形式提交履约保证金），按采购人要求打入指定账号，整体服务结束无服务质量问题无息退还；</w:t>
            </w:r>
          </w:p>
          <w:p>
            <w:pPr>
              <w:snapToGrid w:val="0"/>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结款方式：各阶段学生全部体检完毕后，向采购人提供全部体检结果报告后5个工作日，甲方根据实际体检人数和中标单价进行阶段性结算，同时乙方提供等额发票，费用收取由中标单位自行收取（具体方式需提前征得校方同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服务期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bCs/>
                <w:color w:val="auto"/>
                <w:kern w:val="0"/>
                <w:sz w:val="22"/>
                <w:highlight w:val="none"/>
              </w:rPr>
              <w:t>详见技术要求，具体以校方通知为准。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宋体" w:hAnsi="宋体" w:eastAsia="宋体" w:cs="宋体"/>
                <w:bCs/>
                <w:color w:val="auto"/>
                <w:kern w:val="0"/>
                <w:sz w:val="22"/>
                <w:highlight w:val="none"/>
                <w:lang w:val="en-US" w:eastAsia="zh-CN"/>
              </w:rPr>
            </w:pPr>
            <w:r>
              <w:rPr>
                <w:rFonts w:hint="eastAsia" w:ascii="宋体" w:hAnsi="宋体" w:cs="宋体"/>
                <w:color w:val="auto"/>
                <w:spacing w:val="-6"/>
                <w:sz w:val="22"/>
                <w:szCs w:val="22"/>
                <w:highlight w:val="none"/>
              </w:rPr>
              <w:t>心电图、肝肾功能异常复查都包含在</w:t>
            </w:r>
            <w:r>
              <w:rPr>
                <w:rFonts w:hint="eastAsia" w:ascii="宋体" w:hAnsi="宋体" w:cs="宋体"/>
                <w:color w:val="auto"/>
                <w:spacing w:val="-6"/>
                <w:sz w:val="22"/>
                <w:szCs w:val="22"/>
                <w:highlight w:val="none"/>
                <w:lang w:val="en-US" w:eastAsia="zh-CN"/>
              </w:rPr>
              <w:t>本次单人报价内，校方不额外支付费用。</w:t>
            </w:r>
          </w:p>
        </w:tc>
      </w:tr>
    </w:tbl>
    <w:p>
      <w:pPr>
        <w:snapToGrid w:val="0"/>
        <w:spacing w:line="360" w:lineRule="exact"/>
        <w:outlineLvl w:val="0"/>
        <w:rPr>
          <w:rFonts w:hint="eastAsia" w:ascii="宋体" w:hAnsi="宋体" w:cs="宋体"/>
          <w:b/>
          <w:color w:val="auto"/>
          <w:spacing w:val="-6"/>
          <w:sz w:val="22"/>
          <w:szCs w:val="22"/>
          <w:highlight w:val="none"/>
        </w:rPr>
      </w:pPr>
    </w:p>
    <w:p>
      <w:pPr>
        <w:numPr>
          <w:ilvl w:val="0"/>
          <w:numId w:val="2"/>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noWrap w:val="0"/>
            <w:vAlign w:val="top"/>
          </w:tcPr>
          <w:p>
            <w:pPr>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 采购内容及安排计划</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428"/>
              <w:gridCol w:w="1759"/>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00" w:type="dxa"/>
                  <w:noWrap w:val="0"/>
                  <w:vAlign w:val="center"/>
                </w:tcPr>
                <w:p>
                  <w:pPr>
                    <w:spacing w:line="288" w:lineRule="auto"/>
                    <w:jc w:val="center"/>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序号</w:t>
                  </w:r>
                </w:p>
              </w:tc>
              <w:tc>
                <w:tcPr>
                  <w:tcW w:w="4428" w:type="dxa"/>
                  <w:noWrap w:val="0"/>
                  <w:vAlign w:val="center"/>
                </w:tcPr>
                <w:p>
                  <w:pPr>
                    <w:jc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体检项目类别</w:t>
                  </w:r>
                </w:p>
              </w:tc>
              <w:tc>
                <w:tcPr>
                  <w:tcW w:w="1759" w:type="dxa"/>
                  <w:noWrap w:val="0"/>
                  <w:vAlign w:val="center"/>
                </w:tcPr>
                <w:p>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人数</w:t>
                  </w:r>
                </w:p>
              </w:tc>
              <w:tc>
                <w:tcPr>
                  <w:tcW w:w="1726" w:type="dxa"/>
                  <w:noWrap w:val="0"/>
                  <w:vAlign w:val="center"/>
                </w:tcPr>
                <w:p>
                  <w:pPr>
                    <w:spacing w:line="370" w:lineRule="exact"/>
                    <w:jc w:val="center"/>
                    <w:rPr>
                      <w:rFonts w:hint="eastAsia" w:ascii="宋体" w:hAnsi="宋体" w:cs="宋体"/>
                      <w:b/>
                      <w:color w:val="auto"/>
                      <w:spacing w:val="-6"/>
                      <w:sz w:val="22"/>
                      <w:szCs w:val="22"/>
                      <w:highlight w:val="none"/>
                    </w:rPr>
                  </w:pPr>
                  <w:r>
                    <w:rPr>
                      <w:rFonts w:hint="eastAsia" w:ascii="宋体" w:hAnsi="宋体" w:cs="宋体"/>
                      <w:color w:val="auto"/>
                      <w:sz w:val="22"/>
                      <w:szCs w:val="22"/>
                      <w:highlight w:val="none"/>
                    </w:rPr>
                    <w:t>单人预算金额(元)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0" w:type="dxa"/>
                  <w:noWrap w:val="0"/>
                  <w:vAlign w:val="center"/>
                </w:tcPr>
                <w:p>
                  <w:pPr>
                    <w:snapToGrid w:val="0"/>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4428" w:type="dxa"/>
                  <w:noWrap w:val="0"/>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新生入学体检</w:t>
                  </w:r>
                </w:p>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体检时间暂定于202</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年9月</w:t>
                  </w:r>
                  <w:r>
                    <w:rPr>
                      <w:rFonts w:hint="eastAsia" w:ascii="宋体" w:hAnsi="宋体" w:cs="宋体"/>
                      <w:color w:val="auto"/>
                      <w:sz w:val="22"/>
                      <w:szCs w:val="22"/>
                      <w:highlight w:val="none"/>
                      <w:lang w:val="en-US" w:eastAsia="zh-CN"/>
                    </w:rPr>
                    <w:t>7-12、17、18、24、25（具体根据学校的要求调整，以周末为主）</w:t>
                  </w:r>
                </w:p>
              </w:tc>
              <w:tc>
                <w:tcPr>
                  <w:tcW w:w="1759" w:type="dxa"/>
                  <w:noWrap w:val="0"/>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人数约8000人</w:t>
                  </w:r>
                </w:p>
              </w:tc>
              <w:tc>
                <w:tcPr>
                  <w:tcW w:w="1726" w:type="dxa"/>
                  <w:vMerge w:val="restart"/>
                  <w:noWrap w:val="0"/>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0" w:type="dxa"/>
                  <w:noWrap w:val="0"/>
                  <w:vAlign w:val="center"/>
                </w:tcPr>
                <w:p>
                  <w:pPr>
                    <w:snapToGrid w:val="0"/>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4428" w:type="dxa"/>
                  <w:noWrap w:val="0"/>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研究生复试体检</w:t>
                  </w:r>
                </w:p>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（体检时间暂定于202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年3月—4月</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根据疫情情况安排</w:t>
                  </w:r>
                  <w:r>
                    <w:rPr>
                      <w:rFonts w:hint="eastAsia" w:ascii="宋体" w:hAnsi="宋体" w:cs="宋体"/>
                      <w:color w:val="auto"/>
                      <w:sz w:val="22"/>
                      <w:szCs w:val="22"/>
                      <w:highlight w:val="none"/>
                    </w:rPr>
                    <w:t>）</w:t>
                  </w:r>
                </w:p>
              </w:tc>
              <w:tc>
                <w:tcPr>
                  <w:tcW w:w="1759" w:type="dxa"/>
                  <w:noWrap w:val="0"/>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人数约2000人</w:t>
                  </w:r>
                </w:p>
              </w:tc>
              <w:tc>
                <w:tcPr>
                  <w:tcW w:w="1726" w:type="dxa"/>
                  <w:vMerge w:val="continue"/>
                  <w:noWrap w:val="0"/>
                  <w:vAlign w:val="center"/>
                </w:tcPr>
                <w:p>
                  <w:pPr>
                    <w:jc w:val="center"/>
                    <w:rPr>
                      <w:rFonts w:hint="eastAsia" w:ascii="宋体" w:hAnsi="宋体" w:cs="宋体"/>
                      <w:color w:val="auto"/>
                      <w:sz w:val="22"/>
                      <w:szCs w:val="22"/>
                      <w:highlight w:val="none"/>
                    </w:rPr>
                  </w:pPr>
                </w:p>
              </w:tc>
            </w:tr>
          </w:tbl>
          <w:p>
            <w:pPr>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体检项目检查内容</w:t>
            </w:r>
          </w:p>
          <w:p>
            <w:pPr>
              <w:widowControl/>
              <w:numPr>
                <w:ilvl w:val="0"/>
                <w:numId w:val="0"/>
              </w:numPr>
              <w:spacing w:after="240"/>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项目内容及安排计划</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 温州大学本部新生入学体检，人数约8000人（本部5</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00+研究生1</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00+成教</w:t>
            </w:r>
            <w:r>
              <w:rPr>
                <w:rFonts w:hint="eastAsia" w:ascii="宋体" w:hAnsi="宋体" w:cs="宋体"/>
                <w:color w:val="auto"/>
                <w:kern w:val="0"/>
                <w:sz w:val="22"/>
                <w:szCs w:val="22"/>
                <w:highlight w:val="none"/>
                <w:lang w:val="en-US" w:eastAsia="zh-CN" w:bidi="ar"/>
              </w:rPr>
              <w:t>8</w:t>
            </w:r>
            <w:r>
              <w:rPr>
                <w:rFonts w:hint="eastAsia" w:ascii="宋体" w:hAnsi="宋体" w:cs="宋体"/>
                <w:color w:val="auto"/>
                <w:kern w:val="0"/>
                <w:sz w:val="22"/>
                <w:szCs w:val="22"/>
                <w:highlight w:val="none"/>
                <w:lang w:bidi="ar"/>
              </w:rPr>
              <w:t>00），体检时间暂定于</w:t>
            </w: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年9月</w:t>
            </w:r>
            <w:r>
              <w:rPr>
                <w:rFonts w:hint="eastAsia" w:ascii="宋体" w:hAnsi="宋体" w:cs="宋体"/>
                <w:color w:val="auto"/>
                <w:sz w:val="22"/>
                <w:szCs w:val="22"/>
                <w:highlight w:val="none"/>
                <w:lang w:val="en-US" w:eastAsia="zh-CN"/>
              </w:rPr>
              <w:t>7-12、17、18、24、25（具体根据学校的要求调整，安排周末为主）</w:t>
            </w:r>
            <w:r>
              <w:rPr>
                <w:rFonts w:hint="eastAsia" w:ascii="宋体" w:hAnsi="宋体" w:cs="宋体"/>
                <w:color w:val="auto"/>
                <w:kern w:val="0"/>
                <w:sz w:val="22"/>
                <w:szCs w:val="22"/>
                <w:highlight w:val="none"/>
                <w:lang w:bidi="ar"/>
              </w:rPr>
              <w:t>温州大学2022年研究生复试体检，人数约2000人，体检时间暂定于202</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年3月—4月。</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二、体检项目检查内容及目标（临床意义）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 内科：一般情况（身高、体重、发育、营养）、肺部、心脏、腹部: 内科 物理学方法了解相关脏器的基本情况，寻找疾病有关线索，初步筛查常见病。</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 外科：皮肤、甲状腺、浅表淋巴结、外周血管、脊柱、四肢、关节、其他</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 五官科：咽喉、扁桃体、鼻及鼻翼疾病、耳疾、其他</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屈光不正等常见眼部疾患。</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 身高、体重、血压、辨色（个别专业）、嗅觉（个别专业）： 通过人体基础数据，为其他相关疾病诊断提供重要依据，如高血压病诊断等。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 胸部DR检查：用于两肺、心脏、膈肌的常规检查，如：肺结核、肺炎、肺肿瘤、肺脓肿、气胸、胸腔</w:t>
            </w:r>
            <w:r>
              <w:rPr>
                <w:rFonts w:hint="eastAsia" w:ascii="宋体" w:hAnsi="宋体" w:eastAsia="宋体" w:cs="宋体"/>
                <w:color w:val="auto"/>
                <w:kern w:val="0"/>
                <w:sz w:val="22"/>
                <w:szCs w:val="22"/>
                <w:highlight w:val="none"/>
                <w:lang w:bidi="ar"/>
              </w:rPr>
              <w:t>积液、先心病、风心病、膈肌膨隆等。</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7. 肝功（丙氨酸氨基转移酶）:用于了解肝脏功能情况，是否肝脏功能损害。</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8. 肾功能（尿素氮</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尿酸</w:t>
            </w:r>
            <w:r>
              <w:rPr>
                <w:rFonts w:hint="eastAsia" w:ascii="宋体" w:hAnsi="宋体" w:eastAsia="宋体" w:cs="宋体"/>
                <w:color w:val="auto"/>
                <w:kern w:val="0"/>
                <w:sz w:val="22"/>
                <w:szCs w:val="22"/>
                <w:highlight w:val="none"/>
                <w:lang w:bidi="ar"/>
              </w:rPr>
              <w:t>）: 是诊断肾病、尿毒症、肾功能衰竭等疾病的重要指标。</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三、技术要求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 肺部X线检查需用DR机器并且要求上门现场进行检测。</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2. </w:t>
            </w:r>
            <w:r>
              <w:rPr>
                <w:rFonts w:hint="eastAsia" w:ascii="宋体" w:hAnsi="宋体" w:cs="宋体"/>
                <w:color w:val="auto"/>
                <w:kern w:val="0"/>
                <w:sz w:val="22"/>
                <w:szCs w:val="22"/>
                <w:highlight w:val="none"/>
                <w:lang w:val="en-US" w:eastAsia="zh-CN" w:bidi="ar"/>
              </w:rPr>
              <w:t>体检</w:t>
            </w:r>
            <w:r>
              <w:rPr>
                <w:rFonts w:hint="eastAsia" w:ascii="宋体" w:hAnsi="宋体" w:cs="宋体"/>
                <w:color w:val="auto"/>
                <w:kern w:val="0"/>
                <w:sz w:val="22"/>
                <w:szCs w:val="22"/>
                <w:highlight w:val="none"/>
                <w:lang w:bidi="ar"/>
              </w:rPr>
              <w:t>要求每天完成1</w:t>
            </w: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00-1</w:t>
            </w: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00人次的体检</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 有心律不齐（呼吸性窦性心律不齐可除外）者应给予心电图检查。</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 体检异常结果实行信息化管理； 所有异常情况信息汇总时需含有学院、班级、姓名、学号等学生个人信息。</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 体检异常结果在体检日翌日汇总至校医务室。</w:t>
            </w:r>
          </w:p>
          <w:p>
            <w:pPr>
              <w:widowControl/>
              <w:spacing w:after="240"/>
              <w:jc w:val="left"/>
              <w:rPr>
                <w:rFonts w:hint="eastAsia" w:ascii="宋体" w:hAnsi="宋体" w:cs="宋体"/>
                <w:b/>
                <w:bCs/>
                <w:color w:val="auto"/>
                <w:spacing w:val="-6"/>
                <w:sz w:val="22"/>
                <w:szCs w:val="22"/>
                <w:highlight w:val="none"/>
              </w:rPr>
            </w:pPr>
            <w:r>
              <w:rPr>
                <w:rFonts w:hint="eastAsia" w:ascii="宋体" w:hAnsi="宋体" w:cs="宋体"/>
                <w:color w:val="auto"/>
                <w:kern w:val="0"/>
                <w:sz w:val="22"/>
                <w:szCs w:val="22"/>
                <w:highlight w:val="none"/>
                <w:lang w:bidi="ar"/>
              </w:rPr>
              <w:t>6.建议使用电子信息化体检档案，在体检时使用供体检的软件和设备，完成学生体检全过程。</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四、参与体检医务人员要求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 资质要求：放射科医师需具有中级及以上影像专业职称资质；内科、外科、五官科医师具有相应专业执业医师证，各专业每日至少有一名中级及以上职称专业人员；采血、测量血压、视力等护士要操作熟练。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 每日参与体检人数要求：根据学校每日安排的体检学生数量，体检单位要合理安排各岗位医生、护士人数，一般情况下内科医师每人每日体检人数不得超过250人，五官科医师每人每日体检人数不得超过300人，其他岗位人员酌情合理安排。</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五、体检时间与场地安排</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 体检时间：由温州大学医务室和学生处、学院沟通协商后，体检单位在体检前一周以学院班级为单位分时分段安排，尽力满足学院班级时间调整。体检时间安排及体检注意事项提前3-5天发交付校医务室，医务室协调将其放在校园网上。</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 体检场地：学校提供体检场所，体检单位上门服务，桌椅自带或医务室帮助借用，桌椅搬运费、场所布置、保洁、医疗垃圾处置等由体检单位负责。</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六、体检流程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 医疗机构提供体检表格，以班级为单位统一收发体检表。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 体检当日根据体检时间段提前10-20分钟</w:t>
            </w:r>
            <w:r>
              <w:rPr>
                <w:rFonts w:hint="eastAsia" w:ascii="宋体" w:hAnsi="宋体" w:cs="宋体"/>
                <w:color w:val="auto"/>
                <w:kern w:val="0"/>
                <w:sz w:val="22"/>
                <w:szCs w:val="22"/>
                <w:highlight w:val="none"/>
                <w:lang w:val="en-US" w:eastAsia="zh-CN" w:bidi="ar"/>
              </w:rPr>
              <w:t>采购学生相关数据</w:t>
            </w:r>
            <w:r>
              <w:rPr>
                <w:rFonts w:hint="eastAsia" w:ascii="宋体" w:hAnsi="宋体" w:cs="宋体"/>
                <w:color w:val="auto"/>
                <w:kern w:val="0"/>
                <w:sz w:val="22"/>
                <w:szCs w:val="22"/>
                <w:highlight w:val="none"/>
                <w:lang w:bidi="ar"/>
              </w:rPr>
              <w:t>，所有项目体检完毕后以班级为单位收体检</w:t>
            </w:r>
            <w:r>
              <w:rPr>
                <w:rFonts w:hint="eastAsia" w:ascii="宋体" w:hAnsi="宋体" w:cs="宋体"/>
                <w:color w:val="auto"/>
                <w:kern w:val="0"/>
                <w:sz w:val="22"/>
                <w:szCs w:val="22"/>
                <w:highlight w:val="none"/>
                <w:lang w:val="en-US" w:eastAsia="zh-CN" w:bidi="ar"/>
              </w:rPr>
              <w:t>材料</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 体检中发现有影响正常生活、军训、学习的疑似传染病、其他疾病以及需要进一步检查者，要立即反馈校医务室；由体检医生当面给学生开具书面告知或处置意见书，并于当日体检结束后将此类信息</w:t>
            </w:r>
            <w:r>
              <w:rPr>
                <w:rFonts w:hint="eastAsia" w:ascii="宋体" w:hAnsi="宋体" w:cs="宋体"/>
                <w:color w:val="auto"/>
                <w:kern w:val="0"/>
                <w:sz w:val="22"/>
                <w:szCs w:val="22"/>
                <w:highlight w:val="none"/>
                <w:lang w:val="en-US" w:eastAsia="zh-CN" w:bidi="ar"/>
              </w:rPr>
              <w:t>以文档形式</w:t>
            </w:r>
            <w:r>
              <w:rPr>
                <w:rFonts w:hint="eastAsia" w:ascii="宋体" w:hAnsi="宋体" w:cs="宋体"/>
                <w:color w:val="auto"/>
                <w:kern w:val="0"/>
                <w:sz w:val="22"/>
                <w:szCs w:val="22"/>
                <w:highlight w:val="none"/>
                <w:lang w:bidi="ar"/>
              </w:rPr>
              <w:t>汇总至校医务室。</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 体检后两天内需要将化验异常结果的信息汇总至校医务室。</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 合理安排需要复检学生的复检。</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 体检结束后10个工作日内将体检档案和体检结果汇总信息交付校医务室。（补检和复检的在补检之日起10个工作日内）。</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 肺部DR检查影像资料需保留至少12个月，方便查询、比对。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七、报价与结算要求                                                                       1.新生体检单价不能超过浙江省物价局、财政厅、浙价费（2014）49号文件规定的招生体检费每人每次60元。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 按照中标单价检查实际人数计算，完成新生体检、研究生复试体检等阶段性任务，可以分期结算。</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八、其他要求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 医疗机构需提供紧急预案（设备意外故障、人员不能到岗等）。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2.不能将体检数据外泄。</w:t>
            </w:r>
          </w:p>
        </w:tc>
      </w:tr>
    </w:tbl>
    <w:p>
      <w:pPr>
        <w:snapToGrid w:val="0"/>
        <w:spacing w:line="360" w:lineRule="exact"/>
        <w:rPr>
          <w:rFonts w:hint="eastAsia" w:ascii="宋体" w:hAnsi="宋体" w:cs="宋体"/>
          <w:b/>
          <w:bCs/>
          <w:color w:val="auto"/>
          <w:spacing w:val="-6"/>
          <w:sz w:val="22"/>
          <w:szCs w:val="22"/>
          <w:highlight w:val="none"/>
        </w:rPr>
      </w:pPr>
    </w:p>
    <w:p>
      <w:pPr>
        <w:numPr>
          <w:ilvl w:val="0"/>
          <w:numId w:val="2"/>
        </w:numPr>
        <w:snapToGrid w:val="0"/>
        <w:spacing w:line="360" w:lineRule="exact"/>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其他</w:t>
      </w:r>
    </w:p>
    <w:p>
      <w:pPr>
        <w:spacing w:line="360" w:lineRule="exact"/>
        <w:ind w:firstLine="313" w:firstLineChars="15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1、标“▲且加下划线”的有关技术和商务要求为实质性条款，响应方必须做出实质性响应</w:t>
      </w:r>
      <w:r>
        <w:rPr>
          <w:rFonts w:hint="eastAsia" w:ascii="宋体" w:hAnsi="宋体" w:cs="宋体"/>
          <w:b/>
          <w:bCs/>
          <w:color w:val="auto"/>
          <w:spacing w:val="-6"/>
          <w:sz w:val="22"/>
          <w:szCs w:val="22"/>
          <w:highlight w:val="none"/>
        </w:rPr>
        <w:t>，否则视为无效响应文件。</w:t>
      </w:r>
      <w:r>
        <w:rPr>
          <w:rFonts w:hint="eastAsia" w:ascii="宋体" w:hAnsi="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color w:val="auto"/>
          <w:kern w:val="0"/>
          <w:sz w:val="22"/>
          <w:szCs w:val="22"/>
          <w:highlight w:val="none"/>
        </w:rPr>
      </w:pPr>
      <w:r>
        <w:rPr>
          <w:rFonts w:hint="eastAsia" w:ascii="宋体" w:hAnsi="宋体" w:cs="宋体"/>
          <w:b/>
          <w:color w:val="auto"/>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auto"/>
          <w:kern w:val="0"/>
          <w:sz w:val="22"/>
          <w:szCs w:val="22"/>
          <w:highlight w:val="none"/>
        </w:rPr>
        <w:t>。</w:t>
      </w:r>
    </w:p>
    <w:p>
      <w:pPr>
        <w:snapToGrid w:val="0"/>
        <w:spacing w:line="360" w:lineRule="exact"/>
        <w:ind w:firstLine="418" w:firstLineChars="200"/>
        <w:jc w:val="left"/>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3.如技术部分中未特别注明需执行的国家相关标准、行业标准、地方标准或者其他标准、规范，则统一执行最新标准、规范。</w:t>
      </w:r>
    </w:p>
    <w:p>
      <w:pPr>
        <w:adjustRightInd w:val="0"/>
        <w:snapToGrid w:val="0"/>
        <w:spacing w:before="120" w:beforeLines="50" w:after="120" w:afterLines="50" w:line="360" w:lineRule="auto"/>
        <w:outlineLvl w:val="0"/>
        <w:rPr>
          <w:rFonts w:hint="eastAsia" w:ascii="宋体" w:hAnsi="宋体" w:cs="宋体"/>
          <w:b/>
          <w:color w:val="auto"/>
          <w:sz w:val="30"/>
          <w:szCs w:val="30"/>
          <w:highlight w:val="none"/>
        </w:rPr>
      </w:pPr>
    </w:p>
    <w:p>
      <w:pPr>
        <w:adjustRightInd w:val="0"/>
        <w:snapToGrid w:val="0"/>
        <w:spacing w:before="120" w:beforeLines="50" w:after="120" w:afterLines="50" w:line="360" w:lineRule="auto"/>
        <w:jc w:val="center"/>
        <w:outlineLvl w:val="0"/>
        <w:rPr>
          <w:rFonts w:hint="eastAsia" w:ascii="宋体" w:hAnsi="宋体" w:cs="宋体"/>
          <w:b/>
          <w:color w:val="auto"/>
          <w:sz w:val="30"/>
          <w:szCs w:val="30"/>
          <w:highlight w:val="none"/>
        </w:rPr>
      </w:pPr>
    </w:p>
    <w:p>
      <w:pPr>
        <w:adjustRightInd w:val="0"/>
        <w:snapToGrid w:val="0"/>
        <w:spacing w:before="120" w:beforeLines="50" w:after="120" w:afterLines="50" w:line="360" w:lineRule="auto"/>
        <w:jc w:val="center"/>
        <w:outlineLvl w:val="0"/>
        <w:rPr>
          <w:rFonts w:hint="eastAsia" w:ascii="宋体" w:hAnsi="宋体" w:cs="宋体"/>
          <w:b/>
          <w:color w:val="auto"/>
          <w:sz w:val="30"/>
          <w:szCs w:val="30"/>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3951C00E"/>
    <w:multiLevelType w:val="singleLevel"/>
    <w:tmpl w:val="3951C00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ZDZkNDc1Yzg5ZjQ2NWEzMDlmNTdkMDVlOWRjM2UifQ=="/>
  </w:docVars>
  <w:rsids>
    <w:rsidRoot w:val="00000000"/>
    <w:rsid w:val="7183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2022-07-04T02:22:04Z</dcterms:created>
  <dc:creator>乐诚</dc:creator>
  <cp:lastModifiedBy>博文</cp:lastModifiedBy>
  <dcterms:modified xsi:type="dcterms:W3CDTF">2022-07-04T02:22:26Z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DAB38658D10D41A1903E4B7A221E3C86</vt:lpwstr>
  </property>
</Properties>
</file>