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采购需求</w:t>
      </w:r>
    </w:p>
    <w:p>
      <w:pPr>
        <w:snapToGrid w:val="0"/>
        <w:spacing w:line="340" w:lineRule="exact"/>
        <w:rPr>
          <w:rFonts w:hint="eastAsia" w:ascii="宋体" w:hAnsi="宋体" w:cs="宋体"/>
          <w:b/>
          <w:bCs/>
          <w:color w:val="auto"/>
          <w:spacing w:val="-6"/>
          <w:sz w:val="22"/>
          <w:szCs w:val="22"/>
          <w:highlight w:val="none"/>
        </w:rPr>
      </w:pPr>
      <w:bookmarkStart w:id="0" w:name="_Toc479839540"/>
      <w:r>
        <w:rPr>
          <w:rFonts w:hint="eastAsia" w:ascii="宋体" w:hAnsi="宋体" w:cs="宋体"/>
          <w:b/>
          <w:bCs/>
          <w:color w:val="auto"/>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4107"/>
        <w:gridCol w:w="987"/>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41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987"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4107"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温州肯恩大学游泳馆投用购买管理服务</w:t>
            </w:r>
          </w:p>
        </w:tc>
        <w:tc>
          <w:tcPr>
            <w:tcW w:w="9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1年</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490000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5"/>
        <w:tblW w:w="92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8"/>
        <w:gridCol w:w="81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支付方式</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w:t>
            </w:r>
            <w:r>
              <w:rPr>
                <w:rFonts w:hint="eastAsia" w:ascii="宋体" w:hAnsi="宋体" w:cs="宋体"/>
                <w:snapToGrid w:val="0"/>
                <w:color w:val="auto"/>
                <w:sz w:val="22"/>
                <w:szCs w:val="22"/>
                <w:highlight w:val="none"/>
                <w:u w:val="single"/>
              </w:rPr>
              <w:t>服务费支付：</w:t>
            </w:r>
            <w:r>
              <w:rPr>
                <w:rFonts w:hint="eastAsia" w:ascii="宋体" w:hAnsi="宋体" w:cs="宋体"/>
                <w:color w:val="auto"/>
                <w:sz w:val="22"/>
                <w:szCs w:val="22"/>
                <w:highlight w:val="none"/>
                <w:u w:val="single"/>
              </w:rPr>
              <w:t>费用支付方式采购人分4次付款（</w:t>
            </w:r>
            <w:r>
              <w:rPr>
                <w:rFonts w:hint="eastAsia" w:ascii="宋体" w:hAnsi="宋体" w:cs="宋体"/>
                <w:snapToGrid w:val="0"/>
                <w:color w:val="auto"/>
                <w:sz w:val="22"/>
                <w:szCs w:val="22"/>
                <w:highlight w:val="none"/>
                <w:u w:val="single"/>
              </w:rPr>
              <w:t>按季度进行支付），先服务后支付，合同生效以及具备实施条件后7个工作日内采购人将合同金额的20%预付款给中标供应商，</w:t>
            </w:r>
            <w:r>
              <w:rPr>
                <w:rFonts w:hint="eastAsia" w:ascii="宋体" w:hAnsi="宋体" w:cs="宋体"/>
                <w:color w:val="auto"/>
                <w:sz w:val="22"/>
                <w:highlight w:val="none"/>
                <w:u w:val="single"/>
              </w:rPr>
              <w:t>下一季度首月根据上季度月考核结果按实支付季度服务费（月考核及格的该月服务费计入季度服务费）（预付款在第二次付款时扣回），最后一季度为服务期结束后支付</w:t>
            </w:r>
            <w:r>
              <w:rPr>
                <w:rFonts w:hint="eastAsia" w:ascii="宋体" w:hAnsi="宋体" w:cs="宋体"/>
                <w:color w:val="auto"/>
                <w:sz w:val="22"/>
                <w:szCs w:val="22"/>
                <w:highlight w:val="none"/>
                <w:u w:val="single"/>
              </w:rPr>
              <w:t>。</w:t>
            </w:r>
          </w:p>
          <w:p>
            <w:pPr>
              <w:pStyle w:val="3"/>
              <w:spacing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注：1.在签订合同时，供应商明确表示主动要求降低预付款比例的，按实际比例计；供应商明确表示无需预付款的，在每年服务期满中标供应商完成该年度全部服务并通过采购人验收后按实支付该合同全款。采购单位对于满足合同约定支付条件的，自收到相应金额的发票后7个工作日内将资金支付到合同约定的中标供应商账户。</w:t>
            </w:r>
          </w:p>
          <w:p>
            <w:pPr>
              <w:pStyle w:val="3"/>
              <w:spacing w:line="360" w:lineRule="exact"/>
              <w:rPr>
                <w:rFonts w:hint="eastAsia" w:ascii="宋体" w:hAnsi="宋体" w:cs="宋体"/>
                <w:color w:val="auto"/>
                <w:sz w:val="22"/>
                <w:szCs w:val="22"/>
                <w:highlight w:val="none"/>
                <w:u w:val="single"/>
              </w:rPr>
            </w:pPr>
            <w:r>
              <w:rPr>
                <w:rFonts w:hint="eastAsia" w:ascii="宋体" w:hAnsi="宋体" w:cs="宋体"/>
                <w:b/>
                <w:bCs/>
                <w:color w:val="auto"/>
                <w:sz w:val="22"/>
                <w:szCs w:val="22"/>
                <w:highlight w:val="none"/>
              </w:rPr>
              <w:t>2.以上所指的具备实施条件系指游泳馆所有证件办理齐全、人员至少达到采购需求中的最低要求、拥有基本安全保洁等泳池制度、设施设备达到泳池开放使用要求。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履约保证金</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合同签订后7个工作日内，中标供应商以银行转账/转帐支票/银行汇票/银行、保险公司出具的保函形式向采购人提供合同金额1%的履约保证金。履约保证金用于中标供应商在履行本合同过程中发生违约行为应支付采购人的违约金、赔偿金等费用。如无任何问题，采购人将在中标供应商履行完毕本项目合同全部义务（项目验收合格）</w:t>
            </w:r>
            <w:r>
              <w:rPr>
                <w:rFonts w:hint="eastAsia"/>
                <w:color w:val="auto"/>
                <w:highlight w:val="none"/>
                <w:u w:val="single"/>
              </w:rPr>
              <w:t>，中标供应商申请履约金退还</w:t>
            </w:r>
            <w:r>
              <w:rPr>
                <w:rFonts w:hint="eastAsia" w:ascii="宋体" w:hAnsi="宋体" w:cs="宋体"/>
                <w:color w:val="auto"/>
                <w:sz w:val="22"/>
                <w:szCs w:val="22"/>
                <w:highlight w:val="none"/>
                <w:u w:val="single"/>
              </w:rPr>
              <w:t>之日起7个工作日内无息退还给中标供应商。逾期退还的，自逾期之日起，向中标供应商每日偿付履约保证金金额0.05%的违约金，双方协商的除外。（保函应满足以下几个条件：①为无条件保函：即在中标供应商没有实施合同或者未履行合同义务时，采购人不需要出具任何证明和理由，若中标供应商违约，采购人无需通知中标供应商，即可单方对保函进行收兑；②保函期限：自本合同生效之日起至合同履约完毕之日止；③如果由于服务期延误或银行、保险公司要求分期出具保函的，则在前一份保函有效期届满之日起2个月前必须重新出具相同内容的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服务期</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pStyle w:val="7"/>
              <w:tabs>
                <w:tab w:val="left" w:pos="680"/>
              </w:tabs>
              <w:adjustRightInd w:val="0"/>
              <w:snapToGrid w:val="0"/>
              <w:spacing w:line="360" w:lineRule="exact"/>
              <w:ind w:firstLine="0" w:firstLineChars="0"/>
              <w:rPr>
                <w:rFonts w:hint="eastAsia" w:ascii="宋体" w:hAnsi="宋体" w:cs="宋体"/>
                <w:bCs/>
                <w:color w:val="auto"/>
                <w:sz w:val="22"/>
                <w:highlight w:val="none"/>
              </w:rPr>
            </w:pPr>
            <w:r>
              <w:rPr>
                <w:rFonts w:hint="eastAsia" w:ascii="宋体" w:hAnsi="宋体" w:cs="宋体"/>
                <w:color w:val="auto"/>
                <w:sz w:val="22"/>
                <w:highlight w:val="none"/>
              </w:rPr>
              <w:t>合同签订之日起一年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服务地点</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验收标准</w:t>
            </w:r>
          </w:p>
        </w:tc>
        <w:tc>
          <w:tcPr>
            <w:tcW w:w="814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宋体" w:hAnsi="宋体" w:cs="宋体"/>
                <w:bCs/>
                <w:color w:val="auto"/>
                <w:sz w:val="22"/>
                <w:szCs w:val="22"/>
                <w:highlight w:val="none"/>
              </w:rPr>
            </w:pPr>
            <w:r>
              <w:rPr>
                <w:rFonts w:hint="eastAsia"/>
                <w:color w:val="auto"/>
                <w:highlight w:val="none"/>
              </w:rPr>
              <w:t>根据温州肯恩大学验收标准进行验收，</w:t>
            </w:r>
            <w:r>
              <w:rPr>
                <w:rFonts w:hint="eastAsia" w:ascii="宋体" w:hAnsi="宋体" w:cs="宋体"/>
                <w:bCs/>
                <w:color w:val="auto"/>
                <w:sz w:val="22"/>
                <w:szCs w:val="22"/>
                <w:highlight w:val="none"/>
              </w:rPr>
              <w:t>对服务期内的服务实施情况进行的考核（详见考核标准）作为验收依据。中标供应商承担验收相关的所有费用。</w:t>
            </w:r>
          </w:p>
        </w:tc>
      </w:tr>
    </w:tbl>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三、技术要求</w:t>
      </w:r>
    </w:p>
    <w:p>
      <w:pPr>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（一）游泳馆基本情况</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温州肯恩大学游泳馆泳池建筑面积为375㎡，为长25米、宽15米6道泳池，水深范围1.2米-1.5米。泳池配备恒温恒湿设备，水质处理系统及室外空气源热泵加热系统。</w:t>
      </w:r>
    </w:p>
    <w:p>
      <w:pPr>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（二）需管理的设备及设施</w:t>
      </w:r>
    </w:p>
    <w:p>
      <w:pPr>
        <w:spacing w:line="36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温州肯恩大学游泳馆将配备泳池运行基本设施、安全防护、安全救生及卫生救护物资，清单如下：</w:t>
      </w:r>
    </w:p>
    <w:tbl>
      <w:tblPr>
        <w:tblStyle w:val="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83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top"/>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设施设备种类</w:t>
            </w:r>
          </w:p>
        </w:tc>
        <w:tc>
          <w:tcPr>
            <w:tcW w:w="1833" w:type="dxa"/>
            <w:noWrap w:val="0"/>
            <w:vAlign w:val="top"/>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项目</w:t>
            </w:r>
          </w:p>
        </w:tc>
        <w:tc>
          <w:tcPr>
            <w:tcW w:w="6117" w:type="dxa"/>
            <w:noWrap w:val="0"/>
            <w:vAlign w:val="top"/>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安全防护</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游泳馆防滑垫</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防滑垫采用30cm*30cm规格，灰色，共620平，含男女更衣室、泳池通道、及泳池区域。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泳池循环水泵</w:t>
            </w:r>
          </w:p>
        </w:tc>
        <w:tc>
          <w:tcPr>
            <w:tcW w:w="61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3个，型号为ALB-750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泳池过滤沙缸</w:t>
            </w:r>
          </w:p>
        </w:tc>
        <w:tc>
          <w:tcPr>
            <w:tcW w:w="61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2个，型号为Q1400侧出沙缸（不含多项阀）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泳池三集一体恒温除湿热泵</w:t>
            </w:r>
          </w:p>
        </w:tc>
        <w:tc>
          <w:tcPr>
            <w:tcW w:w="61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型号为PASPW080S-G ，1个，室外配备泳池恒温热泵PASRW250S-V-P共4个，空气源热泵PASHW100S-XB共2个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泳池恒温水泵</w:t>
            </w:r>
          </w:p>
        </w:tc>
        <w:tc>
          <w:tcPr>
            <w:tcW w:w="61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3个，型号为AB-750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泳道线</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（25米长）6个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绕线车</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（25米长）3个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运行基本设备</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泳池躺椅</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安全救生</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救生椅子</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安全救生</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救生圈</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安全救生</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救生杆</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安全救生</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救生板</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安全救生</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头部固定器</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安全救生</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颈托</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卫生救护</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水质监测仪</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1个，型号为AUT-1000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卫生救护</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投药泵</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1套，型号为AC-20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卫生救护</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臭氧消毒系统</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臭氧发生器QHW-80N共1个，臭氧反应缸HO 1400共1个，臭氧增压泵SS 160-20共1个，2寸标配臭氧射流器共1个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卫生救护</w:t>
            </w:r>
          </w:p>
        </w:tc>
        <w:tc>
          <w:tcPr>
            <w:tcW w:w="1833"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医疗箱</w:t>
            </w:r>
          </w:p>
        </w:tc>
        <w:tc>
          <w:tcPr>
            <w:tcW w:w="6117" w:type="dxa"/>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1个</w:t>
            </w:r>
          </w:p>
        </w:tc>
      </w:tr>
    </w:tbl>
    <w:p>
      <w:pPr>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（三）预计开放规模</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温州肯恩大学游泳馆现阶段仅面向校内师生开放，主要用于满足校内师生体育教学、校内游泳赛事、丰富课余游泳健身氛围，预计全年体育教学不少于2000人次，校内课余游泳健身不少于30000人次。</w:t>
      </w:r>
    </w:p>
    <w:p>
      <w:pPr>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（四）委托管理的区域</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供应商负责管理的场地区域为图中由红色标线框出的游泳馆、附属管理用房及过道，其中内含1个25米*15米泳池及周边区域、1间女更衣室（含女更衣室、女淋浴、女卫生间、女无障碍卫生间）、1间男更衣室（含男更衣室、男淋浴、男卫生间、男无障碍卫生间）、1间休息室、1片游泳池前台、2片采光庭院、1间泳池设备房、1间管理室、1间广播室、1间器材室，及过道楼梯等区域。</w:t>
      </w:r>
    </w:p>
    <w:p>
      <w:pPr>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drawing>
          <wp:inline distT="0" distB="0" distL="114300" distR="114300">
            <wp:extent cx="2736850" cy="3200400"/>
            <wp:effectExtent l="0" t="0" r="6350" b="0"/>
            <wp:docPr id="1" name="图片 1" descr="D:\温肯\WKU体育管理岗工作 (2022.6.12 晚)\游泳馆\游泳馆购买管理服务\泳池第三方管理区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温肯\WKU体育管理岗工作 (2022.6.12 晚)\游泳馆\游泳馆购买管理服务\泳池第三方管理区域.png"/>
                    <pic:cNvPicPr>
                      <a:picLocks noChangeAspect="1"/>
                    </pic:cNvPicPr>
                  </pic:nvPicPr>
                  <pic:blipFill>
                    <a:blip r:embed="rId4"/>
                    <a:stretch>
                      <a:fillRect/>
                    </a:stretch>
                  </pic:blipFill>
                  <pic:spPr>
                    <a:xfrm>
                      <a:off x="0" y="0"/>
                      <a:ext cx="2736850" cy="3200400"/>
                    </a:xfrm>
                    <a:prstGeom prst="rect">
                      <a:avLst/>
                    </a:prstGeom>
                    <a:noFill/>
                    <a:ln>
                      <a:noFill/>
                    </a:ln>
                  </pic:spPr>
                </pic:pic>
              </a:graphicData>
            </a:graphic>
          </wp:inline>
        </w:drawing>
      </w:r>
    </w:p>
    <w:p>
      <w:pPr>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（五）日常维护的要求</w:t>
      </w:r>
    </w:p>
    <w:p>
      <w:pPr>
        <w:spacing w:line="360" w:lineRule="exact"/>
        <w:ind w:firstLine="416" w:firstLineChars="200"/>
        <w:jc w:val="left"/>
        <w:rPr>
          <w:rFonts w:hint="eastAsia" w:ascii="宋体" w:hAnsi="宋体" w:cs="宋体"/>
          <w:color w:val="auto"/>
          <w:sz w:val="22"/>
          <w:szCs w:val="22"/>
          <w:highlight w:val="none"/>
          <w:u w:val="single"/>
        </w:rPr>
      </w:pPr>
      <w:r>
        <w:rPr>
          <w:rFonts w:hint="eastAsia" w:ascii="宋体" w:hAnsi="宋体" w:cs="宋体"/>
          <w:bCs/>
          <w:color w:val="auto"/>
          <w:spacing w:val="-6"/>
          <w:sz w:val="22"/>
          <w:szCs w:val="22"/>
          <w:highlight w:val="none"/>
          <w:u w:val="single"/>
        </w:rPr>
        <w:t>▲1.</w:t>
      </w:r>
      <w:r>
        <w:rPr>
          <w:rFonts w:hint="eastAsia" w:ascii="宋体" w:hAnsi="宋体" w:cs="宋体"/>
          <w:color w:val="auto"/>
          <w:sz w:val="22"/>
          <w:szCs w:val="22"/>
          <w:highlight w:val="none"/>
          <w:u w:val="single"/>
        </w:rPr>
        <w:t>日常定期维护泳池水循环泵、过滤沙缸、恒温泵，每天进行设施设备检查，遵循“运行问题早预防，遇到问题早处理”的原则。</w:t>
      </w:r>
    </w:p>
    <w:p>
      <w:pPr>
        <w:spacing w:line="360" w:lineRule="exact"/>
        <w:ind w:firstLine="416" w:firstLineChars="200"/>
        <w:jc w:val="left"/>
        <w:rPr>
          <w:rFonts w:hint="eastAsia" w:ascii="宋体" w:hAnsi="宋体" w:cs="宋体"/>
          <w:color w:val="auto"/>
          <w:sz w:val="22"/>
          <w:szCs w:val="22"/>
          <w:highlight w:val="none"/>
        </w:rPr>
      </w:pPr>
      <w:r>
        <w:rPr>
          <w:rFonts w:hint="eastAsia" w:ascii="宋体" w:hAnsi="宋体" w:cs="宋体"/>
          <w:bCs/>
          <w:color w:val="auto"/>
          <w:spacing w:val="-6"/>
          <w:sz w:val="22"/>
          <w:szCs w:val="22"/>
          <w:highlight w:val="none"/>
          <w:u w:val="single"/>
        </w:rPr>
        <w:t>▲</w:t>
      </w:r>
      <w:r>
        <w:rPr>
          <w:rFonts w:hint="eastAsia" w:ascii="宋体" w:hAnsi="宋体" w:cs="宋体"/>
          <w:color w:val="auto"/>
          <w:sz w:val="22"/>
          <w:szCs w:val="22"/>
          <w:highlight w:val="none"/>
          <w:u w:val="single"/>
        </w:rPr>
        <w:t>2.供应商利用水质检测仪实时监控水质情况，按照国家标准严格控制水质，每天对游泳池水质检测并记录，每周进行不少于 1 次的水质处理。充分使用臭氧消毒装置及日常消毒药水，坚决杜绝水质浑浊、刺激性氯味、臭氧异味及绿藻等现象的发生。</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3.供应商可使用采购人提供的场馆设施设备，同时需在此基础上，自行采购泳池运行其他泳池相关物资，全面保障泳池安全、卫生和日常管理。</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场地维护方面，供应商需确保责任区域秩序井然、人身财产安全；整体环境清洁卫生，每天无垃圾、无烟头等杂物，地面清爽、无明显污渍水渍。按时对游泳池周围环境和病虫害消杀，定期对墙面进行防潮防霉清洁工作。保洁具体工作至少满足如下要求：</w:t>
      </w:r>
    </w:p>
    <w:tbl>
      <w:tblPr>
        <w:tblStyle w:val="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1400"/>
        <w:gridCol w:w="1400"/>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noWrap/>
            <w:vAlign w:val="bottom"/>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区域</w:t>
            </w:r>
          </w:p>
        </w:tc>
        <w:tc>
          <w:tcPr>
            <w:tcW w:w="1400" w:type="dxa"/>
            <w:noWrap/>
            <w:vAlign w:val="bottom"/>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项目</w:t>
            </w:r>
          </w:p>
        </w:tc>
        <w:tc>
          <w:tcPr>
            <w:tcW w:w="1400" w:type="dxa"/>
            <w:noWrap/>
            <w:vAlign w:val="bottom"/>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频次</w:t>
            </w:r>
          </w:p>
        </w:tc>
        <w:tc>
          <w:tcPr>
            <w:tcW w:w="3601" w:type="dxa"/>
            <w:noWrap/>
            <w:vAlign w:val="bottom"/>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ign w:val="bottom"/>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泳池及周边</w:t>
            </w:r>
          </w:p>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一日两次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至少清除明显垃圾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ign w:val="bottom"/>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预防病菌、病虫等环境污染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ign w:val="bottom"/>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游泳馆过道及楼梯</w:t>
            </w:r>
          </w:p>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一日两次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至少清除明显垃圾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ign w:val="bottom"/>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日常冲洗</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保证地面无异味和明显污渍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ign w:val="bottom"/>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预防病菌、病虫等环境污染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男女更衣室</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一日两次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清除明显垃圾、粉尘、污渍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0"/>
            <w:vAlign w:val="center"/>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预防病菌、病虫等环境污染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0"/>
            <w:vAlign w:val="center"/>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柜子清洁</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保证柜面整洁，柜内无杂物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游泳池前台</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一日两次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清除明显垃圾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0"/>
            <w:vAlign w:val="center"/>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一日一次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预防病菌、病虫等环境污染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0"/>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休息室</w:t>
            </w:r>
          </w:p>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（日常暂时不对师生开放）</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周巡查，保持房间内干净整洁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0"/>
            <w:vAlign w:val="center"/>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定期消毒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管理室</w:t>
            </w:r>
          </w:p>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（日常暂时不对师生开放）</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周巡查，保持房间内干净整洁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ign w:val="center"/>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定期消毒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restart"/>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广播室</w:t>
            </w:r>
          </w:p>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（日常暂时不对师生开放）</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周巡查，保持房间内干净整洁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vMerge w:val="continue"/>
            <w:noWrap/>
            <w:vAlign w:val="center"/>
          </w:tcPr>
          <w:p>
            <w:pPr>
              <w:spacing w:line="360" w:lineRule="exact"/>
              <w:jc w:val="center"/>
              <w:rPr>
                <w:rFonts w:hint="eastAsia" w:ascii="宋体" w:hAnsi="宋体" w:cs="宋体"/>
                <w:bCs/>
                <w:color w:val="auto"/>
                <w:sz w:val="22"/>
                <w:szCs w:val="22"/>
                <w:highlight w:val="none"/>
              </w:rPr>
            </w:pP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定期消毒</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预防环境污染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采光庭院</w:t>
            </w:r>
          </w:p>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（日常暂时不对师生开放）</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垃圾清理</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一周一次</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周巡查，保持区域内干净整洁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器材室</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1400"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3601"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采购人按需要求供应商清洁打扫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3" w:type="dxa"/>
            <w:noWrap/>
            <w:vAlign w:val="center"/>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泳池设备房</w:t>
            </w:r>
          </w:p>
        </w:tc>
        <w:tc>
          <w:tcPr>
            <w:tcW w:w="1400" w:type="dxa"/>
            <w:noWrap/>
            <w:vAlign w:val="bottom"/>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1400" w:type="dxa"/>
            <w:noWrap/>
            <w:vAlign w:val="bottom"/>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3601" w:type="dxa"/>
            <w:noWrap/>
            <w:vAlign w:val="bottom"/>
          </w:tcPr>
          <w:p>
            <w:pPr>
              <w:spacing w:line="36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采购人按需要求供应商清洁打扫</w:t>
            </w:r>
          </w:p>
        </w:tc>
      </w:tr>
    </w:tbl>
    <w:p>
      <w:pPr>
        <w:spacing w:line="360" w:lineRule="exact"/>
        <w:ind w:firstLine="416" w:firstLineChars="200"/>
        <w:jc w:val="left"/>
        <w:rPr>
          <w:rFonts w:hint="eastAsia" w:ascii="宋体" w:hAnsi="宋体" w:cs="宋体"/>
          <w:b/>
          <w:color w:val="auto"/>
          <w:sz w:val="22"/>
          <w:szCs w:val="22"/>
          <w:highlight w:val="none"/>
          <w:u w:val="single"/>
        </w:rPr>
      </w:pPr>
      <w:r>
        <w:rPr>
          <w:rFonts w:hint="eastAsia" w:ascii="宋体" w:hAnsi="宋体" w:cs="宋体"/>
          <w:bCs/>
          <w:color w:val="auto"/>
          <w:spacing w:val="-6"/>
          <w:sz w:val="22"/>
          <w:szCs w:val="22"/>
          <w:highlight w:val="none"/>
          <w:u w:val="single"/>
        </w:rPr>
        <w:t>▲</w:t>
      </w:r>
      <w:r>
        <w:rPr>
          <w:rFonts w:hint="eastAsia" w:ascii="宋体" w:hAnsi="宋体" w:cs="宋体"/>
          <w:b/>
          <w:color w:val="auto"/>
          <w:sz w:val="22"/>
          <w:szCs w:val="22"/>
          <w:highlight w:val="none"/>
          <w:u w:val="single"/>
        </w:rPr>
        <w:t>（六）相关证件的办理需求</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游泳池需要许可证如下：</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fldChar w:fldCharType="begin"/>
      </w:r>
      <w:r>
        <w:rPr>
          <w:rFonts w:hint="eastAsia" w:ascii="宋体" w:hAnsi="宋体" w:cs="宋体"/>
          <w:color w:val="auto"/>
          <w:sz w:val="22"/>
          <w:szCs w:val="22"/>
          <w:highlight w:val="none"/>
          <w:u w:val="single"/>
        </w:rPr>
        <w:instrText xml:space="preserve"> = 1 \* GB3 </w:instrText>
      </w:r>
      <w:r>
        <w:rPr>
          <w:rFonts w:hint="eastAsia" w:ascii="宋体" w:hAnsi="宋体" w:cs="宋体"/>
          <w:color w:val="auto"/>
          <w:sz w:val="22"/>
          <w:szCs w:val="22"/>
          <w:highlight w:val="none"/>
          <w:u w:val="single"/>
        </w:rPr>
        <w:fldChar w:fldCharType="separate"/>
      </w:r>
      <w:r>
        <w:rPr>
          <w:rFonts w:hint="eastAsia" w:ascii="宋体" w:hAnsi="宋体" w:cs="宋体"/>
          <w:color w:val="auto"/>
          <w:sz w:val="22"/>
          <w:szCs w:val="22"/>
          <w:highlight w:val="none"/>
          <w:u w:val="single"/>
        </w:rPr>
        <w:t>①</w:t>
      </w:r>
      <w:r>
        <w:rPr>
          <w:rFonts w:hint="eastAsia" w:ascii="宋体" w:hAnsi="宋体" w:cs="宋体"/>
          <w:color w:val="auto"/>
          <w:sz w:val="22"/>
          <w:szCs w:val="22"/>
          <w:highlight w:val="none"/>
          <w:u w:val="single"/>
        </w:rPr>
        <w:fldChar w:fldCharType="end"/>
      </w:r>
      <w:r>
        <w:rPr>
          <w:rFonts w:hint="eastAsia" w:ascii="宋体" w:hAnsi="宋体" w:cs="宋体"/>
          <w:color w:val="auto"/>
          <w:sz w:val="22"/>
          <w:szCs w:val="22"/>
          <w:highlight w:val="none"/>
          <w:u w:val="single"/>
        </w:rPr>
        <w:t>工商局颁发的公司或个体的营业执照。</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fldChar w:fldCharType="begin"/>
      </w:r>
      <w:r>
        <w:rPr>
          <w:rFonts w:hint="eastAsia" w:ascii="宋体" w:hAnsi="宋体" w:cs="宋体"/>
          <w:color w:val="auto"/>
          <w:sz w:val="22"/>
          <w:szCs w:val="22"/>
          <w:highlight w:val="none"/>
          <w:u w:val="single"/>
        </w:rPr>
        <w:instrText xml:space="preserve"> = 2 \* GB3 </w:instrText>
      </w:r>
      <w:r>
        <w:rPr>
          <w:rFonts w:hint="eastAsia" w:ascii="宋体" w:hAnsi="宋体" w:cs="宋体"/>
          <w:color w:val="auto"/>
          <w:sz w:val="22"/>
          <w:szCs w:val="22"/>
          <w:highlight w:val="none"/>
          <w:u w:val="single"/>
        </w:rPr>
        <w:fldChar w:fldCharType="separate"/>
      </w:r>
      <w:r>
        <w:rPr>
          <w:rFonts w:hint="eastAsia" w:ascii="宋体" w:hAnsi="宋体" w:cs="宋体"/>
          <w:color w:val="auto"/>
          <w:sz w:val="22"/>
          <w:szCs w:val="22"/>
          <w:highlight w:val="none"/>
          <w:u w:val="single"/>
        </w:rPr>
        <w:t>②</w:t>
      </w:r>
      <w:r>
        <w:rPr>
          <w:rFonts w:hint="eastAsia" w:ascii="宋体" w:hAnsi="宋体" w:cs="宋体"/>
          <w:color w:val="auto"/>
          <w:sz w:val="22"/>
          <w:szCs w:val="22"/>
          <w:highlight w:val="none"/>
          <w:u w:val="single"/>
        </w:rPr>
        <w:fldChar w:fldCharType="end"/>
      </w:r>
      <w:r>
        <w:rPr>
          <w:rFonts w:hint="eastAsia" w:ascii="宋体" w:hAnsi="宋体" w:cs="宋体"/>
          <w:color w:val="auto"/>
          <w:sz w:val="22"/>
          <w:szCs w:val="22"/>
          <w:highlight w:val="none"/>
          <w:u w:val="single"/>
        </w:rPr>
        <w:t>卫生局颁发的卫生许可证（含水质检测报告）。</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fldChar w:fldCharType="begin"/>
      </w:r>
      <w:r>
        <w:rPr>
          <w:rFonts w:hint="eastAsia" w:ascii="宋体" w:hAnsi="宋体" w:cs="宋体"/>
          <w:color w:val="auto"/>
          <w:sz w:val="22"/>
          <w:szCs w:val="22"/>
          <w:highlight w:val="none"/>
          <w:u w:val="single"/>
        </w:rPr>
        <w:instrText xml:space="preserve"> = 3 \* GB3 </w:instrText>
      </w:r>
      <w:r>
        <w:rPr>
          <w:rFonts w:hint="eastAsia" w:ascii="宋体" w:hAnsi="宋体" w:cs="宋体"/>
          <w:color w:val="auto"/>
          <w:sz w:val="22"/>
          <w:szCs w:val="22"/>
          <w:highlight w:val="none"/>
          <w:u w:val="single"/>
        </w:rPr>
        <w:fldChar w:fldCharType="separate"/>
      </w:r>
      <w:r>
        <w:rPr>
          <w:rFonts w:hint="eastAsia" w:ascii="宋体" w:hAnsi="宋体" w:cs="宋体"/>
          <w:color w:val="auto"/>
          <w:sz w:val="22"/>
          <w:szCs w:val="22"/>
          <w:highlight w:val="none"/>
          <w:u w:val="single"/>
        </w:rPr>
        <w:t>③</w:t>
      </w:r>
      <w:r>
        <w:rPr>
          <w:rFonts w:hint="eastAsia" w:ascii="宋体" w:hAnsi="宋体" w:cs="宋体"/>
          <w:color w:val="auto"/>
          <w:sz w:val="22"/>
          <w:szCs w:val="22"/>
          <w:highlight w:val="none"/>
          <w:u w:val="single"/>
        </w:rPr>
        <w:fldChar w:fldCharType="end"/>
      </w:r>
      <w:r>
        <w:rPr>
          <w:rFonts w:hint="eastAsia" w:ascii="宋体" w:hAnsi="宋体" w:cs="宋体"/>
          <w:color w:val="auto"/>
          <w:sz w:val="22"/>
          <w:szCs w:val="22"/>
          <w:highlight w:val="none"/>
          <w:u w:val="single"/>
        </w:rPr>
        <w:t>体育局颁发的对外开放证和高危许可证。</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fldChar w:fldCharType="begin"/>
      </w:r>
      <w:r>
        <w:rPr>
          <w:rFonts w:hint="eastAsia" w:ascii="宋体" w:hAnsi="宋体" w:cs="宋体"/>
          <w:color w:val="auto"/>
          <w:sz w:val="22"/>
          <w:szCs w:val="22"/>
          <w:highlight w:val="none"/>
          <w:u w:val="single"/>
        </w:rPr>
        <w:instrText xml:space="preserve"> = 4 \* GB3 </w:instrText>
      </w:r>
      <w:r>
        <w:rPr>
          <w:rFonts w:hint="eastAsia" w:ascii="宋体" w:hAnsi="宋体" w:cs="宋体"/>
          <w:color w:val="auto"/>
          <w:sz w:val="22"/>
          <w:szCs w:val="22"/>
          <w:highlight w:val="none"/>
          <w:u w:val="single"/>
        </w:rPr>
        <w:fldChar w:fldCharType="separate"/>
      </w:r>
      <w:r>
        <w:rPr>
          <w:rFonts w:hint="eastAsia" w:ascii="宋体" w:hAnsi="宋体" w:cs="宋体"/>
          <w:color w:val="auto"/>
          <w:sz w:val="22"/>
          <w:szCs w:val="22"/>
          <w:highlight w:val="none"/>
          <w:u w:val="single"/>
        </w:rPr>
        <w:t>④</w:t>
      </w:r>
      <w:r>
        <w:rPr>
          <w:rFonts w:hint="eastAsia" w:ascii="宋体" w:hAnsi="宋体" w:cs="宋体"/>
          <w:color w:val="auto"/>
          <w:sz w:val="22"/>
          <w:szCs w:val="22"/>
          <w:highlight w:val="none"/>
          <w:u w:val="single"/>
        </w:rPr>
        <w:fldChar w:fldCharType="end"/>
      </w:r>
      <w:r>
        <w:rPr>
          <w:rFonts w:hint="eastAsia" w:ascii="宋体" w:hAnsi="宋体" w:cs="宋体"/>
          <w:color w:val="auto"/>
          <w:sz w:val="22"/>
          <w:szCs w:val="22"/>
          <w:highlight w:val="none"/>
          <w:u w:val="single"/>
        </w:rPr>
        <w:t>室内游泳馆需要获得消防局审批。</w:t>
      </w:r>
    </w:p>
    <w:p>
      <w:pPr>
        <w:spacing w:line="360" w:lineRule="exact"/>
        <w:ind w:firstLine="420" w:firstLineChars="200"/>
        <w:jc w:val="left"/>
        <w:rPr>
          <w:rFonts w:hint="eastAsia"/>
          <w:color w:val="auto"/>
          <w:highlight w:val="none"/>
          <w:u w:val="single"/>
        </w:rPr>
      </w:pPr>
      <w:r>
        <w:rPr>
          <w:rFonts w:hint="eastAsia"/>
          <w:color w:val="auto"/>
          <w:highlight w:val="none"/>
          <w:u w:val="single"/>
        </w:rPr>
        <w:t>⑤游泳池开放需要的其他相关证件。</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中标供应商以采购人为主体办理游泳馆相关证件，并在签订合同后20天内完成相关证件办理。</w:t>
      </w:r>
    </w:p>
    <w:p>
      <w:pPr>
        <w:numPr>
          <w:ilvl w:val="0"/>
          <w:numId w:val="1"/>
        </w:numPr>
        <w:spacing w:line="360" w:lineRule="exact"/>
        <w:ind w:firstLine="416" w:firstLineChars="200"/>
        <w:jc w:val="left"/>
        <w:rPr>
          <w:rFonts w:hint="eastAsia" w:ascii="宋体" w:hAnsi="宋体" w:cs="宋体"/>
          <w:b/>
          <w:color w:val="auto"/>
          <w:sz w:val="22"/>
          <w:szCs w:val="22"/>
          <w:highlight w:val="none"/>
          <w:u w:val="single"/>
        </w:rPr>
      </w:pPr>
      <w:r>
        <w:rPr>
          <w:rFonts w:hint="eastAsia" w:ascii="宋体" w:hAnsi="宋体" w:cs="宋体"/>
          <w:bCs/>
          <w:color w:val="auto"/>
          <w:spacing w:val="-6"/>
          <w:sz w:val="22"/>
          <w:szCs w:val="22"/>
          <w:highlight w:val="none"/>
          <w:u w:val="single"/>
        </w:rPr>
        <w:t>▲</w:t>
      </w:r>
      <w:r>
        <w:rPr>
          <w:rFonts w:hint="eastAsia" w:ascii="宋体" w:hAnsi="宋体" w:cs="宋体"/>
          <w:b/>
          <w:color w:val="auto"/>
          <w:sz w:val="22"/>
          <w:szCs w:val="22"/>
          <w:highlight w:val="none"/>
          <w:u w:val="single"/>
        </w:rPr>
        <w:t>人员要求</w:t>
      </w: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446"/>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人员职务</w:t>
            </w:r>
          </w:p>
        </w:tc>
        <w:tc>
          <w:tcPr>
            <w:tcW w:w="1446" w:type="dxa"/>
            <w:noWrap w:val="0"/>
            <w:vAlign w:val="center"/>
          </w:tcPr>
          <w:p>
            <w:pPr>
              <w:spacing w:line="360" w:lineRule="exact"/>
              <w:jc w:val="center"/>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人数</w:t>
            </w:r>
          </w:p>
        </w:tc>
        <w:tc>
          <w:tcPr>
            <w:tcW w:w="5312" w:type="dxa"/>
            <w:noWrap w:val="0"/>
            <w:vAlign w:val="center"/>
          </w:tcPr>
          <w:p>
            <w:pPr>
              <w:spacing w:line="360" w:lineRule="exact"/>
              <w:jc w:val="center"/>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u w:val="single"/>
              </w:rPr>
              <w:t>游泳馆项目负责人</w:t>
            </w:r>
          </w:p>
        </w:tc>
        <w:tc>
          <w:tcPr>
            <w:tcW w:w="1446" w:type="dxa"/>
            <w:noWrap w:val="0"/>
            <w:vAlign w:val="center"/>
          </w:tcPr>
          <w:p>
            <w:pPr>
              <w:spacing w:line="360" w:lineRule="exact"/>
              <w:jc w:val="center"/>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u w:val="single"/>
              </w:rPr>
              <w:t>1</w:t>
            </w:r>
          </w:p>
        </w:tc>
        <w:tc>
          <w:tcPr>
            <w:tcW w:w="5312" w:type="dxa"/>
            <w:noWrap w:val="0"/>
            <w:vAlign w:val="center"/>
          </w:tcPr>
          <w:p>
            <w:pPr>
              <w:spacing w:line="360" w:lineRule="exact"/>
              <w:jc w:val="center"/>
              <w:rPr>
                <w:rFonts w:hint="eastAsia" w:ascii="宋体" w:hAnsi="宋体" w:cs="宋体"/>
                <w:bCs/>
                <w:color w:val="auto"/>
                <w:sz w:val="22"/>
                <w:szCs w:val="22"/>
                <w:highlight w:val="none"/>
                <w:u w:val="single"/>
              </w:rPr>
            </w:pPr>
            <w:r>
              <w:rPr>
                <w:rFonts w:hint="eastAsia" w:ascii="宋体" w:hAnsi="宋体" w:cs="宋体"/>
                <w:color w:val="auto"/>
                <w:sz w:val="22"/>
                <w:szCs w:val="22"/>
                <w:highlight w:val="none"/>
                <w:u w:val="single"/>
              </w:rPr>
              <w:t>负责游泳馆综合管理工作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游泳池管理专员</w:t>
            </w:r>
          </w:p>
        </w:tc>
        <w:tc>
          <w:tcPr>
            <w:tcW w:w="1446"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w:t>
            </w:r>
          </w:p>
        </w:tc>
        <w:tc>
          <w:tcPr>
            <w:tcW w:w="5312"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负责游泳池日常管理</w:t>
            </w:r>
            <w:r>
              <w:rPr>
                <w:rFonts w:hint="eastAsia" w:ascii="宋体" w:hAnsi="宋体" w:cs="宋体"/>
                <w:bCs/>
                <w:color w:val="auto"/>
                <w:sz w:val="22"/>
                <w:szCs w:val="22"/>
                <w:highlight w:val="none"/>
                <w:u w:val="single"/>
              </w:rPr>
              <w:t>（兼任泳池水质处理和设备管理）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b/>
                <w:bCs/>
                <w:color w:val="auto"/>
                <w:sz w:val="22"/>
                <w:szCs w:val="22"/>
                <w:highlight w:val="none"/>
                <w:u w:val="single"/>
              </w:rPr>
            </w:pPr>
            <w:r>
              <w:rPr>
                <w:rFonts w:hint="eastAsia" w:ascii="宋体" w:hAnsi="宋体" w:cs="宋体"/>
                <w:color w:val="auto"/>
                <w:sz w:val="22"/>
                <w:szCs w:val="22"/>
                <w:highlight w:val="none"/>
                <w:u w:val="single"/>
              </w:rPr>
              <w:t>前台接待</w:t>
            </w:r>
          </w:p>
        </w:tc>
        <w:tc>
          <w:tcPr>
            <w:tcW w:w="1446"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w:t>
            </w:r>
          </w:p>
        </w:tc>
        <w:tc>
          <w:tcPr>
            <w:tcW w:w="5312"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负责前台日常管理与接待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救生员</w:t>
            </w:r>
          </w:p>
        </w:tc>
        <w:tc>
          <w:tcPr>
            <w:tcW w:w="1446"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w:t>
            </w:r>
          </w:p>
        </w:tc>
        <w:tc>
          <w:tcPr>
            <w:tcW w:w="5312"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负责救生、急救等工作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男女更衣室管理员</w:t>
            </w:r>
          </w:p>
        </w:tc>
        <w:tc>
          <w:tcPr>
            <w:tcW w:w="1446"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w:t>
            </w:r>
          </w:p>
        </w:tc>
        <w:tc>
          <w:tcPr>
            <w:tcW w:w="5312"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负责男女更衣室管理</w:t>
            </w:r>
            <w:r>
              <w:rPr>
                <w:rFonts w:hint="eastAsia" w:ascii="宋体" w:hAnsi="宋体" w:cs="宋体"/>
                <w:bCs/>
                <w:color w:val="auto"/>
                <w:sz w:val="22"/>
                <w:szCs w:val="22"/>
                <w:highlight w:val="none"/>
                <w:u w:val="single"/>
              </w:rPr>
              <w:t>（可兼任保洁）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5"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其他人员</w:t>
            </w:r>
          </w:p>
        </w:tc>
        <w:tc>
          <w:tcPr>
            <w:tcW w:w="1446" w:type="dxa"/>
            <w:noWrap w:val="0"/>
            <w:vAlign w:val="center"/>
          </w:tcPr>
          <w:p>
            <w:pPr>
              <w:spacing w:line="360" w:lineRule="exact"/>
              <w:jc w:val="center"/>
              <w:rPr>
                <w:rFonts w:hint="eastAsia" w:ascii="宋体" w:hAnsi="宋体" w:cs="宋体"/>
                <w:color w:val="auto"/>
                <w:sz w:val="22"/>
                <w:szCs w:val="22"/>
                <w:highlight w:val="none"/>
                <w:u w:val="single"/>
              </w:rPr>
            </w:pPr>
          </w:p>
        </w:tc>
        <w:tc>
          <w:tcPr>
            <w:tcW w:w="5312" w:type="dxa"/>
            <w:noWrap w:val="0"/>
            <w:vAlign w:val="center"/>
          </w:tcPr>
          <w:p>
            <w:pPr>
              <w:spacing w:line="360" w:lineRule="exact"/>
              <w:jc w:val="center"/>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按需安排</w:t>
            </w:r>
          </w:p>
        </w:tc>
      </w:tr>
    </w:tbl>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以上为人员的最低要求且人员职务不可兼任，供应商配备人员必须达到其岗位所应持有的上岗资格证书，泳池救生员需持有效期内的救生员证上岗。</w:t>
      </w:r>
    </w:p>
    <w:p>
      <w:pPr>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（八）现场管理的要求</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供应商需配置责任区域内的各种双语警示标牌、制定完备的双语方案预案以及规章制度（必须经过采购人认可），包括管理规定、</w:t>
      </w:r>
      <w:r>
        <w:rPr>
          <w:rFonts w:hint="eastAsia" w:ascii="宋体" w:hAnsi="宋体" w:cs="宋体"/>
          <w:color w:val="auto"/>
          <w:kern w:val="0"/>
          <w:sz w:val="22"/>
          <w:highlight w:val="none"/>
        </w:rPr>
        <w:t>更衣室管理</w:t>
      </w:r>
      <w:r>
        <w:rPr>
          <w:rFonts w:hint="eastAsia" w:ascii="宋体" w:hAnsi="宋体" w:cs="宋体"/>
          <w:color w:val="auto"/>
          <w:sz w:val="22"/>
          <w:szCs w:val="22"/>
          <w:highlight w:val="none"/>
        </w:rPr>
        <w:t>制度、救生员工作守则、游泳池紧急事故处理预案、池水清洁消毒制度、游泳池水电管理制度、卫生制度、水处理机房工作流程等。</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采购人有权对游泳池及配套设施的管理、卫生和安全随时进行监督检查，并可邀请专业评估机构及相关部门对游泳池及配套设施的使用、安全、卫生、管理状况进行检测。</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供应商承担游泳馆内安全责任风险，并缴纳履约保证金。供应商若存在一定安全过失，造成场地设施设备损坏或人员安全问题，采购人可根据损失金额扣除履约保证金；若情节恶劣，严重影响采购人名誉，采购人有权终止合同。</w:t>
      </w:r>
    </w:p>
    <w:p>
      <w:pPr>
        <w:spacing w:line="360" w:lineRule="exact"/>
        <w:ind w:firstLine="418" w:firstLineChars="200"/>
        <w:jc w:val="left"/>
        <w:rPr>
          <w:rFonts w:hint="eastAsia" w:ascii="宋体" w:hAnsi="宋体" w:cs="宋体"/>
          <w:b/>
          <w:color w:val="auto"/>
          <w:sz w:val="22"/>
          <w:szCs w:val="22"/>
          <w:highlight w:val="none"/>
          <w:u w:val="single"/>
        </w:rPr>
      </w:pPr>
      <w:r>
        <w:rPr>
          <w:rFonts w:hint="eastAsia" w:ascii="宋体" w:hAnsi="宋体" w:cs="宋体"/>
          <w:b/>
          <w:bCs/>
          <w:color w:val="auto"/>
          <w:spacing w:val="-6"/>
          <w:sz w:val="22"/>
          <w:szCs w:val="22"/>
          <w:highlight w:val="none"/>
          <w:u w:val="single"/>
        </w:rPr>
        <w:t>▲</w:t>
      </w:r>
      <w:r>
        <w:rPr>
          <w:rFonts w:hint="eastAsia" w:ascii="宋体" w:hAnsi="宋体" w:cs="宋体"/>
          <w:b/>
          <w:color w:val="auto"/>
          <w:sz w:val="22"/>
          <w:szCs w:val="22"/>
          <w:highlight w:val="none"/>
          <w:u w:val="single"/>
        </w:rPr>
        <w:t>（九）保险要求</w:t>
      </w:r>
    </w:p>
    <w:p>
      <w:pPr>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采购人游泳馆可投保体育场馆公众责任险，险种核心内容为若场地内发生过错行为致使使用人员的人身或财产遭受损害，保险承担对受害人一定的经济赔偿。保额为一年500万，购买保险相关费用供应商需自行承担，保险时间需覆盖供应商服务时间（含试运行时间）。</w:t>
      </w:r>
    </w:p>
    <w:p>
      <w:pPr>
        <w:spacing w:line="360" w:lineRule="exact"/>
        <w:ind w:firstLine="418" w:firstLineChars="200"/>
        <w:rPr>
          <w:rFonts w:hint="eastAsia" w:ascii="宋体" w:hAnsi="宋体" w:cs="宋体"/>
          <w:b/>
          <w:color w:val="auto"/>
          <w:sz w:val="22"/>
          <w:szCs w:val="22"/>
          <w:highlight w:val="none"/>
          <w:u w:val="single"/>
        </w:rPr>
      </w:pPr>
      <w:r>
        <w:rPr>
          <w:rFonts w:hint="eastAsia" w:ascii="宋体" w:hAnsi="宋体" w:cs="宋体"/>
          <w:b/>
          <w:bCs/>
          <w:color w:val="auto"/>
          <w:spacing w:val="-6"/>
          <w:sz w:val="22"/>
          <w:szCs w:val="22"/>
          <w:highlight w:val="none"/>
          <w:u w:val="single"/>
        </w:rPr>
        <w:t>▲</w:t>
      </w:r>
      <w:r>
        <w:rPr>
          <w:rFonts w:hint="eastAsia" w:ascii="宋体" w:hAnsi="宋体" w:cs="宋体"/>
          <w:b/>
          <w:color w:val="auto"/>
          <w:sz w:val="22"/>
          <w:szCs w:val="22"/>
          <w:highlight w:val="none"/>
          <w:u w:val="single"/>
        </w:rPr>
        <w:t>（十）其他要求</w:t>
      </w:r>
    </w:p>
    <w:p>
      <w:pPr>
        <w:widowControl/>
        <w:numPr>
          <w:ilvl w:val="0"/>
          <w:numId w:val="2"/>
        </w:numPr>
        <w:spacing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供应商负责温州肯恩大学游泳馆日常运行开放管理，基本服务内容包括并不仅限于在服务期限内为游泳馆提供安全救生、泳池水系统设备运行、设备维护、水质管理、场地保洁、卫生救护等服务，</w:t>
      </w:r>
    </w:p>
    <w:p>
      <w:pPr>
        <w:numPr>
          <w:ilvl w:val="0"/>
          <w:numId w:val="2"/>
        </w:numPr>
        <w:spacing w:line="360" w:lineRule="exact"/>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温州肯恩大学大学对游泳馆具有完全控制权，供应商在学校领导和监督下完成协议规定的运行与管理任务。</w:t>
      </w:r>
    </w:p>
    <w:p>
      <w:pPr>
        <w:numPr>
          <w:ilvl w:val="0"/>
          <w:numId w:val="2"/>
        </w:numPr>
        <w:spacing w:line="360" w:lineRule="exact"/>
        <w:jc w:val="left"/>
        <w:rPr>
          <w:rFonts w:hint="eastAsia" w:ascii="宋体" w:hAnsi="宋体" w:cs="宋体"/>
          <w:color w:val="auto"/>
          <w:sz w:val="22"/>
          <w:szCs w:val="22"/>
          <w:highlight w:val="none"/>
          <w:u w:val="single"/>
        </w:rPr>
      </w:pPr>
      <w:r>
        <w:rPr>
          <w:rFonts w:hint="eastAsia" w:ascii="宋体" w:hAnsi="宋体" w:cs="宋体"/>
          <w:b/>
          <w:color w:val="auto"/>
          <w:sz w:val="22"/>
          <w:szCs w:val="22"/>
          <w:highlight w:val="none"/>
          <w:u w:val="single"/>
        </w:rPr>
        <w:t>区域划分：</w:t>
      </w:r>
      <w:r>
        <w:rPr>
          <w:rFonts w:hint="eastAsia" w:ascii="宋体" w:hAnsi="宋体" w:cs="宋体"/>
          <w:color w:val="auto"/>
          <w:sz w:val="22"/>
          <w:szCs w:val="22"/>
          <w:highlight w:val="none"/>
          <w:u w:val="single"/>
        </w:rPr>
        <w:t>仅限校内师生使用。</w:t>
      </w:r>
    </w:p>
    <w:p>
      <w:pPr>
        <w:numPr>
          <w:ilvl w:val="0"/>
          <w:numId w:val="2"/>
        </w:numPr>
        <w:spacing w:line="360" w:lineRule="exact"/>
        <w:jc w:val="left"/>
        <w:rPr>
          <w:rFonts w:hint="eastAsia" w:cs="宋体"/>
          <w:color w:val="auto"/>
          <w:sz w:val="22"/>
          <w:szCs w:val="22"/>
          <w:highlight w:val="none"/>
          <w:u w:val="single"/>
        </w:rPr>
      </w:pPr>
      <w:r>
        <w:rPr>
          <w:rFonts w:hint="eastAsia" w:ascii="宋体" w:hAnsi="宋体" w:cs="宋体"/>
          <w:b/>
          <w:color w:val="auto"/>
          <w:sz w:val="22"/>
          <w:szCs w:val="22"/>
          <w:highlight w:val="none"/>
          <w:u w:val="single"/>
        </w:rPr>
        <w:t>开放时间：</w:t>
      </w:r>
      <w:r>
        <w:rPr>
          <w:rFonts w:hint="eastAsia" w:ascii="宋体" w:hAnsi="宋体" w:cs="宋体"/>
          <w:color w:val="auto"/>
          <w:sz w:val="22"/>
          <w:szCs w:val="22"/>
          <w:highlight w:val="none"/>
          <w:u w:val="single"/>
        </w:rPr>
        <w:t>每日13:00-21:00（法定节假日、圣诞假、寒暑假按需开放），泳池使用人数达70人次为上限。每场时间一个半小时为一票，先买票后使用，超时补票。上课时间段，仅供教学使用，不对校内师生开放。服务期内开放时间若有变化，根据学校安排进行调整。</w:t>
      </w:r>
    </w:p>
    <w:p>
      <w:pPr>
        <w:numPr>
          <w:ilvl w:val="0"/>
          <w:numId w:val="2"/>
        </w:numPr>
        <w:spacing w:line="360" w:lineRule="exact"/>
        <w:jc w:val="left"/>
        <w:rPr>
          <w:rFonts w:hint="eastAsia" w:cs="宋体"/>
          <w:color w:val="auto"/>
          <w:sz w:val="22"/>
          <w:szCs w:val="22"/>
          <w:highlight w:val="none"/>
          <w:u w:val="single"/>
        </w:rPr>
      </w:pPr>
      <w:r>
        <w:rPr>
          <w:rFonts w:hint="eastAsia" w:cs="宋体"/>
          <w:b/>
          <w:color w:val="auto"/>
          <w:sz w:val="22"/>
          <w:szCs w:val="22"/>
          <w:highlight w:val="none"/>
          <w:u w:val="single"/>
        </w:rPr>
        <w:t>收费方式：</w:t>
      </w:r>
      <w:r>
        <w:rPr>
          <w:rFonts w:hint="eastAsia" w:cs="宋体"/>
          <w:color w:val="auto"/>
          <w:sz w:val="22"/>
          <w:szCs w:val="22"/>
          <w:highlight w:val="none"/>
          <w:u w:val="single"/>
        </w:rPr>
        <w:t>如向师生收费，则学校为收费主体。采购人游泳馆收费不超过15元/次（每场时间一个半小时为一票，先买票后使用，超时补票）（收费需物价局报备）</w:t>
      </w:r>
    </w:p>
    <w:p>
      <w:pPr>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（十一）考核标准</w:t>
      </w:r>
    </w:p>
    <w:p>
      <w:pPr>
        <w:spacing w:line="360" w:lineRule="exact"/>
        <w:ind w:firstLine="440" w:firstLineChars="200"/>
        <w:rPr>
          <w:rFonts w:hint="eastAsia" w:ascii="宋体" w:hAnsi="宋体" w:cs="宋体"/>
          <w:b/>
          <w:bCs/>
          <w:color w:val="auto"/>
          <w:sz w:val="22"/>
          <w:szCs w:val="22"/>
          <w:highlight w:val="none"/>
        </w:rPr>
      </w:pPr>
      <w:r>
        <w:rPr>
          <w:rFonts w:hint="eastAsia" w:ascii="宋体" w:hAnsi="宋体" w:cs="宋体"/>
          <w:color w:val="auto"/>
          <w:sz w:val="22"/>
          <w:szCs w:val="22"/>
          <w:highlight w:val="none"/>
        </w:rPr>
        <w:t>自服务开始日起每个月进行考核，考核标准如下：</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4477"/>
        <w:gridCol w:w="675"/>
        <w:gridCol w:w="148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考核项目</w:t>
            </w:r>
          </w:p>
        </w:tc>
        <w:tc>
          <w:tcPr>
            <w:tcW w:w="709"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分值</w:t>
            </w:r>
          </w:p>
        </w:tc>
        <w:tc>
          <w:tcPr>
            <w:tcW w:w="4477"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考核内容</w:t>
            </w:r>
          </w:p>
        </w:tc>
        <w:tc>
          <w:tcPr>
            <w:tcW w:w="675"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单项</w:t>
            </w:r>
          </w:p>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分值</w:t>
            </w:r>
          </w:p>
        </w:tc>
        <w:tc>
          <w:tcPr>
            <w:tcW w:w="1481"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考核办法</w:t>
            </w:r>
          </w:p>
        </w:tc>
        <w:tc>
          <w:tcPr>
            <w:tcW w:w="1110"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资格及人员落实</w:t>
            </w:r>
          </w:p>
        </w:tc>
        <w:tc>
          <w:tcPr>
            <w:tcW w:w="709"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w:t>
            </w: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游泳馆管理服务相关证件办理，人员配齐，责任落实到位</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查看资料，缺1个人扣5分</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监管到位</w:t>
            </w:r>
          </w:p>
        </w:tc>
        <w:tc>
          <w:tcPr>
            <w:tcW w:w="709"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项目不定时对游泳池巡查</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查看资料</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安全管理</w:t>
            </w:r>
          </w:p>
        </w:tc>
        <w:tc>
          <w:tcPr>
            <w:tcW w:w="709"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30</w:t>
            </w: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1、有相关安全管理制度，并有完善的安全应急、处置预案</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查看资料，提问有关人员</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2、每月对泳池管理员工进行安全教育培训（有记录）并达到应知应会</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查看记录，提问有关人员</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3、至少满足场内同时有两名及以上救生员在岗</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随时抽查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4、泳池边立有安全警示牌，和温馨提示</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随时抽查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5、所有人员能掌握对溺水者的抢救操作要领</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对员工进行抽查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6、对泳池内不安全因素（追跑、打闹、跳水、潜水携带不安全的物品）进行劝阻</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抽查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7、事先告知泳客将贵重物品自行保管，无泳客丢失钱物案件及物资损坏事件，若有发生，此项得0分</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8、无重大安全责任事故发生，若有安全事故发生。本着“三不放过原则”进行妥善处理</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一票否决制</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采购人有权根据情节轻重解除服务</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日常工作</w:t>
            </w:r>
          </w:p>
        </w:tc>
        <w:tc>
          <w:tcPr>
            <w:tcW w:w="709"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23</w:t>
            </w: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1、做好日常记录（员工量化考核表，卫生记录表等），</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检查记录</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rPr>
                <w:rFonts w:hint="eastAsia" w:ascii="宋体" w:hAnsi="宋体" w:cs="宋体"/>
                <w:color w:val="auto"/>
                <w:sz w:val="22"/>
                <w:szCs w:val="22"/>
                <w:highlight w:val="none"/>
              </w:rPr>
            </w:pPr>
          </w:p>
        </w:tc>
        <w:tc>
          <w:tcPr>
            <w:tcW w:w="709" w:type="dxa"/>
            <w:vMerge w:val="continue"/>
            <w:noWrap w:val="0"/>
            <w:vAlign w:val="center"/>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2、明显处设有服务投诉电话公示牌</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现场检查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rPr>
                <w:rFonts w:hint="eastAsia" w:ascii="宋体" w:hAnsi="宋体" w:cs="宋体"/>
                <w:color w:val="auto"/>
                <w:sz w:val="22"/>
                <w:szCs w:val="22"/>
                <w:highlight w:val="none"/>
              </w:rPr>
            </w:pPr>
          </w:p>
        </w:tc>
        <w:tc>
          <w:tcPr>
            <w:tcW w:w="709" w:type="dxa"/>
            <w:vMerge w:val="continue"/>
            <w:noWrap w:val="0"/>
            <w:vAlign w:val="center"/>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3、责任区全天保洁卫生良好，无异味，淋浴间、洗手间、泳池区域等洁净无垃圾</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4、公示水温余录 PH值及记录好药物使用情况，保障泳池水达到国家标准。如未达到标准，此项得0分。</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核对数据</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5、垃圾桶内垃圾及时清理，不得超过二分之一桶</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6、随时关注物品消耗和使用情况，随时关电关水。</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7、根据卫生部门规定浸脚池及时换水最少4小时一次，余氯达标、保证水质清洁</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现场查看</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8、淋浴间保证随时清洁、淋浴温度正常</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9、做好采购人布置的各种工作安排，保证无差错 </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明调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10、员工遵守采购人劳动纪律、无旷工、迟到、早退、超假等行为</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11、有浪费水电行为</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物资管理</w:t>
            </w:r>
          </w:p>
        </w:tc>
        <w:tc>
          <w:tcPr>
            <w:tcW w:w="709"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w:t>
            </w: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1、物资报损、处置，确保泳池运行正常</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检查、调查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709" w:type="dxa"/>
            <w:vMerge w:val="continue"/>
            <w:noWrap w:val="0"/>
            <w:vAlign w:val="center"/>
          </w:tcPr>
          <w:p>
            <w:pPr>
              <w:spacing w:line="360" w:lineRule="exact"/>
              <w:jc w:val="center"/>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2、妥善使用采购人资产，若因供应商问题导致的资产损坏，该项得0分</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8</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检查、调查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服务质量</w:t>
            </w:r>
          </w:p>
        </w:tc>
        <w:tc>
          <w:tcPr>
            <w:tcW w:w="709" w:type="dxa"/>
            <w:vMerge w:val="restart"/>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1、员工按照员工手册礼仪礼节和仪容仪表标准上岗</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2、制止泳客不戴泳帽进入泳池或其它违禁行为</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现场检查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3、能积极主动为泳客提供服务，讲解游泳常识，正确引导游客</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随机检查、调查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4、不能拒绝泳客提出的合理要求，不合理的要求要委婉拒绝</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随机检查、调查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5、非相关人员违规进入泳池，如超过3人次以上，服务质量分值全扣</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随机检查、调查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noWrap w:val="0"/>
            <w:vAlign w:val="top"/>
          </w:tcPr>
          <w:p>
            <w:pPr>
              <w:spacing w:line="360" w:lineRule="exact"/>
              <w:rPr>
                <w:rFonts w:hint="eastAsia" w:ascii="宋体" w:hAnsi="宋体" w:cs="宋体"/>
                <w:color w:val="auto"/>
                <w:sz w:val="22"/>
                <w:szCs w:val="22"/>
                <w:highlight w:val="none"/>
              </w:rPr>
            </w:pPr>
          </w:p>
        </w:tc>
        <w:tc>
          <w:tcPr>
            <w:tcW w:w="709" w:type="dxa"/>
            <w:vMerge w:val="continue"/>
            <w:noWrap w:val="0"/>
            <w:vAlign w:val="top"/>
          </w:tcPr>
          <w:p>
            <w:pPr>
              <w:spacing w:line="360" w:lineRule="exact"/>
              <w:rPr>
                <w:rFonts w:hint="eastAsia" w:ascii="宋体" w:hAnsi="宋体" w:cs="宋体"/>
                <w:color w:val="auto"/>
                <w:sz w:val="22"/>
                <w:szCs w:val="22"/>
                <w:highlight w:val="none"/>
              </w:rPr>
            </w:pPr>
          </w:p>
        </w:tc>
        <w:tc>
          <w:tcPr>
            <w:tcW w:w="4477" w:type="dxa"/>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6、不得在泳客存在不雅行为，包括但不限于面前挠耳朵、揉眼、掏鼻、搔头、剔牙等、不得在泳客面前拨打私人电话</w:t>
            </w:r>
          </w:p>
        </w:tc>
        <w:tc>
          <w:tcPr>
            <w:tcW w:w="675"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81"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随时检查</w:t>
            </w:r>
          </w:p>
        </w:tc>
        <w:tc>
          <w:tcPr>
            <w:tcW w:w="1110" w:type="dxa"/>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暗访</w:t>
            </w:r>
          </w:p>
        </w:tc>
      </w:tr>
    </w:tbl>
    <w:p>
      <w:pPr>
        <w:wordWrap w:val="0"/>
        <w:spacing w:line="3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备注：</w:t>
      </w:r>
    </w:p>
    <w:p>
      <w:pPr>
        <w:numPr>
          <w:ilvl w:val="0"/>
          <w:numId w:val="3"/>
        </w:numPr>
        <w:wordWrap w:val="0"/>
        <w:spacing w:line="3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考核形式中明调指采购人游泳馆负责人员对于供应商进行检查调查，暗访指采购人安排指定人员，以泳客身份对于游泳馆管理服务、安全卫生等方面进行评价。</w:t>
      </w:r>
    </w:p>
    <w:p>
      <w:pPr>
        <w:wordWrap w:val="0"/>
        <w:spacing w:line="3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2.总分100分，90分以上“优秀”,70-90分“基本合格”,70分以下“不及格”。此考核办法为每个月考核的考核标准，</w:t>
      </w:r>
      <w:r>
        <w:rPr>
          <w:rFonts w:hint="eastAsia" w:ascii="宋体" w:hAnsi="宋体" w:cs="宋体"/>
          <w:color w:val="auto"/>
          <w:sz w:val="22"/>
          <w:szCs w:val="22"/>
          <w:highlight w:val="none"/>
        </w:rPr>
        <w:t>连续三次考核为“基本合格”（70-90分）及单次考核“不及格”（70分以下）或发生经政府相关部门或司法机构认定中标供应商负有主要责任的重大安全责任事故情形时，采购人有权随时单方解除本合同</w:t>
      </w:r>
      <w:r>
        <w:rPr>
          <w:rFonts w:hint="eastAsia" w:ascii="宋体" w:hAnsi="宋体" w:cs="宋体"/>
          <w:bCs/>
          <w:color w:val="auto"/>
          <w:sz w:val="22"/>
          <w:szCs w:val="22"/>
          <w:highlight w:val="none"/>
        </w:rPr>
        <w:t>。月考核不及格的该月服务费不予支付。</w:t>
      </w:r>
    </w:p>
    <w:p>
      <w:pPr>
        <w:tabs>
          <w:tab w:val="left" w:pos="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3.采购人在合同期内有权根据实际考核需求对月考核标准要求表进行调整。合同期内有调整的按照调整后的要求表进行考核。</w:t>
      </w:r>
    </w:p>
    <w:p>
      <w:pPr>
        <w:spacing w:line="360" w:lineRule="exact"/>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四、备注</w:t>
      </w:r>
    </w:p>
    <w:p>
      <w:pPr>
        <w:snapToGrid w:val="0"/>
        <w:spacing w:line="360" w:lineRule="exact"/>
        <w:ind w:firstLine="442"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z w:val="22"/>
          <w:szCs w:val="22"/>
          <w:highlight w:val="none"/>
        </w:rPr>
        <w:t>1.</w:t>
      </w:r>
      <w:r>
        <w:rPr>
          <w:rFonts w:hint="eastAsia" w:ascii="宋体" w:hAnsi="宋体" w:cs="宋体"/>
          <w:b/>
          <w:bCs/>
          <w:color w:val="auto"/>
          <w:spacing w:val="-6"/>
          <w:sz w:val="22"/>
          <w:szCs w:val="22"/>
          <w:highlight w:val="none"/>
        </w:rPr>
        <w:t>除采购文件中所明确的采购需求外，欢迎其他能满足本项目采购需求且性能相当于或高于所明确采购需求的产品参加投标报价。同时在采购需求偏离表中作出详细对比说明。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2.带“▲且加下划线”的有关技术和商务条款为实质性条款，投标供应商方必须做出实质性响应，否则视为投标无效。</w:t>
      </w:r>
    </w:p>
    <w:p>
      <w:pPr>
        <w:snapToGrid w:val="0"/>
        <w:spacing w:line="360" w:lineRule="exact"/>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3.如技术部分中未特别注明需执行的国家相关标准、行业标准、地方标准或者其他标准、规范，则统一执行最新标准、规范。</w:t>
      </w:r>
    </w:p>
    <w:bookmarkEnd w:id="0"/>
    <w:p>
      <w:pPr>
        <w:adjustRightInd w:val="0"/>
        <w:snapToGrid w:val="0"/>
        <w:spacing w:before="120" w:beforeLines="50" w:after="120" w:afterLines="50" w:line="360" w:lineRule="auto"/>
        <w:jc w:val="center"/>
        <w:outlineLvl w:val="0"/>
        <w:rPr>
          <w:rFonts w:hint="eastAsia" w:ascii="宋体" w:hAnsi="宋体" w:cs="宋体"/>
          <w:b/>
          <w:color w:val="auto"/>
          <w:sz w:val="32"/>
          <w:szCs w:val="32"/>
          <w:highlight w:val="none"/>
        </w:rPr>
      </w:pPr>
    </w:p>
    <w:p>
      <w:pPr>
        <w:adjustRightInd w:val="0"/>
        <w:snapToGrid w:val="0"/>
        <w:spacing w:before="120" w:beforeLines="50" w:after="120" w:afterLines="50" w:line="360" w:lineRule="auto"/>
        <w:jc w:val="center"/>
        <w:outlineLvl w:val="0"/>
        <w:rPr>
          <w:rFonts w:hint="eastAsia" w:ascii="宋体" w:hAnsi="宋体" w:cs="宋体"/>
          <w:b/>
          <w:color w:val="auto"/>
          <w:sz w:val="32"/>
          <w:szCs w:val="32"/>
          <w:highlight w:val="none"/>
        </w:rPr>
      </w:pPr>
      <w:bookmarkStart w:id="1" w:name="_GoBack"/>
      <w:bookmarkEnd w:id="1"/>
    </w:p>
    <w:p>
      <w:pPr>
        <w:pStyle w:val="2"/>
        <w:rPr>
          <w:rFonts w:hint="eastAsia" w:cs="宋体"/>
          <w:b/>
          <w:color w:val="auto"/>
          <w:sz w:val="32"/>
          <w:szCs w:val="32"/>
          <w:highlight w:val="none"/>
        </w:rPr>
      </w:pPr>
    </w:p>
    <w:p>
      <w:pPr>
        <w:rPr>
          <w:rFonts w:hint="eastAsia" w:ascii="宋体" w:hAnsi="宋体" w:cs="宋体"/>
          <w:b/>
          <w:color w:val="auto"/>
          <w:sz w:val="32"/>
          <w:szCs w:val="32"/>
          <w:highlight w:val="none"/>
        </w:rPr>
      </w:pPr>
    </w:p>
    <w:p>
      <w:pPr>
        <w:pStyle w:val="2"/>
        <w:rPr>
          <w:rFonts w:hint="eastAsia"/>
          <w:color w:val="auto"/>
          <w:highlight w:val="none"/>
        </w:rPr>
      </w:pPr>
    </w:p>
    <w:p>
      <w:pPr>
        <w:rPr>
          <w:rFonts w:hint="eastAsia" w:ascii="宋体" w:hAnsi="宋体" w:cs="宋体"/>
          <w:b/>
          <w:color w:val="auto"/>
          <w:sz w:val="32"/>
          <w:szCs w:val="32"/>
          <w:highlight w:val="none"/>
        </w:rPr>
      </w:pPr>
    </w:p>
    <w:p>
      <w:pPr>
        <w:pStyle w:val="2"/>
        <w:rPr>
          <w:rFonts w:hint="eastAsia" w:cs="宋体"/>
          <w:b/>
          <w:color w:val="auto"/>
          <w:sz w:val="32"/>
          <w:szCs w:val="32"/>
          <w:highlight w:val="none"/>
        </w:rPr>
      </w:pPr>
    </w:p>
    <w:p>
      <w:pPr>
        <w:rPr>
          <w:rFonts w:hint="eastAsia" w:ascii="宋体" w:hAnsi="宋体" w:cs="宋体"/>
          <w:b/>
          <w:color w:val="auto"/>
          <w:sz w:val="32"/>
          <w:szCs w:val="32"/>
          <w:highlight w:val="none"/>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51F02"/>
    <w:multiLevelType w:val="singleLevel"/>
    <w:tmpl w:val="11051F02"/>
    <w:lvl w:ilvl="0" w:tentative="0">
      <w:start w:val="1"/>
      <w:numFmt w:val="decimal"/>
      <w:suff w:val="nothing"/>
      <w:lvlText w:val="%1．"/>
      <w:lvlJc w:val="left"/>
      <w:pPr>
        <w:ind w:left="0" w:firstLine="400"/>
      </w:pPr>
      <w:rPr>
        <w:rFonts w:hint="default"/>
      </w:rPr>
    </w:lvl>
  </w:abstractNum>
  <w:abstractNum w:abstractNumId="1">
    <w:nsid w:val="68638A1C"/>
    <w:multiLevelType w:val="singleLevel"/>
    <w:tmpl w:val="68638A1C"/>
    <w:lvl w:ilvl="0" w:tentative="0">
      <w:start w:val="7"/>
      <w:numFmt w:val="chineseCounting"/>
      <w:suff w:val="nothing"/>
      <w:lvlText w:val="（%1）"/>
      <w:lvlJc w:val="left"/>
      <w:rPr>
        <w:rFonts w:hint="eastAsia"/>
      </w:rPr>
    </w:lvl>
  </w:abstractNum>
  <w:abstractNum w:abstractNumId="2">
    <w:nsid w:val="6A629255"/>
    <w:multiLevelType w:val="singleLevel"/>
    <w:tmpl w:val="6A62925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8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uiPriority w:val="0"/>
    <w:pPr>
      <w:adjustRightInd w:val="0"/>
      <w:spacing w:line="360" w:lineRule="auto"/>
      <w:ind w:firstLine="490"/>
      <w:jc w:val="left"/>
    </w:pPr>
    <w:rPr>
      <w:rFonts w:ascii="宋体" w:hAnsi="宋体"/>
      <w:sz w:val="24"/>
    </w:rPr>
  </w:style>
  <w:style w:type="paragraph" w:styleId="3">
    <w:name w:val="annotation text"/>
    <w:basedOn w:val="1"/>
    <w:semiHidden/>
    <w:qFormat/>
    <w:uiPriority w:val="0"/>
    <w:pPr>
      <w:jc w:val="left"/>
    </w:pPr>
  </w:style>
  <w:style w:type="paragraph" w:styleId="4">
    <w:name w:val="Block Text"/>
    <w:basedOn w:val="1"/>
    <w:qFormat/>
    <w:uiPriority w:val="0"/>
    <w:pPr>
      <w:adjustRightInd w:val="0"/>
      <w:spacing w:line="300" w:lineRule="auto"/>
      <w:ind w:left="958" w:rightChars="-120"/>
      <w:jc w:val="left"/>
    </w:pPr>
    <w:rPr>
      <w:rFonts w:ascii="宋体" w:hAnsi="宋体"/>
      <w:sz w:val="28"/>
    </w:rPr>
  </w:style>
  <w:style w:type="paragraph" w:customStyle="1" w:styleId="7">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2022-07-15T04:55:39Z</dcterms:created>
  <dc:creator>Administrator</dc:creator>
  <cp:lastModifiedBy></cp:lastModifiedBy>
  <dcterms:modified xsi:type="dcterms:W3CDTF">2022-07-15T04:56:28Z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